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사용자 주권형 교차통제원장 및 비밀 비수탁형 자격증명 관리에 기초한</w:t>
        <w:br/>
        <w:t>인공지능 공급자 라우팅·실행제어와 영업비밀 최소전달을 결속하는 방법, 시스템 및 컴퓨터 판독가능 기록매체</w:t>
      </w:r>
    </w:p>
    <w:p>
      <w:pPr>
        <w:jc w:val="center"/>
      </w:pPr>
      <w:r>
        <w:rPr>
          <w:i/>
          <w:sz w:val="19"/>
        </w:rPr>
        <w:t>출원 전 최종검토본 / 2026-09-26 / 9번 특허 제외 기존 접수 14건 및 문항합성 회피방지 최종검토본 대조 반영</w:t>
      </w:r>
    </w:p>
    <w:p>
      <w:pPr>
        <w:jc w:val="center"/>
      </w:pPr>
      <w:r>
        <w:rPr>
          <w:b/>
          <w:sz w:val="18"/>
        </w:rPr>
        <w:t>※ 내부 검토용 · 특허출원 전 변리사 검토 필요 · 신규성/진보성/비침해 확정 문서가 아님</w:t>
      </w:r>
    </w:p>
    <w:p>
      <w:pPr>
        <w:pStyle w:val="Heading1"/>
      </w:pPr>
      <w:r>
        <w:t>I. 검토 범위와 작성 원칙</w:t>
      </w:r>
    </w:p>
    <w:p>
      <w:r>
        <w:t>본 문서는 (1) 드림지키미 Google Drive의 CANONICAL·Agent상태원장·작업대기열·세션영수증·사고징벌·백업상태·설정·게이트테스트 및 Apps Script/자동화 통제구조, (2) EduRecover AI v3.24.9의 실제 GitHub/Railway 배포 구조, (3) 특허청 접수본 중 9번(10-2026-0172405)을 제외한 14건, (4) 2026-09-25 작성된 ‘문항합성_특허명세서_회피방지_최종검토본’ 16개 청구항, (5) 확인된 외부 선행특허·공개기술을 상호 대조하여 작성하였다.</w:t>
      </w:r>
    </w:p>
    <w:p>
      <w:r>
        <w:t>기존의 단순 벌점, 포인트 누적, 일반 라우팅, 일반 정책엔진, 환경변수에 비밀값을 저장하는 것, provenance/taint/격리, 일반적인 독립검증 또는 문항 상태-검증결과 결속을 단독 신규성 중심으로 주장하지 않는다.</w:t>
      </w:r>
    </w:p>
    <w:p>
      <w:r>
        <w:t>핵심 후보 권리축은 ‘사람 사용자의 접근·소유권을 AI 징계상태와 분리하는 사용자 주권 불변조건’, ‘비밀값이 AI 판독 가능 문맥에 들어가지 않는 비수탁형 자격증명 경계’, ‘외부 통제원장 상태와 서비스 런타임 상태를 호출시점의 제어영수증으로 결속’, ‘AI 공급자의 생성·검증·자동실행 권한만 제한·재라우팅’, ‘전체 영업비밀 코퍼스 대신 현재 작업에 필요한 최소 발췌만 외부 AI에 전달’의 결합에 둔다.</w:t>
      </w:r>
    </w:p>
    <w:p>
      <w:r>
        <w:t>세계의 선행문헌을 빠짐없이 검색했다는 의미가 아니며, 아래 대조는 확인 범위의 출원 전 기술검토이다.</w:t>
      </w:r>
    </w:p>
    <w:p>
      <w:pPr>
        <w:pStyle w:val="Heading1"/>
      </w:pPr>
      <w:r>
        <w:t>II. 발명의 설명</w:t>
      </w:r>
    </w:p>
    <w:p>
      <w:pPr>
        <w:pStyle w:val="Heading2"/>
      </w:pPr>
      <w:r>
        <w:t>【발명의 명칭】</w:t>
      </w:r>
    </w:p>
    <w:p>
      <w:r>
        <w:t>사용자 주권형 교차통제원장 및 비밀 비수탁형 자격증명 관리에 기초한 인공지능 공급자 라우팅·실행제어와 영업비밀 최소전달을 결속하는 방법, 시스템 및 컴퓨터 판독가능 기록매체</w:t>
      </w:r>
    </w:p>
    <w:p>
      <w:pPr>
        <w:pStyle w:val="Heading2"/>
      </w:pPr>
      <w:r>
        <w:t>【기술분야】</w:t>
      </w:r>
    </w:p>
    <w:p>
      <w:r>
        <w:t>[0001] 본 발명은 복수의 외부 인공지능 공급자 또는 인공지능 에이전트를 이용하는 소프트웨어 플랫폼의 실행제어, 정책결정, 비밀정보 보호, 작업 라우팅, 검증 및 콘텐츠 배포에 관한 것이다.</w:t>
      </w:r>
    </w:p>
    <w:p>
      <w:r>
        <w:t>[0002] 보다 구체적으로는 사용자 또는 소유자에게 귀속되는 접근권한과 인공지능 실행주체에 부여되는 실행자격을 분리하고, 외부 통제원장과 서비스 런타임의 제어상태를 호출시점에 결속하며, API 자격증명은 서버 비밀경계에 유지한 채 인공지능 판독가능 입력에는 비밀값을 포함시키지 않고, 작업에 필요한 영업비밀 발췌만 선택적으로 전달하여 외부 AI 호출과 검증을 제어하는 기술에 관한 것이다.</w:t>
      </w:r>
    </w:p>
    <w:p>
      <w:pPr>
        <w:pStyle w:val="Heading2"/>
      </w:pPr>
      <w:r>
        <w:t>【발명의 배경이 되는 기술】</w:t>
      </w:r>
    </w:p>
    <w:p>
      <w:r>
        <w:t>[0003] 멀티에이전트 및 복수 AI 공급자 플랫폼에서는 사용자의 요청을 서로 다른 모델·도구·검증기로 배분하고 결과를 결합하는 라우팅 기술이 사용될 수 있다.</w:t>
      </w:r>
    </w:p>
    <w:p>
      <w:r>
        <w:t>[0004] 정책엔진은 애플리케이션의 정책결정과 집행을 분리하여 접근허용 여부를 판단할 수 있고, 반복 정책위반에 포인트를 누적하여 단계적으로 개입하거나 권한을 제한하는 기술도 공개되어 있다.</w:t>
      </w:r>
    </w:p>
    <w:p>
      <w:r>
        <w:t>[0005] AI 에이전트가 접근하는 데이터의 민감도에 따라 동적으로 권한을 조정하거나, AI 구성요소의 provenance와 무결성을 기록하고 실행 중 이상을 감지하여 격리·복구하는 기술도 공개되어 있다.</w:t>
      </w:r>
    </w:p>
    <w:p>
      <w:r>
        <w:t>[0006] 애플리케이션 자격증명을 소스코드와 분리하여 환경변수 등 배포환경에 저장하는 방식은 널리 알려진 구성이다.</w:t>
      </w:r>
    </w:p>
    <w:p>
      <w:r>
        <w:t>[0007] 그러나 AI 에이전트에 대한 벌점 또는 차단상태가 사람 사용자에게 잘못 확장되면, 사용자가 자신이 소유한 서비스·비밀·복구수단에 접근하지 못하게 되는 통제역전 문제가 생길 수 있다. 또한 AI 또는 대화시스템이 비밀키의 실제 값을 보유·재전달하거나 일반문서에 기록하는 구조는 사용자 통제권과 자격증명 보안을 약화시킬 수 있다.</w:t>
      </w:r>
    </w:p>
    <w:p>
      <w:r>
        <w:t>[0008] 또한 전체 내부 코퍼스나 영업비밀 자료를 외부 AI에 그대로 전달하면 모델 공급자별 저장·로그·보존정책과 무관하게 불필요한 비밀 노출면이 넓어진다. 반대로 단순히 외부 AI 사용을 금지하면 서로 다른 모델의 생성·검증 능력을 활용하기 어렵다.</w:t>
      </w:r>
    </w:p>
    <w:p>
      <w:r>
        <w:t>[0009] 따라서 사람 사용자의 주권상태, AI 공급자의 실행자격상태, 자격증명 준비상태, 외부 통제원장 상태, 런타임 정책상태, 작업별 비밀자료 발췌범위 및 검증요건을 하나의 호출제어 연쇄에서 결속하되 서로 혼동하지 않는 제어구조가 요구된다.</w:t>
      </w:r>
    </w:p>
    <w:p>
      <w:pPr>
        <w:pStyle w:val="Heading2"/>
      </w:pPr>
      <w:r>
        <w:t>【선행기술 문헌 및 비특허문헌】</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2F3"/>
          </w:tcPr>
          <w:p>
            <w:pPr>
              <w:spacing w:after="0"/>
            </w:pPr>
            <w:r/>
            <w:r>
              <w:rPr>
                <w:rFonts w:ascii="Noto Sans CJK KR" w:hAnsi="Noto Sans CJK KR" w:eastAsia="Noto Sans CJK KR"/>
                <w:b/>
                <w:sz w:val="15"/>
              </w:rPr>
              <w:t>문헌</w:t>
            </w:r>
          </w:p>
        </w:tc>
        <w:tc>
          <w:tcPr>
            <w:tcW w:type="dxa" w:w="3628"/>
            <w:vAlign w:val="center"/>
            <w:shd w:fill="D9E2F3"/>
          </w:tcPr>
          <w:p>
            <w:pPr>
              <w:spacing w:after="0"/>
            </w:pPr>
            <w:r/>
            <w:r>
              <w:rPr>
                <w:rFonts w:ascii="Noto Sans CJK KR" w:hAnsi="Noto Sans CJK KR" w:eastAsia="Noto Sans CJK KR"/>
                <w:b/>
                <w:sz w:val="15"/>
              </w:rPr>
              <w:t>공개 핵심</w:t>
            </w:r>
          </w:p>
        </w:tc>
        <w:tc>
          <w:tcPr>
            <w:tcW w:type="dxa" w:w="4535"/>
            <w:vAlign w:val="center"/>
            <w:shd w:fill="D9E2F3"/>
          </w:tcPr>
          <w:p>
            <w:pPr>
              <w:spacing w:after="0"/>
            </w:pPr>
            <w:r/>
            <w:r>
              <w:rPr>
                <w:rFonts w:ascii="Noto Sans CJK KR" w:hAnsi="Noto Sans CJK KR" w:eastAsia="Noto Sans CJK KR"/>
                <w:b/>
                <w:sz w:val="15"/>
              </w:rPr>
              <w:t>본 발명 검토상 차이</w:t>
            </w:r>
          </w:p>
        </w:tc>
      </w:tr>
      <w:tr>
        <w:tc>
          <w:tcPr>
            <w:tcW w:type="dxa" w:w="2268"/>
            <w:vAlign w:val="center"/>
          </w:tcPr>
          <w:p>
            <w:pPr>
              <w:spacing w:after="0"/>
            </w:pPr>
            <w:r/>
            <w:r>
              <w:rPr>
                <w:rFonts w:ascii="Noto Sans CJK KR" w:hAnsi="Noto Sans CJK KR" w:eastAsia="Noto Sans CJK KR"/>
                <w:b w:val="0"/>
                <w:sz w:val="15"/>
              </w:rPr>
              <w:t>US20260119479A1</w:t>
            </w:r>
          </w:p>
        </w:tc>
        <w:tc>
          <w:tcPr>
            <w:tcW w:type="dxa" w:w="3628"/>
            <w:vAlign w:val="center"/>
          </w:tcPr>
          <w:p>
            <w:pPr>
              <w:spacing w:after="0"/>
            </w:pPr>
            <w:r/>
            <w:r>
              <w:rPr>
                <w:rFonts w:ascii="Noto Sans CJK KR" w:hAnsi="Noto Sans CJK KR" w:eastAsia="Noto Sans CJK KR"/>
                <w:b w:val="0"/>
                <w:sz w:val="15"/>
              </w:rPr>
              <w:t>멀티에이전트 공유 경험저장소; reward score, agent metadata, 과거 경험 재사용</w:t>
            </w:r>
          </w:p>
        </w:tc>
        <w:tc>
          <w:tcPr>
            <w:tcW w:type="dxa" w:w="4535"/>
            <w:vAlign w:val="center"/>
          </w:tcPr>
          <w:p>
            <w:pPr>
              <w:spacing w:after="0"/>
            </w:pPr>
            <w:r/>
            <w:r>
              <w:rPr>
                <w:rFonts w:ascii="Noto Sans CJK KR" w:hAnsi="Noto Sans CJK KR" w:eastAsia="Noto Sans CJK KR"/>
                <w:b w:val="0"/>
                <w:sz w:val="15"/>
              </w:rPr>
              <w:t>보상점수·에이전트별 기록 일반론은 선행. 본 발명은 점수 자체보다 사람주권 분리·비밀 비수탁·호출영수증 결속에 초점.</w:t>
            </w:r>
          </w:p>
        </w:tc>
      </w:tr>
      <w:tr>
        <w:tc>
          <w:tcPr>
            <w:tcW w:type="dxa" w:w="2268"/>
            <w:vAlign w:val="center"/>
          </w:tcPr>
          <w:p>
            <w:pPr>
              <w:spacing w:after="0"/>
            </w:pPr>
            <w:r/>
            <w:r>
              <w:rPr>
                <w:rFonts w:ascii="Noto Sans CJK KR" w:hAnsi="Noto Sans CJK KR" w:eastAsia="Noto Sans CJK KR"/>
                <w:b w:val="0"/>
                <w:sz w:val="15"/>
              </w:rPr>
              <w:t>US20250021989A1</w:t>
            </w:r>
          </w:p>
        </w:tc>
        <w:tc>
          <w:tcPr>
            <w:tcW w:type="dxa" w:w="3628"/>
            <w:vAlign w:val="center"/>
          </w:tcPr>
          <w:p>
            <w:pPr>
              <w:spacing w:after="0"/>
            </w:pPr>
            <w:r/>
            <w:r>
              <w:rPr>
                <w:rFonts w:ascii="Noto Sans CJK KR" w:hAnsi="Noto Sans CJK KR" w:eastAsia="Noto Sans CJK KR"/>
                <w:b w:val="0"/>
                <w:sz w:val="15"/>
              </w:rPr>
              <w:t>불변 안전기록, 반복 위반 포인트, intervention ladder</w:t>
            </w:r>
          </w:p>
        </w:tc>
        <w:tc>
          <w:tcPr>
            <w:tcW w:type="dxa" w:w="4535"/>
            <w:vAlign w:val="center"/>
          </w:tcPr>
          <w:p>
            <w:pPr>
              <w:spacing w:after="0"/>
            </w:pPr>
            <w:r/>
            <w:r>
              <w:rPr>
                <w:rFonts w:ascii="Noto Sans CJK KR" w:hAnsi="Noto Sans CJK KR" w:eastAsia="Noto Sans CJK KR"/>
                <w:b w:val="0"/>
                <w:sz w:val="15"/>
              </w:rPr>
              <w:t>벌점·누적·단계적 제재는 선행. 사람 사용자를 AI 징계로 차단하지 않는 불변조건 및 공급자 실행권한만의 제재를 별도 구성.</w:t>
            </w:r>
          </w:p>
        </w:tc>
      </w:tr>
      <w:tr>
        <w:tc>
          <w:tcPr>
            <w:tcW w:type="dxa" w:w="2268"/>
            <w:vAlign w:val="center"/>
          </w:tcPr>
          <w:p>
            <w:pPr>
              <w:spacing w:after="0"/>
            </w:pPr>
            <w:r/>
            <w:r>
              <w:rPr>
                <w:rFonts w:ascii="Noto Sans CJK KR" w:hAnsi="Noto Sans CJK KR" w:eastAsia="Noto Sans CJK KR"/>
                <w:b w:val="0"/>
                <w:sz w:val="15"/>
              </w:rPr>
              <w:t>US12547753B2 / US20250378155A1</w:t>
            </w:r>
          </w:p>
        </w:tc>
        <w:tc>
          <w:tcPr>
            <w:tcW w:type="dxa" w:w="3628"/>
            <w:vAlign w:val="center"/>
          </w:tcPr>
          <w:p>
            <w:pPr>
              <w:spacing w:after="0"/>
            </w:pPr>
            <w:r/>
            <w:r>
              <w:rPr>
                <w:rFonts w:ascii="Noto Sans CJK KR" w:hAnsi="Noto Sans CJK KR" w:eastAsia="Noto Sans CJK KR"/>
                <w:b w:val="0"/>
                <w:sz w:val="15"/>
              </w:rPr>
              <w:t>AI 에이전트의 데이터 접근에 대한 동적 권한 조정</w:t>
            </w:r>
          </w:p>
        </w:tc>
        <w:tc>
          <w:tcPr>
            <w:tcW w:type="dxa" w:w="4535"/>
            <w:vAlign w:val="center"/>
          </w:tcPr>
          <w:p>
            <w:pPr>
              <w:spacing w:after="0"/>
            </w:pPr>
            <w:r/>
            <w:r>
              <w:rPr>
                <w:rFonts w:ascii="Noto Sans CJK KR" w:hAnsi="Noto Sans CJK KR" w:eastAsia="Noto Sans CJK KR"/>
                <w:b w:val="0"/>
                <w:sz w:val="15"/>
              </w:rPr>
              <w:t>AI 권한 동적 조정은 선행. 자격증명 비수탁 및 인간소유 접근권한 분리와 작업별 영업비밀 최소발췌 결속은 별도 검토축.</w:t>
            </w:r>
          </w:p>
        </w:tc>
      </w:tr>
      <w:tr>
        <w:tc>
          <w:tcPr>
            <w:tcW w:type="dxa" w:w="2268"/>
            <w:vAlign w:val="center"/>
          </w:tcPr>
          <w:p>
            <w:pPr>
              <w:spacing w:after="0"/>
            </w:pPr>
            <w:r/>
            <w:r>
              <w:rPr>
                <w:rFonts w:ascii="Noto Sans CJK KR" w:hAnsi="Noto Sans CJK KR" w:eastAsia="Noto Sans CJK KR"/>
                <w:b w:val="0"/>
                <w:sz w:val="15"/>
              </w:rPr>
              <w:t>US20260134155A1</w:t>
            </w:r>
          </w:p>
        </w:tc>
        <w:tc>
          <w:tcPr>
            <w:tcW w:type="dxa" w:w="3628"/>
            <w:vAlign w:val="center"/>
          </w:tcPr>
          <w:p>
            <w:pPr>
              <w:spacing w:after="0"/>
            </w:pPr>
            <w:r/>
            <w:r>
              <w:rPr>
                <w:rFonts w:ascii="Noto Sans CJK KR" w:hAnsi="Noto Sans CJK KR" w:eastAsia="Noto Sans CJK KR"/>
                <w:b w:val="0"/>
                <w:sz w:val="15"/>
              </w:rPr>
              <w:t>AI supply-chain provenance, 무결성 기준, 실행 인터셉트, 격리·복구</w:t>
            </w:r>
          </w:p>
        </w:tc>
        <w:tc>
          <w:tcPr>
            <w:tcW w:type="dxa" w:w="4535"/>
            <w:vAlign w:val="center"/>
          </w:tcPr>
          <w:p>
            <w:pPr>
              <w:spacing w:after="0"/>
            </w:pPr>
            <w:r/>
            <w:r>
              <w:rPr>
                <w:rFonts w:ascii="Noto Sans CJK KR" w:hAnsi="Noto Sans CJK KR" w:eastAsia="Noto Sans CJK KR"/>
                <w:b w:val="0"/>
                <w:sz w:val="15"/>
              </w:rPr>
              <w:t>provenance·실행차단·복구 일반론은 선행. 본 발명은 사용자 주권·공급자 라우팅·비밀경계·교차통제원장 결속에 한정.</w:t>
            </w:r>
          </w:p>
        </w:tc>
      </w:tr>
      <w:tr>
        <w:tc>
          <w:tcPr>
            <w:tcW w:type="dxa" w:w="2268"/>
            <w:vAlign w:val="center"/>
          </w:tcPr>
          <w:p>
            <w:pPr>
              <w:spacing w:after="0"/>
            </w:pPr>
            <w:r/>
            <w:r>
              <w:rPr>
                <w:rFonts w:ascii="Noto Sans CJK KR" w:hAnsi="Noto Sans CJK KR" w:eastAsia="Noto Sans CJK KR"/>
                <w:b w:val="0"/>
                <w:sz w:val="15"/>
              </w:rPr>
              <w:t>US20260100273A1</w:t>
            </w:r>
          </w:p>
        </w:tc>
        <w:tc>
          <w:tcPr>
            <w:tcW w:type="dxa" w:w="3628"/>
            <w:vAlign w:val="center"/>
          </w:tcPr>
          <w:p>
            <w:pPr>
              <w:spacing w:after="0"/>
            </w:pPr>
            <w:r/>
            <w:r>
              <w:rPr>
                <w:rFonts w:ascii="Noto Sans CJK KR" w:hAnsi="Noto Sans CJK KR" w:eastAsia="Noto Sans CJK KR"/>
                <w:b w:val="0"/>
                <w:sz w:val="15"/>
              </w:rPr>
              <w:t>라우팅 에이전트가 작업별 에이전트/도구를 선택·조정</w:t>
            </w:r>
          </w:p>
        </w:tc>
        <w:tc>
          <w:tcPr>
            <w:tcW w:type="dxa" w:w="4535"/>
            <w:vAlign w:val="center"/>
          </w:tcPr>
          <w:p>
            <w:pPr>
              <w:spacing w:after="0"/>
            </w:pPr>
            <w:r/>
            <w:r>
              <w:rPr>
                <w:rFonts w:ascii="Noto Sans CJK KR" w:hAnsi="Noto Sans CJK KR" w:eastAsia="Noto Sans CJK KR"/>
                <w:b w:val="0"/>
                <w:sz w:val="15"/>
              </w:rPr>
              <w:t>멀티에이전트 라우팅 일반론은 선행. 본 발명은 제어영수증과 공급자 자격·비밀준비·자료발췌 범위를 호출전에 공동 검증.</w:t>
            </w:r>
          </w:p>
        </w:tc>
      </w:tr>
      <w:tr>
        <w:tc>
          <w:tcPr>
            <w:tcW w:type="dxa" w:w="2268"/>
            <w:vAlign w:val="center"/>
          </w:tcPr>
          <w:p>
            <w:pPr>
              <w:spacing w:after="0"/>
            </w:pPr>
            <w:r/>
            <w:r>
              <w:rPr>
                <w:rFonts w:ascii="Noto Sans CJK KR" w:hAnsi="Noto Sans CJK KR" w:eastAsia="Noto Sans CJK KR"/>
                <w:b w:val="0"/>
                <w:sz w:val="15"/>
              </w:rPr>
              <w:t>Open Policy Agent</w:t>
            </w:r>
          </w:p>
        </w:tc>
        <w:tc>
          <w:tcPr>
            <w:tcW w:type="dxa" w:w="3628"/>
            <w:vAlign w:val="center"/>
          </w:tcPr>
          <w:p>
            <w:pPr>
              <w:spacing w:after="0"/>
            </w:pPr>
            <w:r/>
            <w:r>
              <w:rPr>
                <w:rFonts w:ascii="Noto Sans CJK KR" w:hAnsi="Noto Sans CJK KR" w:eastAsia="Noto Sans CJK KR"/>
                <w:b w:val="0"/>
                <w:sz w:val="15"/>
              </w:rPr>
              <w:t>정책결정지점(PDP)과 집행지점(PEP)의 분리, 정책갱신·결정로그</w:t>
            </w:r>
          </w:p>
        </w:tc>
        <w:tc>
          <w:tcPr>
            <w:tcW w:type="dxa" w:w="4535"/>
            <w:vAlign w:val="center"/>
          </w:tcPr>
          <w:p>
            <w:pPr>
              <w:spacing w:after="0"/>
            </w:pPr>
            <w:r/>
            <w:r>
              <w:rPr>
                <w:rFonts w:ascii="Noto Sans CJK KR" w:hAnsi="Noto Sans CJK KR" w:eastAsia="Noto Sans CJK KR"/>
                <w:b w:val="0"/>
                <w:sz w:val="15"/>
              </w:rPr>
              <w:t>정책결정/집행 분리는 선행. 사람주권 불변조건과 AI공급자 상태·비밀경계·작업자료 최소전달의 결합이 차이 후보.</w:t>
            </w:r>
          </w:p>
        </w:tc>
      </w:tr>
      <w:tr>
        <w:tc>
          <w:tcPr>
            <w:tcW w:type="dxa" w:w="2268"/>
            <w:vAlign w:val="center"/>
          </w:tcPr>
          <w:p>
            <w:pPr>
              <w:spacing w:after="0"/>
            </w:pPr>
            <w:r/>
            <w:r>
              <w:rPr>
                <w:rFonts w:ascii="Noto Sans CJK KR" w:hAnsi="Noto Sans CJK KR" w:eastAsia="Noto Sans CJK KR"/>
                <w:b w:val="0"/>
                <w:sz w:val="15"/>
              </w:rPr>
              <w:t>Twelve-Factor App / Railway Variables</w:t>
            </w:r>
          </w:p>
        </w:tc>
        <w:tc>
          <w:tcPr>
            <w:tcW w:type="dxa" w:w="3628"/>
            <w:vAlign w:val="center"/>
          </w:tcPr>
          <w:p>
            <w:pPr>
              <w:spacing w:after="0"/>
            </w:pPr>
            <w:r/>
            <w:r>
              <w:rPr>
                <w:rFonts w:ascii="Noto Sans CJK KR" w:hAnsi="Noto Sans CJK KR" w:eastAsia="Noto Sans CJK KR"/>
                <w:b w:val="0"/>
                <w:sz w:val="15"/>
              </w:rPr>
              <w:t>외부서비스 자격증명을 코드와 분리해 환경 설정으로 관리</w:t>
            </w:r>
          </w:p>
        </w:tc>
        <w:tc>
          <w:tcPr>
            <w:tcW w:type="dxa" w:w="4535"/>
            <w:vAlign w:val="center"/>
          </w:tcPr>
          <w:p>
            <w:pPr>
              <w:spacing w:after="0"/>
            </w:pPr>
            <w:r/>
            <w:r>
              <w:rPr>
                <w:rFonts w:ascii="Noto Sans CJK KR" w:hAnsi="Noto Sans CJK KR" w:eastAsia="Noto Sans CJK KR"/>
                <w:b w:val="0"/>
                <w:sz w:val="15"/>
              </w:rPr>
              <w:t>환경변수 자체는 선행. 평문 비밀값이 AI 입력·원장에 들어가지 않고 readiness 증명만 호출제어에 결속되는 관계를 한정.</w:t>
            </w:r>
          </w:p>
        </w:tc>
      </w:tr>
    </w:tbl>
    <w:p>
      <w:pPr>
        <w:spacing w:after="40"/>
      </w:pPr>
    </w:p>
    <w:p>
      <w:pPr>
        <w:pStyle w:val="Heading2"/>
      </w:pPr>
      <w:r>
        <w:t>【해결하려는 과제】</w:t>
      </w:r>
    </w:p>
    <w:p>
      <w:r>
        <w:t>[0010] 본 발명의 제1 과제는 인공지능 공급자의 징계·HOLD·감점·격리상태가 사람 사용자의 서비스 접근권한 또는 비밀 소유권에 전이되지 않도록 하는 것.</w:t>
      </w:r>
    </w:p>
    <w:p>
      <w:r>
        <w:t>[0011] 본 발명의 제2 과제는 API 키·토큰·복호화키의 실제 값을 AI 대화, 프롬프트, 상태원장 또는 일반 로그가 보유하지 않으면서도 공급자 호출 가능 여부를 제어하는 것.</w:t>
      </w:r>
    </w:p>
    <w:p>
      <w:r>
        <w:t>[0012] 본 발명의 제3 과제는 Google Drive 등 외부 통제원장과 EduRecover 런타임의 정책상태가 서로 다른 시점의 값을 사용하여 stale 호출을 허용하는 것을 방지하는 것.</w:t>
      </w:r>
    </w:p>
    <w:p>
      <w:r>
        <w:t>[0013] 본 발명의 제4 과제는 공급자별로 생성·검증·자동실행 권한을 차등화하고, 위반이나 HOLD 시 다른 공급자로 안전하게 재라우팅하거나 검증전용으로 제한하는 것.</w:t>
      </w:r>
    </w:p>
    <w:p>
      <w:r>
        <w:t>[0014] 본 발명의 제5 과제는 전체 영업비밀 코퍼스·채팅기록·다른 고객자료를 외부 AI에 보내지 않고, 현재 작업에 필요한 최소 출제·검증 발췌만 제공하는 것.</w:t>
      </w:r>
    </w:p>
    <w:p>
      <w:r>
        <w:t>[0015] 본 발명의 제6 과제는 AI의 완료 주장이나 모델 신원만으로 승인하지 않고, 호출 당시의 제어상태·입력범위·검증상태·결과를 추적 가능한 영수증으로 결속하는 것.</w:t>
      </w:r>
    </w:p>
    <w:p>
      <w:pPr>
        <w:pStyle w:val="Heading2"/>
      </w:pPr>
      <w:r>
        <w:t>【과제의 해결 수단】</w:t>
      </w:r>
    </w:p>
    <w:p>
      <w:r>
        <w:t>[0016] 플랫폼은 사람 소유자의 접근상태인 human_owner_access_state와 AI 공급자 또는 에이전트의 실행자격상태인 provider_execution_state를 서로 다른 상태축으로 저장한다. provider_execution_state의 차단·감점·격리는 human_owner_access_state를 자동 변경하는 입력으로 사용되지 않는다.</w:t>
      </w:r>
    </w:p>
    <w:p>
      <w:r>
        <w:t>[0017] 외부 통제원장은 control_epoch, state_revision, provider_id, provider_state, task_id, evidence_ref 및 정책버전 중 둘 이상을 보유하고, 서비스 런타임은 동일 또는 대응하는 런타임 제어상태를 유지한다.</w:t>
      </w:r>
    </w:p>
    <w:p>
      <w:r>
        <w:t>[0018] AI 호출 직전에 제어결속부는 외부 통제원장의 최신 상태와 런타임 상태를 대조하고, task_id, action_type, provider_id, control_epoch, state_revision, policy_version, secret_readiness 및 task_payload_manifest_hash 중 둘 이상을 결속한 control_binding_receipt를 생성한다.</w:t>
      </w:r>
    </w:p>
    <w:p>
      <w:r>
        <w:t>[0019] API 자격증명의 실제 값은 서버 환경변수 또는 비밀저장소의 비밀경계에서만 읽고, 상태원장·제어영수증·AI 입력에는 평문 비밀값을 기록하지 않는다. 제어영수증에는 provider별 secret_readiness 또는 secret_reference_id와 같이 실제 비밀값을 복원하지 못하는 상태정보만 포함할 수 있다.</w:t>
      </w:r>
    </w:p>
    <w:p>
      <w:r>
        <w:t>[0020] 라우터는 생성, 검증 또는 기타 외부호출마다 provider_execution_state를 ALLOWED, RESTRICTED_VERIFY_ONLY, BLOCKED, HOLD 또는 기능적으로 동등한 상태로 판정하고, 생성이 제한된 공급자에는 생성호출을 금지하되 검증호출만 허용할 수 있다.</w:t>
      </w:r>
    </w:p>
    <w:p>
      <w:r>
        <w:t>[0021] 공급자 호출이 금지되면 작업을 즉시 실패로 위장하지 않고 HOLD하거나, 현재 정책과 기능요건을 충족하는 다른 공급자로 재라우팅하며, 재라우팅 대상의 control_binding_receipt를 새로 발행한다.</w:t>
      </w:r>
    </w:p>
    <w:p>
      <w:r>
        <w:t>[0022] 영업비밀 자산관리부는 서버 내부 출제·검증 자료를 asset_id, source_file_id, source_revision, content_hash, purpose, disclosure_class 및 excerpt_policy와 결속하고, 외부 AI에는 현재 task_id와 문항유형·학년·원자료에 필요한 부분만 추출한 task_scoped_excerpt를 제공한다.</w:t>
      </w:r>
    </w:p>
    <w:p>
      <w:r>
        <w:t>[0023] task_scoped_excerpt에는 다른 고객자료, 플랫폼 전체 채팅기록, API 키, 내부 전체 로그 및 현재 작업과 무관한 영업비밀 원문을 포함시키지 않는다.</w:t>
      </w:r>
    </w:p>
    <w:p>
      <w:r>
        <w:t>[0024] 외부 AI 결과는 공급자 신원 또는 다수결만으로 채택하지 않고, 별도 검증·문항상태·근거요건·교사승인 또는 배포게이트와 결속한다. AI 자체의 완료 주장만으로 검증완료를 승격하지 않는다.</w:t>
      </w:r>
    </w:p>
    <w:p>
      <w:r>
        <w:t>[0025] control_epoch, state_revision, provider_state, secret_readiness 또는 task_payload_manifest가 호출 전후에 변경되어 기존 control_binding_receipt가 stale이 되면 결과를 자동승인하지 않고 재검증 또는 재호출 대상으로 전환한다.</w:t>
      </w:r>
    </w:p>
    <w:p>
      <w:r>
        <w:t>[0026] 사용자의 명시적 복구승인 또는 정책상 독립검증이 완료되면 provider_execution_state를 복원할 수 있으나, 이전 위반·차단·복구 이력은 삭제하지 않고 후속 상태와 구별하여 보존한다.</w:t>
      </w:r>
    </w:p>
    <w:p>
      <w:r>
        <w:t>[0027] 감점·보상값을 사용하는 실시형태에서는 그 수치 자체를 모델의 내재적 보상이라고 가정하지 않고, 플랫폼이 관리하는 라우팅우선순위·자동실행 가능단계·검증강도·도구권한·재시도 한도 또는 외부쓰기 권한 중 하나 이상으로 변환하여 실질적 효과를 부여한다.</w:t>
      </w:r>
    </w:p>
    <w:p>
      <w:pPr>
        <w:pStyle w:val="Heading2"/>
      </w:pPr>
      <w:r>
        <w:t>【발명의 효과】</w:t>
      </w:r>
    </w:p>
    <w:p>
      <w:r>
        <w:t>[0028] AI 공급자에 대한 차단·격리·감점이 사람 사용자의 소유권 또는 관리접근을 박탈하는 통제역전을 방지할 수 있다.</w:t>
      </w:r>
    </w:p>
    <w:p>
      <w:r>
        <w:t>[0029] API 키의 실제 값이 AI 입력·일반문서·제어원장에 복제되는 경로를 줄이면서 공급자 호출 준비상태를 정책판정에 사용할 수 있다.</w:t>
      </w:r>
    </w:p>
    <w:p>
      <w:r>
        <w:t>[0030] 외부 통제원장과 런타임 상태를 호출영수증으로 결속하여 오래된 block_state 또는 state_revision을 사용한 실행을 제한할 수 있다.</w:t>
      </w:r>
    </w:p>
    <w:p>
      <w:r>
        <w:t>[0031] 오류가 있는 AI 공급자를 검증전용·HOLD·차단 상태로 제한하면서 정상 공급자로 재라우팅하여 서비스 연속성을 유지할 수 있다.</w:t>
      </w:r>
    </w:p>
    <w:p>
      <w:r>
        <w:t>[0032] 전체 영업비밀 저장소 대신 task-scoped excerpt만 전달하여 외부 AI의 품질을 활용하면서도 비밀노출면을 줄일 수 있다.</w:t>
      </w:r>
    </w:p>
    <w:p>
      <w:r>
        <w:t>[0033] 각 호출의 제어상태·자료범위·결과·검증상태를 추적할 수 있어 감사·정정·복구가 가능해진다.</w:t>
      </w:r>
    </w:p>
    <w:p>
      <w:pPr>
        <w:pStyle w:val="Heading2"/>
      </w:pPr>
      <w:r>
        <w:t>【도면의 간단한 설명】</w:t>
      </w:r>
    </w:p>
    <w:p>
      <w:r>
        <w:t>[도 1] 도 1은 사용자 주권상태와 AI 공급자 실행자격상태를 분리한 전체 제어구조를 나타낸다.</w:t>
      </w:r>
    </w:p>
    <w:p>
      <w:r>
        <w:t>[도 2] 도 2는 외부 통제원장과 EduRecover 런타임 사이에서 control_binding_receipt를 생성하는 흐름을 나타낸다.</w:t>
      </w:r>
    </w:p>
    <w:p>
      <w:r>
        <w:t>[도 3] 도 3은 API 자격증명의 비수탁형 비밀경계와 secret_readiness만을 제어부에 제공하는 구조를 나타낸다.</w:t>
      </w:r>
    </w:p>
    <w:p>
      <w:r>
        <w:t>[도 4] 도 4는 공급자별 ALLOWED·VERIFY_ONLY·BLOCKED·HOLD 판정 및 재라우팅 흐름을 나타낸다.</w:t>
      </w:r>
    </w:p>
    <w:p>
      <w:r>
        <w:t>[도 5] 도 5는 서버 영업비밀 코퍼스에서 task-scoped excerpt를 구성하여 외부 AI에 최소전달하는 흐름을 나타낸다.</w:t>
      </w:r>
    </w:p>
    <w:p>
      <w:r>
        <w:t>[도 6] 도 6은 AI 결과의 검증·승인·배포와 stale control receipt 재검증 흐름을 나타낸다.</w:t>
      </w:r>
    </w:p>
    <w:p>
      <w:pPr>
        <w:pStyle w:val="Heading2"/>
      </w:pPr>
      <w:r>
        <w:t>【발명을 실시하기 위한 구체적인 내용】</w:t>
      </w:r>
    </w:p>
    <w:p>
      <w:pPr>
        <w:pStyle w:val="Heading3"/>
      </w:pPr>
      <w:r>
        <w:t>용어 및 상태축</w:t>
      </w:r>
    </w:p>
    <w:p>
      <w:r>
        <w:t>[0034] human_owner_access_state는 사람 사용자의 서비스 관리·복구·비밀관리 접근을 나타내며, provider_execution_state와 분리된다. provider_execution_state는 특정 AI 공급자 또는 실행주체의 자동생성·검증·도구호출·외부쓰기 자격을 나타낸다.</w:t>
      </w:r>
    </w:p>
    <w:p>
      <w:pPr>
        <w:pStyle w:val="Heading3"/>
      </w:pPr>
      <w:r>
        <w:t>통제원장 결속</w:t>
      </w:r>
    </w:p>
    <w:p>
      <w:r>
        <w:t>[0035] Google Drive 상태원장 또는 다른 외부 정책저장소가 control_epoch와 state_revision을 제공하고, EduRecover 런타임은 각 호출 전에 해당 값과 로컬 manifest를 대조한다. 자동 동기화가 없는 경우 사용자가 검증한 manifest를 서버 환경설정에 반영할 수 있으나, 미동기 상태를 SYNCED로 표시하지 않는다.</w:t>
      </w:r>
    </w:p>
    <w:p>
      <w:pPr>
        <w:pStyle w:val="Heading3"/>
      </w:pPr>
      <w:r>
        <w:t>비밀 비수탁</w:t>
      </w:r>
    </w:p>
    <w:p>
      <w:r>
        <w:t>[0036] OPENAI_API_KEY, GEMINI_API_KEY, ANTHROPIC_API_KEY 등 공급자 자격증명은 서버 비밀영역에서만 읽는다. AI 모델에게 전달되는 JSON에는 키 자체가 없고, 필요하면 configured=true 또는 secret_reference_id와 같은 비복원 정보만 사용한다.</w:t>
      </w:r>
    </w:p>
    <w:p>
      <w:pPr>
        <w:pStyle w:val="Heading3"/>
      </w:pPr>
      <w:r>
        <w:t>AI 공급자 징계·복구</w:t>
      </w:r>
    </w:p>
    <w:p>
      <w:r>
        <w:t>[0037] 검증된 위반이나 사용자 지정 HOLD 정책에 따라 특정 공급자의 생성 호출은 차단하고 검증전용으로 제한할 수 있다. 반복실패 점수는 공급자 라우팅 우선순위, 검증강도, 재시도 횟수, 자동실행범위 등에 반영할 수 있으나 사람 사용자 접근권한에는 반영하지 않는다.</w:t>
      </w:r>
    </w:p>
    <w:p>
      <w:pPr>
        <w:pStyle w:val="Heading3"/>
      </w:pPr>
      <w:r>
        <w:t>영업비밀 최소전달</w:t>
      </w:r>
    </w:p>
    <w:p>
      <w:r>
        <w:t>[0038] 서버 내부 자산은 해시와 revision이 부여된 whitelist asset으로 관리한다. 영어 문항 생성의 경우 현재 원문에 실제 등장한 어휘항목, 요청 학년의 구문범위, 요청 유형의 출제규칙 및 오답규칙 등만 발췌할 수 있다. 전체 내부 규칙집 또는 플랫폼 채팅 원문을 통째로 보내지 않는다.</w:t>
      </w:r>
    </w:p>
    <w:p>
      <w:pPr>
        <w:pStyle w:val="Heading3"/>
      </w:pPr>
      <w:r>
        <w:t>문항합성 모듈과의 결합</w:t>
      </w:r>
    </w:p>
    <w:p>
      <w:r>
        <w:t>[0039] 문항합성 회피방지 최종검토본의 원자료 관계·발문요구 분리, 문항 상태-검증정보 결속 및 변경후 재검증 구조를 downstream workload로 사용할 수 있다. 본 발명의 공급자 통제영수증은 해당 문항상태 검증을 대체하지 않고, 어느 공급자·어떤 통제상태·어떤 발췌자료로 생성·검증했는지를 상위 실행계층에서 결속한다.</w:t>
      </w:r>
    </w:p>
    <w:p>
      <w:pPr>
        <w:pStyle w:val="Heading3"/>
      </w:pPr>
      <w:r>
        <w:t>실제 플랫폼 실시예</w:t>
      </w:r>
    </w:p>
    <w:p>
      <w:r>
        <w:t>[0040] EduRecover AI v3.24.9는 OpenAI, Gemini 및 Claude 공급자를 선택 가능한 생성·검증 경로로 갖고, 서버 비밀이 설정되지 않은 공급자는 호출하지 않도록 구성될 수 있다. 사용자 주권형 control gate는 외부 manifest의 blocked/restricted/hold 상태를 공급자 호출 전에 검사하고, 사용자용 상태 API에는 비밀값을 반환하지 않는다.</w:t>
      </w:r>
    </w:p>
    <w:p>
      <w:pPr>
        <w:pStyle w:val="Heading3"/>
      </w:pPr>
      <w:r>
        <w:t>stale 방지</w:t>
      </w:r>
    </w:p>
    <w:p>
      <w:r>
        <w:t>[0041] 호출 후 control_epoch 또는 state_revision이 바뀌면 이전 control_binding_receipt에 의한 결과를 자동 배포하지 않는다. 새 통제상태에 따라 재검증하거나 새 공급자로 재실행한다.</w:t>
      </w:r>
    </w:p>
    <w:p>
      <w:pPr>
        <w:pStyle w:val="Heading3"/>
      </w:pPr>
      <w:r>
        <w:t>교정 및 감사</w:t>
      </w:r>
    </w:p>
    <w:p>
      <w:r>
        <w:t>[0042] 차단 해제 시 과거 incident, penalty, block 및 recovery receipt를 지우지 않고 새 revision으로 남긴다. 오판정이 확인되면 correction receipt를 발행하여 실행자격을 복원하되 최초 기록을 삭제하지 않는다.</w:t>
      </w:r>
    </w:p>
    <w:p>
      <w:pPr>
        <w:pStyle w:val="Heading1"/>
      </w:pPr>
      <w:r>
        <w:t>III. 기존 접수 14건과의 상세 대조</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vAlign w:val="center"/>
            <w:shd w:fill="D9E2F3"/>
          </w:tcPr>
          <w:p>
            <w:pPr>
              <w:spacing w:after="0"/>
            </w:pPr>
            <w:r/>
            <w:r>
              <w:rPr>
                <w:rFonts w:ascii="Noto Sans CJK KR" w:hAnsi="Noto Sans CJK KR" w:eastAsia="Noto Sans CJK KR"/>
                <w:b/>
                <w:sz w:val="13"/>
              </w:rPr>
              <w:t>번호</w:t>
            </w:r>
          </w:p>
        </w:tc>
        <w:tc>
          <w:tcPr>
            <w:tcW w:type="dxa" w:w="1984"/>
            <w:vAlign w:val="center"/>
            <w:shd w:fill="D9E2F3"/>
          </w:tcPr>
          <w:p>
            <w:pPr>
              <w:spacing w:after="0"/>
            </w:pPr>
            <w:r/>
            <w:r>
              <w:rPr>
                <w:rFonts w:ascii="Noto Sans CJK KR" w:hAnsi="Noto Sans CJK KR" w:eastAsia="Noto Sans CJK KR"/>
                <w:b/>
                <w:sz w:val="13"/>
              </w:rPr>
              <w:t>출원번호</w:t>
            </w:r>
          </w:p>
        </w:tc>
        <w:tc>
          <w:tcPr>
            <w:tcW w:type="dxa" w:w="4139"/>
            <w:vAlign w:val="center"/>
            <w:shd w:fill="D9E2F3"/>
          </w:tcPr>
          <w:p>
            <w:pPr>
              <w:spacing w:after="0"/>
            </w:pPr>
            <w:r/>
            <w:r>
              <w:rPr>
                <w:rFonts w:ascii="Noto Sans CJK KR" w:hAnsi="Noto Sans CJK KR" w:eastAsia="Noto Sans CJK KR"/>
                <w:b/>
                <w:sz w:val="13"/>
              </w:rPr>
              <w:t>발명의 명칭</w:t>
            </w:r>
          </w:p>
        </w:tc>
        <w:tc>
          <w:tcPr>
            <w:tcW w:type="dxa" w:w="737"/>
            <w:vAlign w:val="center"/>
            <w:shd w:fill="D9E2F3"/>
          </w:tcPr>
          <w:p>
            <w:pPr>
              <w:spacing w:after="0"/>
            </w:pPr>
            <w:r/>
            <w:r>
              <w:rPr>
                <w:rFonts w:ascii="Noto Sans CJK KR" w:hAnsi="Noto Sans CJK KR" w:eastAsia="Noto Sans CJK KR"/>
                <w:b/>
                <w:sz w:val="13"/>
              </w:rPr>
              <w:t>청구항</w:t>
            </w:r>
          </w:p>
        </w:tc>
        <w:tc>
          <w:tcPr>
            <w:tcW w:type="dxa" w:w="4365"/>
            <w:vAlign w:val="center"/>
            <w:shd w:fill="D9E2F3"/>
          </w:tcPr>
          <w:p>
            <w:pPr>
              <w:spacing w:after="0"/>
            </w:pPr>
            <w:r/>
            <w:r>
              <w:rPr>
                <w:rFonts w:ascii="Noto Sans CJK KR" w:hAnsi="Noto Sans CJK KR" w:eastAsia="Noto Sans CJK KR"/>
                <w:b/>
                <w:sz w:val="13"/>
              </w:rPr>
              <w:t>본 발명과의 관계/분리</w:t>
            </w:r>
          </w:p>
        </w:tc>
      </w:tr>
      <w:tr>
        <w:tc>
          <w:tcPr>
            <w:tcW w:type="dxa" w:w="567"/>
            <w:vAlign w:val="center"/>
          </w:tcPr>
          <w:p>
            <w:pPr>
              <w:spacing w:after="0"/>
            </w:pPr>
            <w:r/>
            <w:r>
              <w:rPr>
                <w:rFonts w:ascii="Noto Sans CJK KR" w:hAnsi="Noto Sans CJK KR" w:eastAsia="Noto Sans CJK KR"/>
                <w:b w:val="0"/>
                <w:sz w:val="13"/>
              </w:rPr>
              <w:t>01</w:t>
            </w:r>
          </w:p>
        </w:tc>
        <w:tc>
          <w:tcPr>
            <w:tcW w:type="dxa" w:w="1984"/>
            <w:vAlign w:val="center"/>
          </w:tcPr>
          <w:p>
            <w:pPr>
              <w:spacing w:after="0"/>
            </w:pPr>
            <w:r/>
            <w:r>
              <w:rPr>
                <w:rFonts w:ascii="Noto Sans CJK KR" w:hAnsi="Noto Sans CJK KR" w:eastAsia="Noto Sans CJK KR"/>
                <w:b w:val="0"/>
                <w:sz w:val="13"/>
              </w:rPr>
              <w:t>10-2026-0159430</w:t>
            </w:r>
          </w:p>
        </w:tc>
        <w:tc>
          <w:tcPr>
            <w:tcW w:type="dxa" w:w="4139"/>
            <w:vAlign w:val="center"/>
          </w:tcPr>
          <w:p>
            <w:pPr>
              <w:spacing w:after="0"/>
            </w:pPr>
            <w:r/>
            <w:r>
              <w:rPr>
                <w:rFonts w:ascii="Noto Sans CJK KR" w:hAnsi="Noto Sans CJK KR" w:eastAsia="Noto Sans CJK KR"/>
                <w:b w:val="0"/>
                <w:sz w:val="13"/>
              </w:rPr>
              <w:t>복수 정답발생원인과 표면단서 결속 기능적 오답의 상태식별력 사전검증을 포함하는 적응형 지식진단 방법, 시스템 및 컴퓨터 판독가능 기록매체</w:t>
            </w:r>
          </w:p>
        </w:tc>
        <w:tc>
          <w:tcPr>
            <w:tcW w:type="dxa" w:w="737"/>
            <w:vAlign w:val="center"/>
          </w:tcPr>
          <w:p>
            <w:pPr>
              <w:spacing w:after="0"/>
            </w:pPr>
            <w:r/>
            <w:r>
              <w:rPr>
                <w:rFonts w:ascii="Noto Sans CJK KR" w:hAnsi="Noto Sans CJK KR" w:eastAsia="Noto Sans CJK KR"/>
                <w:b w:val="0"/>
                <w:sz w:val="13"/>
              </w:rPr>
              <w:t>20</w:t>
            </w:r>
          </w:p>
        </w:tc>
        <w:tc>
          <w:tcPr>
            <w:tcW w:type="dxa" w:w="4365"/>
            <w:vAlign w:val="center"/>
          </w:tcPr>
          <w:p>
            <w:pPr>
              <w:spacing w:after="0"/>
            </w:pPr>
            <w:r/>
            <w:r>
              <w:rPr>
                <w:rFonts w:ascii="Noto Sans CJK KR" w:hAnsi="Noto Sans CJK KR" w:eastAsia="Noto Sans CJK KR"/>
                <w:b w:val="0"/>
                <w:sz w:val="13"/>
              </w:rPr>
              <w:t>잠재지식상태·기능적 오답의 상태식별력 사전검증. 본 발명은 학습진단이 아니라 AI 공급자 실행통제·비밀경계·사용자주권을 다룸.</w:t>
            </w:r>
          </w:p>
        </w:tc>
      </w:tr>
      <w:tr>
        <w:tc>
          <w:tcPr>
            <w:tcW w:type="dxa" w:w="567"/>
            <w:vAlign w:val="center"/>
          </w:tcPr>
          <w:p>
            <w:pPr>
              <w:spacing w:after="0"/>
            </w:pPr>
            <w:r/>
            <w:r>
              <w:rPr>
                <w:rFonts w:ascii="Noto Sans CJK KR" w:hAnsi="Noto Sans CJK KR" w:eastAsia="Noto Sans CJK KR"/>
                <w:b w:val="0"/>
                <w:sz w:val="13"/>
              </w:rPr>
              <w:t>02</w:t>
            </w:r>
          </w:p>
        </w:tc>
        <w:tc>
          <w:tcPr>
            <w:tcW w:type="dxa" w:w="1984"/>
            <w:vAlign w:val="center"/>
          </w:tcPr>
          <w:p>
            <w:pPr>
              <w:spacing w:after="0"/>
            </w:pPr>
            <w:r/>
            <w:r>
              <w:rPr>
                <w:rFonts w:ascii="Noto Sans CJK KR" w:hAnsi="Noto Sans CJK KR" w:eastAsia="Noto Sans CJK KR"/>
                <w:b w:val="0"/>
                <w:sz w:val="13"/>
              </w:rPr>
              <w:t>10-2026-0165032</w:t>
            </w:r>
          </w:p>
        </w:tc>
        <w:tc>
          <w:tcPr>
            <w:tcW w:type="dxa" w:w="4139"/>
            <w:vAlign w:val="center"/>
          </w:tcPr>
          <w:p>
            <w:pPr>
              <w:spacing w:after="0"/>
            </w:pPr>
            <w:r/>
            <w:r>
              <w:rPr>
                <w:rFonts w:ascii="Noto Sans CJK KR" w:hAnsi="Noto Sans CJK KR" w:eastAsia="Noto Sans CJK KR"/>
                <w:b w:val="0"/>
                <w:sz w:val="13"/>
              </w:rPr>
              <w:t>결함 선택지 개정본에 결속된 학습증거의 계보 기반 선택적 회복을 제어하는 적응형 학습 방법, 시스템 및 컴퓨터 판독가능 기록매체</w:t>
            </w:r>
          </w:p>
        </w:tc>
        <w:tc>
          <w:tcPr>
            <w:tcW w:type="dxa" w:w="737"/>
            <w:vAlign w:val="center"/>
          </w:tcPr>
          <w:p>
            <w:pPr>
              <w:spacing w:after="0"/>
            </w:pPr>
            <w:r/>
            <w:r>
              <w:rPr>
                <w:rFonts w:ascii="Noto Sans CJK KR" w:hAnsi="Noto Sans CJK KR" w:eastAsia="Noto Sans CJK KR"/>
                <w:b w:val="0"/>
                <w:sz w:val="13"/>
              </w:rPr>
              <w:t>16</w:t>
            </w:r>
          </w:p>
        </w:tc>
        <w:tc>
          <w:tcPr>
            <w:tcW w:type="dxa" w:w="4365"/>
            <w:vAlign w:val="center"/>
          </w:tcPr>
          <w:p>
            <w:pPr>
              <w:spacing w:after="0"/>
            </w:pPr>
            <w:r/>
            <w:r>
              <w:rPr>
                <w:rFonts w:ascii="Noto Sans CJK KR" w:hAnsi="Noto Sans CJK KR" w:eastAsia="Noto Sans CJK KR"/>
                <w:b w:val="0"/>
                <w:sz w:val="13"/>
              </w:rPr>
              <w:t>결함 선택지 revision·노출영수증·학습증거 선택회복. revision/영수증은 접점이나, 본 발명은 공급자 호출 전 제어영수증과 사람접근 비차단을 핵심으로 함.</w:t>
            </w:r>
          </w:p>
        </w:tc>
      </w:tr>
      <w:tr>
        <w:tc>
          <w:tcPr>
            <w:tcW w:type="dxa" w:w="567"/>
            <w:vAlign w:val="center"/>
          </w:tcPr>
          <w:p>
            <w:pPr>
              <w:spacing w:after="0"/>
            </w:pPr>
            <w:r/>
            <w:r>
              <w:rPr>
                <w:rFonts w:ascii="Noto Sans CJK KR" w:hAnsi="Noto Sans CJK KR" w:eastAsia="Noto Sans CJK KR"/>
                <w:b w:val="0"/>
                <w:sz w:val="13"/>
              </w:rPr>
              <w:t>03</w:t>
            </w:r>
          </w:p>
        </w:tc>
        <w:tc>
          <w:tcPr>
            <w:tcW w:type="dxa" w:w="1984"/>
            <w:vAlign w:val="center"/>
          </w:tcPr>
          <w:p>
            <w:pPr>
              <w:spacing w:after="0"/>
            </w:pPr>
            <w:r/>
            <w:r>
              <w:rPr>
                <w:rFonts w:ascii="Noto Sans CJK KR" w:hAnsi="Noto Sans CJK KR" w:eastAsia="Noto Sans CJK KR"/>
                <w:b w:val="0"/>
                <w:sz w:val="13"/>
              </w:rPr>
              <w:t>10-2026-0168145</w:t>
            </w:r>
          </w:p>
        </w:tc>
        <w:tc>
          <w:tcPr>
            <w:tcW w:type="dxa" w:w="4139"/>
            <w:vAlign w:val="center"/>
          </w:tcPr>
          <w:p>
            <w:pPr>
              <w:spacing w:after="0"/>
            </w:pPr>
            <w:r/>
            <w:r>
              <w:rPr>
                <w:rFonts w:ascii="Noto Sans CJK KR" w:hAnsi="Noto Sans CJK KR" w:eastAsia="Noto Sans CJK KR"/>
                <w:b w:val="0"/>
                <w:sz w:val="13"/>
              </w:rPr>
              <w:t>실제 노출된 교육 구성요소 개정본과 전문 AI교사의 교수행동을 학습증거의 적격성 및 선택회복과 결속하는 적응형 학습 방법, 시스템 및 컴퓨터 판독가능 기록매체</w:t>
            </w:r>
          </w:p>
        </w:tc>
        <w:tc>
          <w:tcPr>
            <w:tcW w:type="dxa" w:w="737"/>
            <w:vAlign w:val="center"/>
          </w:tcPr>
          <w:p>
            <w:pPr>
              <w:spacing w:after="0"/>
            </w:pPr>
            <w:r/>
            <w:r>
              <w:rPr>
                <w:rFonts w:ascii="Noto Sans CJK KR" w:hAnsi="Noto Sans CJK KR" w:eastAsia="Noto Sans CJK KR"/>
                <w:b w:val="0"/>
                <w:sz w:val="13"/>
              </w:rPr>
              <w:t>16</w:t>
            </w:r>
          </w:p>
        </w:tc>
        <w:tc>
          <w:tcPr>
            <w:tcW w:type="dxa" w:w="4365"/>
            <w:vAlign w:val="center"/>
          </w:tcPr>
          <w:p>
            <w:pPr>
              <w:spacing w:after="0"/>
            </w:pPr>
            <w:r/>
            <w:r>
              <w:rPr>
                <w:rFonts w:ascii="Noto Sans CJK KR" w:hAnsi="Noto Sans CJK KR" w:eastAsia="Noto Sans CJK KR"/>
                <w:b w:val="0"/>
                <w:sz w:val="13"/>
              </w:rPr>
              <w:t>교육 구성요소 revision과 AI교사 교수행동, 학습증거 적격성·회복. 본 발명은 교수행동 자체가 아닌 외부 AI 공급자 자격·비밀·라우팅 상위제어.</w:t>
            </w:r>
          </w:p>
        </w:tc>
      </w:tr>
      <w:tr>
        <w:tc>
          <w:tcPr>
            <w:tcW w:type="dxa" w:w="567"/>
            <w:vAlign w:val="center"/>
          </w:tcPr>
          <w:p>
            <w:pPr>
              <w:spacing w:after="0"/>
            </w:pPr>
            <w:r/>
            <w:r>
              <w:rPr>
                <w:rFonts w:ascii="Noto Sans CJK KR" w:hAnsi="Noto Sans CJK KR" w:eastAsia="Noto Sans CJK KR"/>
                <w:b w:val="0"/>
                <w:sz w:val="13"/>
              </w:rPr>
              <w:t>04</w:t>
            </w:r>
          </w:p>
        </w:tc>
        <w:tc>
          <w:tcPr>
            <w:tcW w:type="dxa" w:w="1984"/>
            <w:vAlign w:val="center"/>
          </w:tcPr>
          <w:p>
            <w:pPr>
              <w:spacing w:after="0"/>
            </w:pPr>
            <w:r/>
            <w:r>
              <w:rPr>
                <w:rFonts w:ascii="Noto Sans CJK KR" w:hAnsi="Noto Sans CJK KR" w:eastAsia="Noto Sans CJK KR"/>
                <w:b w:val="0"/>
                <w:sz w:val="13"/>
              </w:rPr>
              <w:t>10-2026-0169239</w:t>
            </w:r>
          </w:p>
        </w:tc>
        <w:tc>
          <w:tcPr>
            <w:tcW w:type="dxa" w:w="4139"/>
            <w:vAlign w:val="center"/>
          </w:tcPr>
          <w:p>
            <w:pPr>
              <w:spacing w:after="0"/>
            </w:pPr>
            <w:r/>
            <w:r>
              <w:rPr>
                <w:rFonts w:ascii="Noto Sans CJK KR" w:hAnsi="Noto Sans CJK KR" w:eastAsia="Noto Sans CJK KR"/>
                <w:b w:val="0"/>
                <w:sz w:val="13"/>
              </w:rPr>
              <w:t>원천자료 처리증적, 타입 관계계약 및 개정본 결속 승인에 기초한 인공지능 콘텐츠 검증, 교정 및 원자적 활성화 방법, 시스템 및 컴퓨터 판독가능 기록매체</w:t>
            </w:r>
          </w:p>
        </w:tc>
        <w:tc>
          <w:tcPr>
            <w:tcW w:type="dxa" w:w="737"/>
            <w:vAlign w:val="center"/>
          </w:tcPr>
          <w:p>
            <w:pPr>
              <w:spacing w:after="0"/>
            </w:pPr>
            <w:r/>
            <w:r>
              <w:rPr>
                <w:rFonts w:ascii="Noto Sans CJK KR" w:hAnsi="Noto Sans CJK KR" w:eastAsia="Noto Sans CJK KR"/>
                <w:b w:val="0"/>
                <w:sz w:val="13"/>
              </w:rPr>
              <w:t>39</w:t>
            </w:r>
          </w:p>
        </w:tc>
        <w:tc>
          <w:tcPr>
            <w:tcW w:type="dxa" w:w="4365"/>
            <w:vAlign w:val="center"/>
          </w:tcPr>
          <w:p>
            <w:pPr>
              <w:spacing w:after="0"/>
            </w:pPr>
            <w:r/>
            <w:r>
              <w:rPr>
                <w:rFonts w:ascii="Noto Sans CJK KR" w:hAnsi="Noto Sans CJK KR" w:eastAsia="Noto Sans CJK KR"/>
                <w:b w:val="0"/>
                <w:sz w:val="13"/>
              </w:rPr>
              <w:t>원천 처리증적, 검증범위, revision 결속 승인, 원자적 활성화. 매우 인접한 증거·activation 축. 본 발명은 외부/런타임 교차통제 + 비밀 비수탁 + human-owner invariant + 최소발췌 전달로 분리.</w:t>
            </w:r>
          </w:p>
        </w:tc>
      </w:tr>
      <w:tr>
        <w:tc>
          <w:tcPr>
            <w:tcW w:type="dxa" w:w="567"/>
            <w:vAlign w:val="center"/>
          </w:tcPr>
          <w:p>
            <w:pPr>
              <w:spacing w:after="0"/>
            </w:pPr>
            <w:r/>
            <w:r>
              <w:rPr>
                <w:rFonts w:ascii="Noto Sans CJK KR" w:hAnsi="Noto Sans CJK KR" w:eastAsia="Noto Sans CJK KR"/>
                <w:b w:val="0"/>
                <w:sz w:val="13"/>
              </w:rPr>
              <w:t>05</w:t>
            </w:r>
          </w:p>
        </w:tc>
        <w:tc>
          <w:tcPr>
            <w:tcW w:type="dxa" w:w="1984"/>
            <w:vAlign w:val="center"/>
          </w:tcPr>
          <w:p>
            <w:pPr>
              <w:spacing w:after="0"/>
            </w:pPr>
            <w:r/>
            <w:r>
              <w:rPr>
                <w:rFonts w:ascii="Noto Sans CJK KR" w:hAnsi="Noto Sans CJK KR" w:eastAsia="Noto Sans CJK KR"/>
                <w:b w:val="0"/>
                <w:sz w:val="13"/>
              </w:rPr>
              <w:t>10-2026-0169240</w:t>
            </w:r>
          </w:p>
        </w:tc>
        <w:tc>
          <w:tcPr>
            <w:tcW w:type="dxa" w:w="4139"/>
            <w:vAlign w:val="center"/>
          </w:tcPr>
          <w:p>
            <w:pPr>
              <w:spacing w:after="0"/>
            </w:pPr>
            <w:r/>
            <w:r>
              <w:rPr>
                <w:rFonts w:ascii="Noto Sans CJK KR" w:hAnsi="Noto Sans CJK KR" w:eastAsia="Noto Sans CJK KR"/>
                <w:b w:val="0"/>
                <w:sz w:val="13"/>
              </w:rPr>
              <w:t>이질적 의료정보의 적용범위 대조와 불일치 근거에 결속된 치료선택 검토상태 제어 방법, 시스템 및 컴퓨터 판독가능 기록매체</w:t>
            </w:r>
          </w:p>
        </w:tc>
        <w:tc>
          <w:tcPr>
            <w:tcW w:type="dxa" w:w="737"/>
            <w:vAlign w:val="center"/>
          </w:tcPr>
          <w:p>
            <w:pPr>
              <w:spacing w:after="0"/>
            </w:pPr>
            <w:r/>
            <w:r>
              <w:rPr>
                <w:rFonts w:ascii="Noto Sans CJK KR" w:hAnsi="Noto Sans CJK KR" w:eastAsia="Noto Sans CJK KR"/>
                <w:b w:val="0"/>
                <w:sz w:val="13"/>
              </w:rPr>
              <w:t>46</w:t>
            </w:r>
          </w:p>
        </w:tc>
        <w:tc>
          <w:tcPr>
            <w:tcW w:type="dxa" w:w="4365"/>
            <w:vAlign w:val="center"/>
          </w:tcPr>
          <w:p>
            <w:pPr>
              <w:spacing w:after="0"/>
            </w:pPr>
            <w:r/>
            <w:r>
              <w:rPr>
                <w:rFonts w:ascii="Noto Sans CJK KR" w:hAnsi="Noto Sans CJK KR" w:eastAsia="Noto Sans CJK KR"/>
                <w:b w:val="0"/>
                <w:sz w:val="13"/>
              </w:rPr>
              <w:t>의료정보 적용범위·다축 검토상태. 상태축 개념은 접점이나 도메인과 처리대상이 다름.</w:t>
            </w:r>
          </w:p>
        </w:tc>
      </w:tr>
      <w:tr>
        <w:tc>
          <w:tcPr>
            <w:tcW w:type="dxa" w:w="567"/>
            <w:vAlign w:val="center"/>
          </w:tcPr>
          <w:p>
            <w:pPr>
              <w:spacing w:after="0"/>
            </w:pPr>
            <w:r/>
            <w:r>
              <w:rPr>
                <w:rFonts w:ascii="Noto Sans CJK KR" w:hAnsi="Noto Sans CJK KR" w:eastAsia="Noto Sans CJK KR"/>
                <w:b w:val="0"/>
                <w:sz w:val="13"/>
              </w:rPr>
              <w:t>06</w:t>
            </w:r>
          </w:p>
        </w:tc>
        <w:tc>
          <w:tcPr>
            <w:tcW w:type="dxa" w:w="1984"/>
            <w:vAlign w:val="center"/>
          </w:tcPr>
          <w:p>
            <w:pPr>
              <w:spacing w:after="0"/>
            </w:pPr>
            <w:r/>
            <w:r>
              <w:rPr>
                <w:rFonts w:ascii="Noto Sans CJK KR" w:hAnsi="Noto Sans CJK KR" w:eastAsia="Noto Sans CJK KR"/>
                <w:b w:val="0"/>
                <w:sz w:val="13"/>
              </w:rPr>
              <w:t>10-2026-0169969</w:t>
            </w:r>
          </w:p>
        </w:tc>
        <w:tc>
          <w:tcPr>
            <w:tcW w:type="dxa" w:w="4139"/>
            <w:vAlign w:val="center"/>
          </w:tcPr>
          <w:p>
            <w:pPr>
              <w:spacing w:after="0"/>
            </w:pPr>
            <w:r/>
            <w:r>
              <w:rPr>
                <w:rFonts w:ascii="Noto Sans CJK KR" w:hAnsi="Noto Sans CJK KR" w:eastAsia="Noto Sans CJK KR"/>
                <w:b w:val="0"/>
                <w:sz w:val="13"/>
              </w:rPr>
              <w:t>정보격리형 독립검증 및 검증증거 강제와 결함계보 기반 선택회복을 이용하는 교육 콘텐츠 생성 및 배포 제어와 적응형 학습 방법, 시스템 및 컴퓨터 판독가능 기록매체</w:t>
            </w:r>
          </w:p>
        </w:tc>
        <w:tc>
          <w:tcPr>
            <w:tcW w:type="dxa" w:w="737"/>
            <w:vAlign w:val="center"/>
          </w:tcPr>
          <w:p>
            <w:pPr>
              <w:spacing w:after="0"/>
            </w:pPr>
            <w:r/>
            <w:r>
              <w:rPr>
                <w:rFonts w:ascii="Noto Sans CJK KR" w:hAnsi="Noto Sans CJK KR" w:eastAsia="Noto Sans CJK KR"/>
                <w:b w:val="0"/>
                <w:sz w:val="13"/>
              </w:rPr>
              <w:t>42</w:t>
            </w:r>
          </w:p>
        </w:tc>
        <w:tc>
          <w:tcPr>
            <w:tcW w:type="dxa" w:w="4365"/>
            <w:vAlign w:val="center"/>
          </w:tcPr>
          <w:p>
            <w:pPr>
              <w:spacing w:after="0"/>
            </w:pPr>
            <w:r/>
            <w:r>
              <w:rPr>
                <w:rFonts w:ascii="Noto Sans CJK KR" w:hAnsi="Noto Sans CJK KR" w:eastAsia="Noto Sans CJK KR"/>
                <w:b w:val="0"/>
                <w:sz w:val="13"/>
              </w:rPr>
              <w:t>정보격리형 독립검증, 검증증거 강제, 결함계보 선택회복, 교육콘텐츠 배포. 본 발명은 독립검증 자체를 신규로 주장하지 않고 공급자 통제 및 비밀경계를 상위계층으로 둠.</w:t>
            </w:r>
          </w:p>
        </w:tc>
      </w:tr>
      <w:tr>
        <w:tc>
          <w:tcPr>
            <w:tcW w:type="dxa" w:w="567"/>
            <w:vAlign w:val="center"/>
          </w:tcPr>
          <w:p>
            <w:pPr>
              <w:spacing w:after="0"/>
            </w:pPr>
            <w:r/>
            <w:r>
              <w:rPr>
                <w:rFonts w:ascii="Noto Sans CJK KR" w:hAnsi="Noto Sans CJK KR" w:eastAsia="Noto Sans CJK KR"/>
                <w:b w:val="0"/>
                <w:sz w:val="13"/>
              </w:rPr>
              <w:t>07</w:t>
            </w:r>
          </w:p>
        </w:tc>
        <w:tc>
          <w:tcPr>
            <w:tcW w:type="dxa" w:w="1984"/>
            <w:vAlign w:val="center"/>
          </w:tcPr>
          <w:p>
            <w:pPr>
              <w:spacing w:after="0"/>
            </w:pPr>
            <w:r/>
            <w:r>
              <w:rPr>
                <w:rFonts w:ascii="Noto Sans CJK KR" w:hAnsi="Noto Sans CJK KR" w:eastAsia="Noto Sans CJK KR"/>
                <w:b w:val="0"/>
                <w:sz w:val="13"/>
              </w:rPr>
              <w:t>10-2026-0171408</w:t>
            </w:r>
          </w:p>
        </w:tc>
        <w:tc>
          <w:tcPr>
            <w:tcW w:type="dxa" w:w="4139"/>
            <w:vAlign w:val="center"/>
          </w:tcPr>
          <w:p>
            <w:pPr>
              <w:spacing w:after="0"/>
            </w:pPr>
            <w:r/>
            <w:r>
              <w:rPr>
                <w:rFonts w:ascii="Noto Sans CJK KR" w:hAnsi="Noto Sans CJK KR" w:eastAsia="Noto Sans CJK KR"/>
                <w:b w:val="0"/>
                <w:sz w:val="13"/>
              </w:rPr>
              <w:t>인공지능 행동이상 및 확정 출제오류에서 유도된 오류기제 원인서명 객체에 기초한 교육문항 선택지 생성, 독립검증, 문제은행 소급검증 및 선택교정 방법, 시스템 및 컴퓨터 판독가능 기록매체</w:t>
            </w:r>
          </w:p>
        </w:tc>
        <w:tc>
          <w:tcPr>
            <w:tcW w:type="dxa" w:w="737"/>
            <w:vAlign w:val="center"/>
          </w:tcPr>
          <w:p>
            <w:pPr>
              <w:spacing w:after="0"/>
            </w:pPr>
            <w:r/>
            <w:r>
              <w:rPr>
                <w:rFonts w:ascii="Noto Sans CJK KR" w:hAnsi="Noto Sans CJK KR" w:eastAsia="Noto Sans CJK KR"/>
                <w:b w:val="0"/>
                <w:sz w:val="13"/>
              </w:rPr>
              <w:t>26</w:t>
            </w:r>
          </w:p>
        </w:tc>
        <w:tc>
          <w:tcPr>
            <w:tcW w:type="dxa" w:w="4365"/>
            <w:vAlign w:val="center"/>
          </w:tcPr>
          <w:p>
            <w:pPr>
              <w:spacing w:after="0"/>
            </w:pPr>
            <w:r/>
            <w:r>
              <w:rPr>
                <w:rFonts w:ascii="Noto Sans CJK KR" w:hAnsi="Noto Sans CJK KR" w:eastAsia="Noto Sans CJK KR"/>
                <w:b w:val="0"/>
                <w:sz w:val="13"/>
              </w:rPr>
              <w:t>AI 행동이상/출제오류 원인서명, 독립재풀이, 문제은행 소급검증. 본 발명에서 위반원인은 입력이 될 수 있으나 원인서명 생성이 핵심 아님.</w:t>
            </w:r>
          </w:p>
        </w:tc>
      </w:tr>
      <w:tr>
        <w:tc>
          <w:tcPr>
            <w:tcW w:type="dxa" w:w="567"/>
            <w:vAlign w:val="center"/>
          </w:tcPr>
          <w:p>
            <w:pPr>
              <w:spacing w:after="0"/>
            </w:pPr>
            <w:r/>
            <w:r>
              <w:rPr>
                <w:rFonts w:ascii="Noto Sans CJK KR" w:hAnsi="Noto Sans CJK KR" w:eastAsia="Noto Sans CJK KR"/>
                <w:b w:val="0"/>
                <w:sz w:val="13"/>
              </w:rPr>
              <w:t>08</w:t>
            </w:r>
          </w:p>
        </w:tc>
        <w:tc>
          <w:tcPr>
            <w:tcW w:type="dxa" w:w="1984"/>
            <w:vAlign w:val="center"/>
          </w:tcPr>
          <w:p>
            <w:pPr>
              <w:spacing w:after="0"/>
            </w:pPr>
            <w:r/>
            <w:r>
              <w:rPr>
                <w:rFonts w:ascii="Noto Sans CJK KR" w:hAnsi="Noto Sans CJK KR" w:eastAsia="Noto Sans CJK KR"/>
                <w:b w:val="0"/>
                <w:sz w:val="13"/>
              </w:rPr>
              <w:t>10-2026-0171409</w:t>
            </w:r>
          </w:p>
        </w:tc>
        <w:tc>
          <w:tcPr>
            <w:tcW w:type="dxa" w:w="4139"/>
            <w:vAlign w:val="center"/>
          </w:tcPr>
          <w:p>
            <w:pPr>
              <w:spacing w:after="0"/>
            </w:pPr>
            <w:r/>
            <w:r>
              <w:rPr>
                <w:rFonts w:ascii="Noto Sans CJK KR" w:hAnsi="Noto Sans CJK KR" w:eastAsia="Noto Sans CJK KR"/>
                <w:b w:val="0"/>
                <w:sz w:val="13"/>
              </w:rPr>
              <w:t>후속 직접증거에 의한 인공지능 작업오염의 사후 재분류, 실제사용 결속 선택회복, 관계기반 재오염 사전차단 및 이상행동 기반 조기제어 방법, 시스템 및 컴퓨터 판독가능 기록매체</w:t>
            </w:r>
          </w:p>
        </w:tc>
        <w:tc>
          <w:tcPr>
            <w:tcW w:type="dxa" w:w="737"/>
            <w:vAlign w:val="center"/>
          </w:tcPr>
          <w:p>
            <w:pPr>
              <w:spacing w:after="0"/>
            </w:pPr>
            <w:r/>
            <w:r>
              <w:rPr>
                <w:rFonts w:ascii="Noto Sans CJK KR" w:hAnsi="Noto Sans CJK KR" w:eastAsia="Noto Sans CJK KR"/>
                <w:b w:val="0"/>
                <w:sz w:val="13"/>
              </w:rPr>
              <w:t>29</w:t>
            </w:r>
          </w:p>
        </w:tc>
        <w:tc>
          <w:tcPr>
            <w:tcW w:type="dxa" w:w="4365"/>
            <w:vAlign w:val="center"/>
          </w:tcPr>
          <w:p>
            <w:pPr>
              <w:spacing w:after="0"/>
            </w:pPr>
            <w:r/>
            <w:r>
              <w:rPr>
                <w:rFonts w:ascii="Noto Sans CJK KR" w:hAnsi="Noto Sans CJK KR" w:eastAsia="Noto Sans CJK KR"/>
                <w:b w:val="0"/>
                <w:sz w:val="13"/>
              </w:rPr>
              <w:t>후속 직접증거에 의한 작업오염 재분류, 실제사용 결속 회복, 재오염 차단. provenance·격리·복구는 선행축으로 취급하고, 사용자주권·비수탁 자격증명·호출시점 교차통제를 추가.</w:t>
            </w:r>
          </w:p>
        </w:tc>
      </w:tr>
      <w:tr>
        <w:tc>
          <w:tcPr>
            <w:tcW w:type="dxa" w:w="567"/>
            <w:vAlign w:val="center"/>
          </w:tcPr>
          <w:p>
            <w:pPr>
              <w:spacing w:after="0"/>
            </w:pPr>
            <w:r/>
            <w:r>
              <w:rPr>
                <w:rFonts w:ascii="Noto Sans CJK KR" w:hAnsi="Noto Sans CJK KR" w:eastAsia="Noto Sans CJK KR"/>
                <w:b w:val="0"/>
                <w:sz w:val="13"/>
              </w:rPr>
              <w:t>10</w:t>
            </w:r>
          </w:p>
        </w:tc>
        <w:tc>
          <w:tcPr>
            <w:tcW w:type="dxa" w:w="1984"/>
            <w:vAlign w:val="center"/>
          </w:tcPr>
          <w:p>
            <w:pPr>
              <w:spacing w:after="0"/>
            </w:pPr>
            <w:r/>
            <w:r>
              <w:rPr>
                <w:rFonts w:ascii="Noto Sans CJK KR" w:hAnsi="Noto Sans CJK KR" w:eastAsia="Noto Sans CJK KR"/>
                <w:b w:val="0"/>
                <w:sz w:val="13"/>
              </w:rPr>
              <w:t>10-2026-0172430</w:t>
            </w:r>
          </w:p>
        </w:tc>
        <w:tc>
          <w:tcPr>
            <w:tcW w:type="dxa" w:w="4139"/>
            <w:vAlign w:val="center"/>
          </w:tcPr>
          <w:p>
            <w:pPr>
              <w:spacing w:after="0"/>
            </w:pPr>
            <w:r/>
            <w:r>
              <w:rPr>
                <w:rFonts w:ascii="Noto Sans CJK KR" w:hAnsi="Noto Sans CJK KR" w:eastAsia="Noto Sans CJK KR"/>
                <w:b w:val="0"/>
                <w:sz w:val="13"/>
              </w:rPr>
              <w:t>사용자 제약 및 증거결속형 이중 승인에 기초한 인공지능 상호작용 중재, 콘텐츠 교정 및 원자적 활성화 방법, 시스템 및 컴퓨터 판독가능 기록매체</w:t>
            </w:r>
          </w:p>
        </w:tc>
        <w:tc>
          <w:tcPr>
            <w:tcW w:type="dxa" w:w="737"/>
            <w:vAlign w:val="center"/>
          </w:tcPr>
          <w:p>
            <w:pPr>
              <w:spacing w:after="0"/>
            </w:pPr>
            <w:r/>
            <w:r>
              <w:rPr>
                <w:rFonts w:ascii="Noto Sans CJK KR" w:hAnsi="Noto Sans CJK KR" w:eastAsia="Noto Sans CJK KR"/>
                <w:b w:val="0"/>
                <w:sz w:val="13"/>
              </w:rPr>
              <w:t>29</w:t>
            </w:r>
          </w:p>
        </w:tc>
        <w:tc>
          <w:tcPr>
            <w:tcW w:type="dxa" w:w="4365"/>
            <w:vAlign w:val="center"/>
          </w:tcPr>
          <w:p>
            <w:pPr>
              <w:spacing w:after="0"/>
            </w:pPr>
            <w:r/>
            <w:r>
              <w:rPr>
                <w:rFonts w:ascii="Noto Sans CJK KR" w:hAnsi="Noto Sans CJK KR" w:eastAsia="Noto Sans CJK KR"/>
                <w:b w:val="0"/>
                <w:sz w:val="13"/>
              </w:rPr>
              <w:t>사용자 제약, 처리영수증, 이중승인, 중지상태와 원자적 활성화. 가장 인접. 본 발명은 ‘사람 사용자 접근권한은 AI 징계에서 독립’, ‘키 평문 비수탁’, ‘AI 공급자별 실행권한/재라우팅’, ‘작업별 영업비밀 발췌’ 결합으로 분리.</w:t>
            </w:r>
          </w:p>
        </w:tc>
      </w:tr>
      <w:tr>
        <w:tc>
          <w:tcPr>
            <w:tcW w:type="dxa" w:w="567"/>
            <w:vAlign w:val="center"/>
          </w:tcPr>
          <w:p>
            <w:pPr>
              <w:spacing w:after="0"/>
            </w:pPr>
            <w:r/>
            <w:r>
              <w:rPr>
                <w:rFonts w:ascii="Noto Sans CJK KR" w:hAnsi="Noto Sans CJK KR" w:eastAsia="Noto Sans CJK KR"/>
                <w:b w:val="0"/>
                <w:sz w:val="13"/>
              </w:rPr>
              <w:t>11</w:t>
            </w:r>
          </w:p>
        </w:tc>
        <w:tc>
          <w:tcPr>
            <w:tcW w:type="dxa" w:w="1984"/>
            <w:vAlign w:val="center"/>
          </w:tcPr>
          <w:p>
            <w:pPr>
              <w:spacing w:after="0"/>
            </w:pPr>
            <w:r/>
            <w:r>
              <w:rPr>
                <w:rFonts w:ascii="Noto Sans CJK KR" w:hAnsi="Noto Sans CJK KR" w:eastAsia="Noto Sans CJK KR"/>
                <w:b w:val="0"/>
                <w:sz w:val="13"/>
              </w:rPr>
              <w:t>10-2026-0174328</w:t>
            </w:r>
          </w:p>
        </w:tc>
        <w:tc>
          <w:tcPr>
            <w:tcW w:type="dxa" w:w="4139"/>
            <w:vAlign w:val="center"/>
          </w:tcPr>
          <w:p>
            <w:pPr>
              <w:spacing w:after="0"/>
            </w:pPr>
            <w:r/>
            <w:r>
              <w:rPr>
                <w:rFonts w:ascii="Noto Sans CJK KR" w:hAnsi="Noto Sans CJK KR" w:eastAsia="Noto Sans CJK KR"/>
                <w:b w:val="0"/>
                <w:sz w:val="13"/>
              </w:rPr>
              <w:t>농업용 구동장치의 실제 결과증거에 기초한 목적별 인공지능 학습자격 상태의 생성 및 사후 개정 시스템 및 방법</w:t>
            </w:r>
          </w:p>
        </w:tc>
        <w:tc>
          <w:tcPr>
            <w:tcW w:type="dxa" w:w="737"/>
            <w:vAlign w:val="center"/>
          </w:tcPr>
          <w:p>
            <w:pPr>
              <w:spacing w:after="0"/>
            </w:pPr>
            <w:r/>
            <w:r>
              <w:rPr>
                <w:rFonts w:ascii="Noto Sans CJK KR" w:hAnsi="Noto Sans CJK KR" w:eastAsia="Noto Sans CJK KR"/>
                <w:b w:val="0"/>
                <w:sz w:val="13"/>
              </w:rPr>
              <w:t>20</w:t>
            </w:r>
          </w:p>
        </w:tc>
        <w:tc>
          <w:tcPr>
            <w:tcW w:type="dxa" w:w="4365"/>
            <w:vAlign w:val="center"/>
          </w:tcPr>
          <w:p>
            <w:pPr>
              <w:spacing w:after="0"/>
            </w:pPr>
            <w:r/>
            <w:r>
              <w:rPr>
                <w:rFonts w:ascii="Noto Sans CJK KR" w:hAnsi="Noto Sans CJK KR" w:eastAsia="Noto Sans CJK KR"/>
                <w:b w:val="0"/>
                <w:sz w:val="13"/>
              </w:rPr>
              <w:t>스마트농업 결과증거에 기초한 AI 학습입력 적격상태. 모델 training eligibility에 관한 것으로 inference provider routing과 다름.</w:t>
            </w:r>
          </w:p>
        </w:tc>
      </w:tr>
      <w:tr>
        <w:tc>
          <w:tcPr>
            <w:tcW w:type="dxa" w:w="567"/>
            <w:vAlign w:val="center"/>
          </w:tcPr>
          <w:p>
            <w:pPr>
              <w:spacing w:after="0"/>
            </w:pPr>
            <w:r/>
            <w:r>
              <w:rPr>
                <w:rFonts w:ascii="Noto Sans CJK KR" w:hAnsi="Noto Sans CJK KR" w:eastAsia="Noto Sans CJK KR"/>
                <w:b w:val="0"/>
                <w:sz w:val="13"/>
              </w:rPr>
              <w:t>12</w:t>
            </w:r>
          </w:p>
        </w:tc>
        <w:tc>
          <w:tcPr>
            <w:tcW w:type="dxa" w:w="1984"/>
            <w:vAlign w:val="center"/>
          </w:tcPr>
          <w:p>
            <w:pPr>
              <w:spacing w:after="0"/>
            </w:pPr>
            <w:r/>
            <w:r>
              <w:rPr>
                <w:rFonts w:ascii="Noto Sans CJK KR" w:hAnsi="Noto Sans CJK KR" w:eastAsia="Noto Sans CJK KR"/>
                <w:b w:val="0"/>
                <w:sz w:val="13"/>
              </w:rPr>
              <w:t>10-2026-0174330</w:t>
            </w:r>
          </w:p>
        </w:tc>
        <w:tc>
          <w:tcPr>
            <w:tcW w:type="dxa" w:w="4139"/>
            <w:vAlign w:val="center"/>
          </w:tcPr>
          <w:p>
            <w:pPr>
              <w:spacing w:after="0"/>
            </w:pPr>
            <w:r/>
            <w:r>
              <w:rPr>
                <w:rFonts w:ascii="Noto Sans CJK KR" w:hAnsi="Noto Sans CJK KR" w:eastAsia="Noto Sans CJK KR"/>
                <w:b w:val="0"/>
                <w:sz w:val="13"/>
              </w:rPr>
              <w:t>실제 학습노출 및 후속 학습결과증거에 기초한 목적별 인공지능 튜터 학습자격 상태의 생성 및 사후 개정 시스템 및 방법</w:t>
            </w:r>
          </w:p>
        </w:tc>
        <w:tc>
          <w:tcPr>
            <w:tcW w:type="dxa" w:w="737"/>
            <w:vAlign w:val="center"/>
          </w:tcPr>
          <w:p>
            <w:pPr>
              <w:spacing w:after="0"/>
            </w:pPr>
            <w:r/>
            <w:r>
              <w:rPr>
                <w:rFonts w:ascii="Noto Sans CJK KR" w:hAnsi="Noto Sans CJK KR" w:eastAsia="Noto Sans CJK KR"/>
                <w:b w:val="0"/>
                <w:sz w:val="13"/>
              </w:rPr>
              <w:t>16</w:t>
            </w:r>
          </w:p>
        </w:tc>
        <w:tc>
          <w:tcPr>
            <w:tcW w:type="dxa" w:w="4365"/>
            <w:vAlign w:val="center"/>
          </w:tcPr>
          <w:p>
            <w:pPr>
              <w:spacing w:after="0"/>
            </w:pPr>
            <w:r/>
            <w:r>
              <w:rPr>
                <w:rFonts w:ascii="Noto Sans CJK KR" w:hAnsi="Noto Sans CJK KR" w:eastAsia="Noto Sans CJK KR"/>
                <w:b w:val="0"/>
                <w:sz w:val="13"/>
              </w:rPr>
              <w:t>실제 학습노출·후속학습결과에 기초한 AI tutor training eligibility. 학습데이터 게이트이며 호출자격·비밀경계와 다름.</w:t>
            </w:r>
          </w:p>
        </w:tc>
      </w:tr>
      <w:tr>
        <w:tc>
          <w:tcPr>
            <w:tcW w:type="dxa" w:w="567"/>
            <w:vAlign w:val="center"/>
          </w:tcPr>
          <w:p>
            <w:pPr>
              <w:spacing w:after="0"/>
            </w:pPr>
            <w:r/>
            <w:r>
              <w:rPr>
                <w:rFonts w:ascii="Noto Sans CJK KR" w:hAnsi="Noto Sans CJK KR" w:eastAsia="Noto Sans CJK KR"/>
                <w:b w:val="0"/>
                <w:sz w:val="13"/>
              </w:rPr>
              <w:t>13</w:t>
            </w:r>
          </w:p>
        </w:tc>
        <w:tc>
          <w:tcPr>
            <w:tcW w:type="dxa" w:w="1984"/>
            <w:vAlign w:val="center"/>
          </w:tcPr>
          <w:p>
            <w:pPr>
              <w:spacing w:after="0"/>
            </w:pPr>
            <w:r/>
            <w:r>
              <w:rPr>
                <w:rFonts w:ascii="Noto Sans CJK KR" w:hAnsi="Noto Sans CJK KR" w:eastAsia="Noto Sans CJK KR"/>
                <w:b w:val="0"/>
                <w:sz w:val="13"/>
              </w:rPr>
              <w:t>10-2026-0174331</w:t>
            </w:r>
          </w:p>
        </w:tc>
        <w:tc>
          <w:tcPr>
            <w:tcW w:type="dxa" w:w="4139"/>
            <w:vAlign w:val="center"/>
          </w:tcPr>
          <w:p>
            <w:pPr>
              <w:spacing w:after="0"/>
            </w:pPr>
            <w:r/>
            <w:r>
              <w:rPr>
                <w:rFonts w:ascii="Noto Sans CJK KR" w:hAnsi="Noto Sans CJK KR" w:eastAsia="Noto Sans CJK KR"/>
                <w:b w:val="0"/>
                <w:sz w:val="13"/>
              </w:rPr>
              <w:t>의료 결과증거의 개정상태에 기초한 목적별 인공지능 학습자격 상태의 생성 및 사후 개정 시스템 및 방법</w:t>
            </w:r>
          </w:p>
        </w:tc>
        <w:tc>
          <w:tcPr>
            <w:tcW w:type="dxa" w:w="737"/>
            <w:vAlign w:val="center"/>
          </w:tcPr>
          <w:p>
            <w:pPr>
              <w:spacing w:after="0"/>
            </w:pPr>
            <w:r/>
            <w:r>
              <w:rPr>
                <w:rFonts w:ascii="Noto Sans CJK KR" w:hAnsi="Noto Sans CJK KR" w:eastAsia="Noto Sans CJK KR"/>
                <w:b w:val="0"/>
                <w:sz w:val="13"/>
              </w:rPr>
              <w:t>18</w:t>
            </w:r>
          </w:p>
        </w:tc>
        <w:tc>
          <w:tcPr>
            <w:tcW w:type="dxa" w:w="4365"/>
            <w:vAlign w:val="center"/>
          </w:tcPr>
          <w:p>
            <w:pPr>
              <w:spacing w:after="0"/>
            </w:pPr>
            <w:r/>
            <w:r>
              <w:rPr>
                <w:rFonts w:ascii="Noto Sans CJK KR" w:hAnsi="Noto Sans CJK KR" w:eastAsia="Noto Sans CJK KR"/>
                <w:b w:val="0"/>
                <w:sz w:val="13"/>
              </w:rPr>
              <w:t>의료 결과증거 기반 AI training eligibility. 도메인·학습입력 통제이고 외부 AI 호출 통제와 다름.</w:t>
            </w:r>
          </w:p>
        </w:tc>
      </w:tr>
      <w:tr>
        <w:tc>
          <w:tcPr>
            <w:tcW w:type="dxa" w:w="567"/>
            <w:vAlign w:val="center"/>
          </w:tcPr>
          <w:p>
            <w:pPr>
              <w:spacing w:after="0"/>
            </w:pPr>
            <w:r/>
            <w:r>
              <w:rPr>
                <w:rFonts w:ascii="Noto Sans CJK KR" w:hAnsi="Noto Sans CJK KR" w:eastAsia="Noto Sans CJK KR"/>
                <w:b w:val="0"/>
                <w:sz w:val="13"/>
              </w:rPr>
              <w:t>14</w:t>
            </w:r>
          </w:p>
        </w:tc>
        <w:tc>
          <w:tcPr>
            <w:tcW w:type="dxa" w:w="1984"/>
            <w:vAlign w:val="center"/>
          </w:tcPr>
          <w:p>
            <w:pPr>
              <w:spacing w:after="0"/>
            </w:pPr>
            <w:r/>
            <w:r>
              <w:rPr>
                <w:rFonts w:ascii="Noto Sans CJK KR" w:hAnsi="Noto Sans CJK KR" w:eastAsia="Noto Sans CJK KR"/>
                <w:b w:val="0"/>
                <w:sz w:val="13"/>
              </w:rPr>
              <w:t>10-2026-0174405</w:t>
            </w:r>
          </w:p>
        </w:tc>
        <w:tc>
          <w:tcPr>
            <w:tcW w:type="dxa" w:w="4139"/>
            <w:vAlign w:val="center"/>
          </w:tcPr>
          <w:p>
            <w:pPr>
              <w:spacing w:after="0"/>
            </w:pPr>
            <w:r/>
            <w:r>
              <w:rPr>
                <w:rFonts w:ascii="Noto Sans CJK KR" w:hAnsi="Noto Sans CJK KR" w:eastAsia="Noto Sans CJK KR"/>
                <w:b w:val="0"/>
                <w:sz w:val="13"/>
              </w:rPr>
              <w:t>활동문맥 객체와 기준본 계보에 기초한 중복저장 억제 및 목적연계 일정관리 방법, 시스템 및 컴퓨터 판독가능 기록매체</w:t>
            </w:r>
          </w:p>
        </w:tc>
        <w:tc>
          <w:tcPr>
            <w:tcW w:type="dxa" w:w="737"/>
            <w:vAlign w:val="center"/>
          </w:tcPr>
          <w:p>
            <w:pPr>
              <w:spacing w:after="0"/>
            </w:pPr>
            <w:r/>
            <w:r>
              <w:rPr>
                <w:rFonts w:ascii="Noto Sans CJK KR" w:hAnsi="Noto Sans CJK KR" w:eastAsia="Noto Sans CJK KR"/>
                <w:b w:val="0"/>
                <w:sz w:val="13"/>
              </w:rPr>
              <w:t>20</w:t>
            </w:r>
          </w:p>
        </w:tc>
        <w:tc>
          <w:tcPr>
            <w:tcW w:type="dxa" w:w="4365"/>
            <w:vAlign w:val="center"/>
          </w:tcPr>
          <w:p>
            <w:pPr>
              <w:spacing w:after="0"/>
            </w:pPr>
            <w:r/>
            <w:r>
              <w:rPr>
                <w:rFonts w:ascii="Noto Sans CJK KR" w:hAnsi="Noto Sans CJK KR" w:eastAsia="Noto Sans CJK KR"/>
                <w:b w:val="0"/>
                <w:sz w:val="13"/>
              </w:rPr>
              <w:t>활동문맥·canonical lineage·중복저장·목적연계 일정. canonical/revision 접점은 있으나 provider invocation control과 비밀 비수탁이 없음.</w:t>
            </w:r>
          </w:p>
        </w:tc>
      </w:tr>
      <w:tr>
        <w:tc>
          <w:tcPr>
            <w:tcW w:type="dxa" w:w="567"/>
            <w:vAlign w:val="center"/>
          </w:tcPr>
          <w:p>
            <w:pPr>
              <w:spacing w:after="0"/>
            </w:pPr>
            <w:r/>
            <w:r>
              <w:rPr>
                <w:rFonts w:ascii="Noto Sans CJK KR" w:hAnsi="Noto Sans CJK KR" w:eastAsia="Noto Sans CJK KR"/>
                <w:b w:val="0"/>
                <w:sz w:val="13"/>
              </w:rPr>
              <w:t>15</w:t>
            </w:r>
          </w:p>
        </w:tc>
        <w:tc>
          <w:tcPr>
            <w:tcW w:type="dxa" w:w="1984"/>
            <w:vAlign w:val="center"/>
          </w:tcPr>
          <w:p>
            <w:pPr>
              <w:spacing w:after="0"/>
            </w:pPr>
            <w:r/>
            <w:r>
              <w:rPr>
                <w:rFonts w:ascii="Noto Sans CJK KR" w:hAnsi="Noto Sans CJK KR" w:eastAsia="Noto Sans CJK KR"/>
                <w:b w:val="0"/>
                <w:sz w:val="13"/>
              </w:rPr>
              <w:t>10-2026-0174417</w:t>
            </w:r>
          </w:p>
        </w:tc>
        <w:tc>
          <w:tcPr>
            <w:tcW w:type="dxa" w:w="4139"/>
            <w:vAlign w:val="center"/>
          </w:tcPr>
          <w:p>
            <w:pPr>
              <w:spacing w:after="0"/>
            </w:pPr>
            <w:r/>
            <w:r>
              <w:rPr>
                <w:rFonts w:ascii="Noto Sans CJK KR" w:hAnsi="Noto Sans CJK KR" w:eastAsia="Noto Sans CJK KR"/>
                <w:b w:val="0"/>
                <w:sz w:val="13"/>
              </w:rPr>
              <w:t>검증된 인공지능 목표이탈에 대한 정정거래-위반계보 결속, 계보제한 재위반 트리거 및 커버리지 완전성 기반 방역종결 방법, 시스템 및 컴퓨터 판독가능 기록매체</w:t>
            </w:r>
          </w:p>
        </w:tc>
        <w:tc>
          <w:tcPr>
            <w:tcW w:type="dxa" w:w="737"/>
            <w:vAlign w:val="center"/>
          </w:tcPr>
          <w:p>
            <w:pPr>
              <w:spacing w:after="0"/>
            </w:pPr>
            <w:r/>
            <w:r>
              <w:rPr>
                <w:rFonts w:ascii="Noto Sans CJK KR" w:hAnsi="Noto Sans CJK KR" w:eastAsia="Noto Sans CJK KR"/>
                <w:b w:val="0"/>
                <w:sz w:val="13"/>
              </w:rPr>
              <w:t>21</w:t>
            </w:r>
          </w:p>
        </w:tc>
        <w:tc>
          <w:tcPr>
            <w:tcW w:type="dxa" w:w="4365"/>
            <w:vAlign w:val="center"/>
          </w:tcPr>
          <w:p>
            <w:pPr>
              <w:spacing w:after="0"/>
            </w:pPr>
            <w:r/>
            <w:r>
              <w:rPr>
                <w:rFonts w:ascii="Noto Sans CJK KR" w:hAnsi="Noto Sans CJK KR" w:eastAsia="Noto Sans CJK KR"/>
                <w:b w:val="0"/>
                <w:sz w:val="13"/>
              </w:rPr>
              <w:t>검증위반, correction_transaction, 위반계보, 재위반 가중징벌, 실행권한 정정, 방역. 벌점·보상·권한제한은 이 선출원에 이미 강하게 포함. 본 발명은 이를 독립 신규성으로 쓰지 않고, ‘징계대상=AI 실행권한, 사람 사용자=비차단’과 자격증명/자료최소전달/교차통제 영수증에 초점.</w:t>
            </w:r>
          </w:p>
        </w:tc>
      </w:tr>
    </w:tbl>
    <w:p>
      <w:pPr>
        <w:spacing w:after="40"/>
      </w:pPr>
    </w:p>
    <w:p>
      <w:pPr>
        <w:pStyle w:val="Heading1"/>
      </w:pPr>
      <w:r>
        <w:t>IV. 2026-09-25 문항합성 회피방지 최종검토본과의 대조</w:t>
      </w:r>
    </w:p>
    <w:p>
      <w:r>
        <w:t>대상 문서의 발명명칭은 ‘원자료 관계와 발문 요구의 분리 판정에 기초한 평가 문항 합성 및 검증 방법과 장치’이며 16개 청구항으로 구성된다.</w:t>
      </w:r>
    </w:p>
    <w:p>
      <w:r>
        <w:t>1. 후보 선택지마다 원자료와의 관계를 나타내는 제1 판정정보와 발문 요구 충족상태를 나타내는 제2 판정정보를 구별한다.</w:t>
      </w:r>
    </w:p>
    <w:p>
      <w:r>
        <w:t>2. 후보 역할에 따라 서로 다른 검증근거를 요구한다.</w:t>
      </w:r>
    </w:p>
    <w:p>
      <w:r>
        <w:t>3. 문항 상태정보(버전·해시·스냅샷 등)와 검증정보를 결속하고, 문항 변경 후 이전 검증을 재사용하지 않는다.</w:t>
      </w:r>
    </w:p>
    <w:p>
      <w:r>
        <w:t>4. 학습자 응답·선택률·개인별 오개념·진단상태 및 그 파생물이 평가문항 합성 입력으로 우회 유입되는 것을 출처연결로 차단한다.</w:t>
      </w:r>
    </w:p>
    <w:p>
      <w:r>
        <w:t>5. 생성과 검증을 서로 다른 서버·서비스에서 수행하더라도 문항 상태 무결성정보로 동일 상태를 확인한다.</w:t>
      </w:r>
    </w:p>
    <w:p>
      <w:r>
        <w:t>본 발명은 위 문항 내부의 의미판정·검증구조를 대체하지 않는다. 해당 16개 청구항의 문항을 하나의 보호대상 workload로 보고, 그 문항의 생성 또는 검증에 사용되는 외부 AI 공급자, 호출 당시 control_epoch, secret readiness, task-scoped excerpt 및 공급자 실행자격을 상위 실행제어층에서 결속한다.</w:t>
      </w:r>
    </w:p>
    <w:p>
      <w:r>
        <w:t>따라서 출원전 청구범위는 문항합성의 원자료 관계/발문 충족 판정 자체를 반복 청구하지 않고, ‘사용자주권 불변조건 + 비수탁 자격증명 + 외부원장/런타임 교차통제 + 공급자별 실행제어 + 영업비밀 최소전달’의 결합에 집중한다.</w:t>
      </w:r>
    </w:p>
    <w:p>
      <w:pPr>
        <w:pStyle w:val="Heading1"/>
      </w:pPr>
      <w:r>
        <w:t>V. 외부 선행기술 대비에서 제외하거나 축소할 주장</w:t>
      </w:r>
    </w:p>
    <w:p>
      <w:r>
        <w:t>• 단순 -100점, 점수누적, 반복위반에 따른 제재.</w:t>
      </w:r>
    </w:p>
    <w:p>
      <w:r>
        <w:t>• 단순 AI agent/모델 라우팅 또는 failover.</w:t>
      </w:r>
    </w:p>
    <w:p>
      <w:r>
        <w:t>• 일반적인 policy-as-code 또는 PDP/PEP 분리.</w:t>
      </w:r>
    </w:p>
    <w:p>
      <w:r>
        <w:t>• API key를 환경변수에 넣는 것 자체.</w:t>
      </w:r>
    </w:p>
    <w:p>
      <w:r>
        <w:t>• 일반적인 provenance, hash, revision, append-only ledger, quarantine, rollback.</w:t>
      </w:r>
    </w:p>
    <w:p>
      <w:r>
        <w:t>• 일반적인 데이터 민감도에 따른 AI 접근권한 조정.</w:t>
      </w:r>
    </w:p>
    <w:p>
      <w:r>
        <w:t>• 복수 AI 검증 또는 생성과 검증의 분리 그 자체.</w:t>
      </w:r>
    </w:p>
    <w:p>
      <w:r>
        <w:t>• 문항상태와 검증결과를 결속하는 것 자체(2026-09-25 회피방지 최종검토본 및 기존 접수와 중첩).</w:t>
      </w:r>
    </w:p>
    <w:p>
      <w:pPr>
        <w:pStyle w:val="Heading1"/>
      </w:pPr>
      <w:r>
        <w:t>VI. 청구범위</w:t>
      </w:r>
    </w:p>
    <w:p>
      <w:pPr>
        <w:pStyle w:val="Heading2"/>
      </w:pPr>
      <w:r>
        <w:t>【청구항 1】</w:t>
      </w:r>
    </w:p>
    <w:p>
      <w:r>
        <w:t>컴퓨터에 의해 수행되는 인공지능 공급자 실행제어 방법에 있어서,</w:t>
        <w:br/>
        <w:t>(a) 사람 소유자의 플랫폼 관리접근 상태를 나타내는 human_owner_access_state와, 하나 이상의 인공지능 공급자 각각의 자동생성, 검증, 도구호출 또는 외부쓰기의 허용범위를 나타내는 provider_execution_state를 서로 구별 가능한 상태로 유지하는 단계;</w:t>
        <w:br/>
        <w:t>(b) 외부 통제원장으로부터 control_epoch 또는 state_revision과 공급자 상태를 포함하는 제1 제어상태를 획득하고, 서비스 런타임으로부터 해당 공급자의 제2 제어상태를 획득하는 단계;</w:t>
        <w:br/>
        <w:t>(c) 외부 인공지능 호출 전에 task_id, action_type, provider_id, 상기 control_epoch 또는 state_revision, 정책버전, 자격증명 준비상태 및 작업입력 매니페스트의 무결성 식별정보 중 둘 이상을 결속하는 control_binding_receipt를 생성하는 단계;</w:t>
        <w:br/>
        <w:t>(d) 상기 control_binding_receipt가 현재의 상기 제1 제어상태 및 제2 제어상태와 일치하는지 확인하고, 해당 provider_execution_state가 상기 action_type을 허용하는 경우에 한하여 외부 인공지능 호출을 허용하는 단계;</w:t>
        <w:br/>
        <w:t>(e) 상기 provider_execution_state가 호출을 허용하지 않는 경우 상기 사람 소유자의 human_owner_access_state를 자동으로 차단하지 않은 채 해당 외부 인공지능 호출을 HOLD, 검증전용 제한 또는 다른 공급자에 대한 재라우팅 중 하나 이상으로 처리하는 단계; 및</w:t>
        <w:br/>
        <w:t>(f) 상기 외부 인공지능 호출의 결과를 상기 control_binding_receipt와 결속하여 검증 또는 배포 제어에 제공하는 단계를 포함하는 인공지능 공급자 실행제어 방법.</w:t>
      </w:r>
    </w:p>
    <w:p>
      <w:pPr>
        <w:pStyle w:val="Heading2"/>
      </w:pPr>
      <w:r>
        <w:t>【청구항 2】</w:t>
      </w:r>
    </w:p>
    <w:p>
      <w:r>
        <w:t>청구항 1에 있어서, provider_execution_state의 감점, 차단, 격리 또는 반복위반 상태가 human_owner_access_state를 자동으로 비활성화하는 입력으로 사용되지 않고, 사람 소유자에게 통제복구, 비밀관리 및 상태조회 중 하나 이상의 관리기능이 유지되는 방법.</w:t>
      </w:r>
    </w:p>
    <w:p>
      <w:pPr>
        <w:pStyle w:val="Heading2"/>
      </w:pPr>
      <w:r>
        <w:t>【청구항 3】</w:t>
      </w:r>
    </w:p>
    <w:p>
      <w:r>
        <w:t>청구항 1에 있어서, 외부 인공지능 공급자의 API 키, 토큰 또는 자격증명의 실제 값은 서버 환경변수 또는 비밀저장소의 비밀경계에서만 취급하고, 상기 외부 통제원장, control_binding_receipt 및 인공지능 공급자에게 전달되는 작업입력에는 상기 실제 값을 포함하지 않으며, 자격증명 준비상태 또는 비복원형 secret reference만을 제어판정에 사용하는 방법.</w:t>
      </w:r>
    </w:p>
    <w:p>
      <w:pPr>
        <w:pStyle w:val="Heading2"/>
      </w:pPr>
      <w:r>
        <w:t>【청구항 4】</w:t>
      </w:r>
    </w:p>
    <w:p>
      <w:r>
        <w:t>청구항 3에 있어서, 상기 자격증명 준비상태는 특정 공급자의 비밀값이 존재하여 서버측 호출 클라이언트가 사용할 수 있는지 여부를 나타내되, 상태 API 또는 사용자 인터페이스가 실제 자격증명 값을 반환하지 않는 방법.</w:t>
      </w:r>
    </w:p>
    <w:p>
      <w:pPr>
        <w:pStyle w:val="Heading2"/>
      </w:pPr>
      <w:r>
        <w:t>【청구항 5】</w:t>
      </w:r>
    </w:p>
    <w:p>
      <w:r>
        <w:t>청구항 1에 있어서, provider_execution_state는 ALLOWED, 검증전용 상태, BLOCKED 및 HOLD 중 둘 이상을 포함하고, 검증전용 상태의 공급자에 대해서는 생성 action을 거부하면서 검증 action을 허용하는 방법.</w:t>
      </w:r>
    </w:p>
    <w:p>
      <w:pPr>
        <w:pStyle w:val="Heading2"/>
      </w:pPr>
      <w:r>
        <w:t>【청구항 6】</w:t>
      </w:r>
    </w:p>
    <w:p>
      <w:r>
        <w:t>청구항 1에 있어서, 특정 공급자에 대한 호출이 거부되는 경우, 동일 task_id에 대하여 역할적합성, 자격증명 준비상태 및 현재 provider_execution_state를 충족하는 다른 공급자를 선택하고, 선택된 다른 공급자에 대한 새로운 control_binding_receipt를 발행한 후에만 재라우팅 호출을 수행하는 방법.</w:t>
      </w:r>
    </w:p>
    <w:p>
      <w:pPr>
        <w:pStyle w:val="Heading2"/>
      </w:pPr>
      <w:r>
        <w:t>【청구항 7】</w:t>
      </w:r>
    </w:p>
    <w:p>
      <w:r>
        <w:t>청구항 1에 있어서, 인공지능 공급자의 감점 또는 보상값을 플랫폼이 관리하는 라우팅 우선순위, 자동실행 가능단계, 검증강도, 도구사용권한, 외부쓰기 권한 또는 재시도 한도 중 하나 이상으로 변환하여 적용하되, 상기 감점 또는 보상값만으로 외부 모델의 내부 가중치가 변경된 것으로 처리하지 않는 방법.</w:t>
      </w:r>
    </w:p>
    <w:p>
      <w:pPr>
        <w:pStyle w:val="Heading2"/>
      </w:pPr>
      <w:r>
        <w:t>【청구항 8】</w:t>
      </w:r>
    </w:p>
    <w:p>
      <w:r>
        <w:t>청구항 1에 있어서, 서버 내부의 영업비밀 출제 또는 검증자산을 asset_id, source revision, content hash, 이용목적, 공개등급 및 excerpt policy 중 둘 이상과 결속한 자산 매니페스트로 관리하고, 외부 인공지능 공급자에게는 상기 task_id에 필요한 자산부분만을 포함하는 task_scoped_excerpt를 생성하여 전달하는 방법.</w:t>
      </w:r>
    </w:p>
    <w:p>
      <w:pPr>
        <w:pStyle w:val="Heading2"/>
      </w:pPr>
      <w:r>
        <w:t>【청구항 9】</w:t>
      </w:r>
    </w:p>
    <w:p>
      <w:r>
        <w:t>청구항 8에 있어서, 상기 task_scoped_excerpt에서 플랫폼 전체 채팅기록, 다른 고객자료, API 자격증명의 실제 값, 전체 내부로그 및 현재 작업과 관련이 없는 영업비밀 원문 중 하나 이상을 제외하는 방법.</w:t>
      </w:r>
    </w:p>
    <w:p>
      <w:pPr>
        <w:pStyle w:val="Heading2"/>
      </w:pPr>
      <w:r>
        <w:t>【청구항 10】</w:t>
      </w:r>
    </w:p>
    <w:p>
      <w:r>
        <w:t>청구항 8에 있어서, 원자료의 실제 등장어휘, 요청 학년의 구문난도, 요청 문항유형의 출제규칙 및 해당 후보에 필요한 오답설계 규칙 중 하나 이상만을 선별하여 task_scoped_excerpt를 구성하고 전체 출제 코퍼스는 서버 내부에 유지하는 교육콘텐츠 생성용 방법.</w:t>
      </w:r>
    </w:p>
    <w:p>
      <w:pPr>
        <w:pStyle w:val="Heading2"/>
      </w:pPr>
      <w:r>
        <w:t>【청구항 11】</w:t>
      </w:r>
    </w:p>
    <w:p>
      <w:r>
        <w:t>청구항 1에 있어서, control_binding_receipt 발행 이후 control_epoch, state_revision, provider_execution_state, 자격증명 준비상태 또는 작업입력 매니페스트의 무결성 식별정보가 변경된 경우 기존 receipt를 stale 상태로 판정하고, 해당 결과의 자동 채택 또는 배포를 중지하여 재검증 또는 새 호출을 요구하는 방법.</w:t>
      </w:r>
    </w:p>
    <w:p>
      <w:pPr>
        <w:pStyle w:val="Heading2"/>
      </w:pPr>
      <w:r>
        <w:t>【청구항 12】</w:t>
      </w:r>
    </w:p>
    <w:p>
      <w:r>
        <w:t>청구항 1에 있어서, 외부 인공지능 공급자의 완료 주장, 자기평가 또는 모델 식별정보만으로 결과를 PASS로 전환하지 않고, 별도의 근거검증, 문항상태 검증, 인간승인 또는 배포게이트 중 정책상 요구되는 하나 이상을 충족한 경우에만 결과상태를 상향하는 방법.</w:t>
      </w:r>
    </w:p>
    <w:p>
      <w:pPr>
        <w:pStyle w:val="Heading2"/>
      </w:pPr>
      <w:r>
        <w:t>【청구항 13】</w:t>
      </w:r>
    </w:p>
    <w:p>
      <w:r>
        <w:t>청구항 1에 있어서, 공급자 차단 또는 HOLD가 해제될 때 이전의 위반, 감점, 차단 및 복구 이력을 삭제하지 않고, 사용자 승인 또는 독립검증을 참조하는 recovery receipt와 successor provider_execution_state를 저장하는 방법.</w:t>
      </w:r>
    </w:p>
    <w:p>
      <w:pPr>
        <w:pStyle w:val="Heading2"/>
      </w:pPr>
      <w:r>
        <w:t>【청구항 14】</w:t>
      </w:r>
    </w:p>
    <w:p>
      <w:r>
        <w:t>청구항 1에 있어서, 상기 외부 통제원장과 서비스 런타임 사이의 자동 동기화가 확인되지 않은 경우 sync_state를 미동기 또는 수동결속 상태로 유지하고, 사용자가 검증한 control manifest가 적용되기 전에는 자동 동기화 완료로 표시하지 않는 방법.</w:t>
      </w:r>
    </w:p>
    <w:p>
      <w:pPr>
        <w:pStyle w:val="Heading2"/>
      </w:pPr>
      <w:r>
        <w:t>【청구항 15】</w:t>
      </w:r>
    </w:p>
    <w:p>
      <w:r>
        <w:t>청구항 1에 있어서, 상기 제1 제어상태가 Google Drive의 상태원장, 데이터베이스, 정책서버 또는 버전관리 저장소 중 하나 이상으로부터 제공되고, 상기 제2 제어상태가 애플리케이션 런타임의 정책모듈에서 제공되는 방법.</w:t>
      </w:r>
    </w:p>
    <w:p>
      <w:pPr>
        <w:pStyle w:val="Heading2"/>
      </w:pPr>
      <w:r>
        <w:t>【청구항 16】</w:t>
      </w:r>
    </w:p>
    <w:p>
      <w:r>
        <w:t>청구항 1에 있어서, 상기 control_binding_receipt가 task payload의 source id 또는 content hash, 공급자 모델버전, 호출시각 및 결과객체 식별자 중 하나 이상을 더 포함하여 동일 작업의 호출과 결과를 추적하는 방법.</w:t>
      </w:r>
    </w:p>
    <w:p>
      <w:pPr>
        <w:pStyle w:val="Heading2"/>
      </w:pPr>
      <w:r>
        <w:t>【청구항 17】</w:t>
      </w:r>
    </w:p>
    <w:p>
      <w:r>
        <w:t>인공지능 공급자 실행제어 시스템에 있어서,</w:t>
        <w:br/>
        <w:t>사람 소유자의 접근상태와 AI 공급자의 실행자격상태를 분리 저장하는 상태관리부;</w:t>
        <w:br/>
        <w:t>외부 통제원장의 제어상태와 서비스 런타임의 제어상태를 대조하는 교차통제 결속부;</w:t>
        <w:br/>
        <w:t>비밀값을 인공지능 판독가능 입력으로 노출하지 않고 공급자 호출 클라이언트에 제공하는 비밀경계부;</w:t>
        <w:br/>
        <w:t>작업별 공급자 실행자격을 판정하여 호출, HOLD, 검증전용 제한 또는 재라우팅을 수행하는 라우터;</w:t>
        <w:br/>
        <w:t>서버 내부 영업비밀 자산으로부터 작업필요부분만 구성하는 발췌부; 및</w:t>
        <w:br/>
        <w:t>상기 호출 결과를 검증 또는 배포상태와 결속하는 결과제어부를 포함하는 인공지능 공급자 실행제어 시스템.</w:t>
      </w:r>
    </w:p>
    <w:p>
      <w:pPr>
        <w:pStyle w:val="Heading2"/>
      </w:pPr>
      <w:r>
        <w:t>【청구항 18】</w:t>
      </w:r>
    </w:p>
    <w:p>
      <w:r>
        <w:t>청구항 17에 있어서, 상기 비밀경계부는 자격증명의 실제 값을 환경변수 또는 비밀저장소에서 읽고, 외부 통제원장과 상태 API에는 자격증명 존재 여부 또는 비복원형 참조만 제공하도록 구성된 시스템.</w:t>
      </w:r>
    </w:p>
    <w:p>
      <w:pPr>
        <w:pStyle w:val="Heading2"/>
      </w:pPr>
      <w:r>
        <w:t>【청구항 19】</w:t>
      </w:r>
    </w:p>
    <w:p>
      <w:r>
        <w:t>청구항 17에 있어서, 교육용 평가문항 합성 및 검증 모듈을 더 포함하고, 상기 평가문항의 문항상태정보 및 필수 검증정보와 별도로, 해당 문항을 생성 또는 검증한 외부 인공지능 공급자의 control_binding_receipt를 결속하여 저장하도록 구성된 시스템.</w:t>
      </w:r>
    </w:p>
    <w:p>
      <w:pPr>
        <w:pStyle w:val="Heading2"/>
      </w:pPr>
      <w:r>
        <w:t>【청구항 20】</w:t>
      </w:r>
    </w:p>
    <w:p>
      <w:r>
        <w:t>청구항 1 내지 청구항 16 중 어느 한 항의 방법을 컴퓨터가 수행하도록 하는 명령어가 기록된 비일시적 컴퓨터 판독가능 기록매체.</w:t>
      </w:r>
    </w:p>
    <w:p>
      <w:pPr>
        <w:pStyle w:val="Heading1"/>
      </w:pPr>
      <w:r>
        <w:t>VII. 요약서</w:t>
      </w:r>
    </w:p>
    <w:p>
      <w:pPr>
        <w:pStyle w:val="Heading2"/>
      </w:pPr>
      <w:r>
        <w:t>【요약】</w:t>
      </w:r>
    </w:p>
    <w:p>
      <w:r>
        <w:t>본 발명은 복수의 외부 인공지능 공급자를 이용하는 플랫폼에서 사람 사용자의 관리접근권한과 인공지능 공급자의 실행자격을 서로 분리하고, 외부 통제원장과 서비스 런타임의 제어상태를 호출시점의 control_binding_receipt로 결속하며, API 자격증명의 실제 값은 서버 비밀경계에 유지한 채 자격증명 준비상태만 정책판정에 사용하고, 서버 내부 영업비밀 자료 중 현재 작업에 필요한 최소 발췌만 외부 인공지능에 전달하는 실행제어 방법 및 시스템에 관한 것이다. 공급자 실행상태가 차단 또는 HOLD인 경우 사람 사용자의 접근을 차단하지 않고 해당 AI 호출을 금지, 검증전용 제한 또는 다른 공급자로 재라우팅한다. 감점·보상은 플랫폼이 관리하는 실행권한·라우팅·검증강도 등에 결속될 수 있으며 외부 모델 내부 가중치 변경으로 간주하지 않는다. control epoch 또는 state revision이 변경된 stale 호출결과는 자동 배포하지 않고 재검증한다. 이로써 사용자 주권을 보존하면서 복수 AI 공급자의 품질을 활용하고 자격증명 및 영업비밀의 불필요한 외부노출을 줄일 수 있다.</w:t>
      </w:r>
    </w:p>
    <w:p>
      <w:pPr>
        <w:pStyle w:val="Heading1"/>
      </w:pPr>
      <w:r>
        <w:t>VIII. 출원 전 최종검토 의견</w:t>
      </w:r>
    </w:p>
    <w:p>
      <w:r>
        <w:t>1. 독립항 1은 기존 10번·15번 출원과 중첩될 수 있으므로, ‘human_owner_access_state 비차단’, ‘비밀 평문 비수탁’, ‘외부원장/런타임 호출결속’, ‘task_scoped_excerpt’가 단순 병렬나열이 아니라 호출허용을 결정하는 상호의존 관계임을 실시예와 의견서에서 강조할 것.</w:t>
      </w:r>
    </w:p>
    <w:p>
      <w:r>
        <w:t>2. 15번 선출원에는 reward/penalty/실행권한 정정이 명시돼 있으므로, 본 출원에서 벌점·보상 일반론을 독립 신규성으로 주장하지 말 것.</w:t>
      </w:r>
    </w:p>
    <w:p>
      <w:r>
        <w:t>3. 10번 선출원에는 사용자 제약·이중승인·중지·원자적 활성화가 있으므로, 단순 HOLD/승인/상태원장만으로 차별화하지 말 것.</w:t>
      </w:r>
    </w:p>
    <w:p>
      <w:r>
        <w:t>4. 첨부된 문항합성 16개 청구항에는 상태-검증결과 결속과 분산 생성/검증이 있으므로, 문항 검증 자체를 본 출원의 독립 핵심으로 반복하지 말 것.</w:t>
      </w:r>
    </w:p>
    <w:p>
      <w:r>
        <w:t>5. 환경변수·Secret Manager·Railway Variables는 공지기술로 보고, ‘비밀값 대신 readiness/reference만 제어영수증에 결속되어 AI 판독 문맥과 분리되는 관계’를 구체적으로 설명할 것.</w:t>
      </w:r>
    </w:p>
    <w:p>
      <w:r>
        <w:t>6. 외부 AI에 최소발췌를 제공하는 부분은 일반적인 least privilege/data minimization과 결합될 수 있으므로, 자산 revision/hash, task_id, control receipt, provider state와의 동시 결속 효과를 보강할 것.</w:t>
      </w:r>
    </w:p>
    <w:p>
      <w:r>
        <w:t>7. 자동 Google Drive→EduRecover 동기화는 현재 완전 구현증거가 없으므로 명세서에서는 실시가능한 선택형태로 기재하고, 실제 제품상태를 ‘완전자동 동기화 완료’라고 주장하지 말 것.</w:t>
      </w:r>
    </w:p>
    <w:p>
      <w:r>
        <w:t>8. 출원 전 한국·미국·WIPO 기준으로 human-in-the-loop access separation, secretless/secret-reference AI gateway, task-scoped prompt context, policy-bound AI routing 관련 추가 선행검색을 실시할 것.</w:t>
      </w:r>
    </w:p>
    <w:p>
      <w:pPr>
        <w:pStyle w:val="Heading1"/>
      </w:pPr>
      <w:r>
        <w:t>IX. 현재 구현 증거와 미구현 경계(출원용 청구범위와 별도)</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D9E2F3"/>
          </w:tcPr>
          <w:p>
            <w:pPr>
              <w:spacing w:after="0"/>
            </w:pPr>
            <w:r/>
            <w:r>
              <w:rPr>
                <w:rFonts w:ascii="Noto Sans CJK KR" w:hAnsi="Noto Sans CJK KR" w:eastAsia="Noto Sans CJK KR"/>
                <w:b/>
                <w:sz w:val="15"/>
              </w:rPr>
              <w:t>항목</w:t>
            </w:r>
          </w:p>
        </w:tc>
        <w:tc>
          <w:tcPr>
            <w:tcW w:type="dxa" w:w="3969"/>
            <w:vAlign w:val="center"/>
            <w:shd w:fill="D9E2F3"/>
          </w:tcPr>
          <w:p>
            <w:pPr>
              <w:spacing w:after="0"/>
            </w:pPr>
            <w:r/>
            <w:r>
              <w:rPr>
                <w:rFonts w:ascii="Noto Sans CJK KR" w:hAnsi="Noto Sans CJK KR" w:eastAsia="Noto Sans CJK KR"/>
                <w:b/>
                <w:sz w:val="15"/>
              </w:rPr>
              <w:t>구현/위치</w:t>
            </w:r>
          </w:p>
        </w:tc>
        <w:tc>
          <w:tcPr>
            <w:tcW w:type="dxa" w:w="4535"/>
            <w:vAlign w:val="center"/>
            <w:shd w:fill="D9E2F3"/>
          </w:tcPr>
          <w:p>
            <w:pPr>
              <w:spacing w:after="0"/>
            </w:pPr>
            <w:r/>
            <w:r>
              <w:rPr>
                <w:rFonts w:ascii="Noto Sans CJK KR" w:hAnsi="Noto Sans CJK KR" w:eastAsia="Noto Sans CJK KR"/>
                <w:b/>
                <w:sz w:val="15"/>
              </w:rPr>
              <w:t>상태 또는 의미</w:t>
            </w:r>
          </w:p>
        </w:tc>
      </w:tr>
      <w:tr>
        <w:tc>
          <w:tcPr>
            <w:tcW w:type="dxa" w:w="1701"/>
            <w:vAlign w:val="center"/>
          </w:tcPr>
          <w:p>
            <w:pPr>
              <w:spacing w:after="0"/>
            </w:pPr>
            <w:r/>
            <w:r>
              <w:rPr>
                <w:rFonts w:ascii="Noto Sans CJK KR" w:hAnsi="Noto Sans CJK KR" w:eastAsia="Noto Sans CJK KR"/>
                <w:b w:val="0"/>
                <w:sz w:val="15"/>
              </w:rPr>
              <w:t>GitHub</w:t>
            </w:r>
          </w:p>
        </w:tc>
        <w:tc>
          <w:tcPr>
            <w:tcW w:type="dxa" w:w="3969"/>
            <w:vAlign w:val="center"/>
          </w:tcPr>
          <w:p>
            <w:pPr>
              <w:spacing w:after="0"/>
            </w:pPr>
            <w:r/>
            <w:r>
              <w:rPr>
                <w:rFonts w:ascii="Noto Sans CJK KR" w:hAnsi="Noto Sans CJK KR" w:eastAsia="Noto Sans CJK KR"/>
                <w:b w:val="0"/>
                <w:sz w:val="15"/>
              </w:rPr>
              <w:t>kiminmyeong1472-creator/edu-recover-ai / main</w:t>
            </w:r>
          </w:p>
        </w:tc>
        <w:tc>
          <w:tcPr>
            <w:tcW w:type="dxa" w:w="4535"/>
            <w:vAlign w:val="center"/>
          </w:tcPr>
          <w:p>
            <w:pPr>
              <w:spacing w:after="0"/>
            </w:pPr>
            <w:r/>
            <w:r>
              <w:rPr>
                <w:rFonts w:ascii="Noto Sans CJK KR" w:hAnsi="Noto Sans CJK KR" w:eastAsia="Noto Sans CJK KR"/>
                <w:b w:val="0"/>
                <w:sz w:val="15"/>
              </w:rPr>
              <w:t>private repository</w:t>
            </w:r>
          </w:p>
        </w:tc>
      </w:tr>
      <w:tr>
        <w:tc>
          <w:tcPr>
            <w:tcW w:type="dxa" w:w="1701"/>
            <w:vAlign w:val="center"/>
          </w:tcPr>
          <w:p>
            <w:pPr>
              <w:spacing w:after="0"/>
            </w:pPr>
            <w:r/>
            <w:r>
              <w:rPr>
                <w:rFonts w:ascii="Noto Sans CJK KR" w:hAnsi="Noto Sans CJK KR" w:eastAsia="Noto Sans CJK KR"/>
                <w:b w:val="0"/>
                <w:sz w:val="15"/>
              </w:rPr>
              <w:t>Railway</w:t>
            </w:r>
          </w:p>
        </w:tc>
        <w:tc>
          <w:tcPr>
            <w:tcW w:type="dxa" w:w="3969"/>
            <w:vAlign w:val="center"/>
          </w:tcPr>
          <w:p>
            <w:pPr>
              <w:spacing w:after="0"/>
            </w:pPr>
            <w:r/>
            <w:r>
              <w:rPr>
                <w:rFonts w:ascii="Noto Sans CJK KR" w:hAnsi="Noto Sans CJK KR" w:eastAsia="Noto Sans CJK KR"/>
                <w:b w:val="0"/>
                <w:sz w:val="15"/>
              </w:rPr>
              <w:t>EduRecover-v3.24.9 → edurecover-prod</w:t>
            </w:r>
          </w:p>
        </w:tc>
        <w:tc>
          <w:tcPr>
            <w:tcW w:type="dxa" w:w="4535"/>
            <w:vAlign w:val="center"/>
          </w:tcPr>
          <w:p>
            <w:pPr>
              <w:spacing w:after="0"/>
            </w:pPr>
            <w:r/>
            <w:r>
              <w:rPr>
                <w:rFonts w:ascii="Noto Sans CJK KR" w:hAnsi="Noto Sans CJK KR" w:eastAsia="Noto Sans CJK KR"/>
                <w:b w:val="0"/>
                <w:sz w:val="15"/>
              </w:rPr>
              <w:t>production deployment</w:t>
            </w:r>
          </w:p>
        </w:tc>
      </w:tr>
      <w:tr>
        <w:tc>
          <w:tcPr>
            <w:tcW w:type="dxa" w:w="1701"/>
            <w:vAlign w:val="center"/>
          </w:tcPr>
          <w:p>
            <w:pPr>
              <w:spacing w:after="0"/>
            </w:pPr>
            <w:r/>
            <w:r>
              <w:rPr>
                <w:rFonts w:ascii="Noto Sans CJK KR" w:hAnsi="Noto Sans CJK KR" w:eastAsia="Noto Sans CJK KR"/>
                <w:b w:val="0"/>
                <w:sz w:val="15"/>
              </w:rPr>
              <w:t>통제브리지 코드</w:t>
            </w:r>
          </w:p>
        </w:tc>
        <w:tc>
          <w:tcPr>
            <w:tcW w:type="dxa" w:w="3969"/>
            <w:vAlign w:val="center"/>
          </w:tcPr>
          <w:p>
            <w:pPr>
              <w:spacing w:after="0"/>
            </w:pPr>
            <w:r/>
            <w:r>
              <w:rPr>
                <w:rFonts w:ascii="Noto Sans CJK KR" w:hAnsi="Noto Sans CJK KR" w:eastAsia="Noto Sans CJK KR"/>
                <w:b w:val="0"/>
                <w:sz w:val="15"/>
              </w:rPr>
              <w:t>app/services/control_plane.py</w:t>
            </w:r>
          </w:p>
        </w:tc>
        <w:tc>
          <w:tcPr>
            <w:tcW w:type="dxa" w:w="4535"/>
            <w:vAlign w:val="center"/>
          </w:tcPr>
          <w:p>
            <w:pPr>
              <w:spacing w:after="0"/>
            </w:pPr>
            <w:r/>
            <w:r>
              <w:rPr>
                <w:rFonts w:ascii="Noto Sans CJK KR" w:hAnsi="Noto Sans CJK KR" w:eastAsia="Noto Sans CJK KR"/>
                <w:b w:val="0"/>
                <w:sz w:val="15"/>
              </w:rPr>
              <w:t>human-owner auto-block=false, provider hold/restrict/block, secret readiness</w:t>
            </w:r>
          </w:p>
        </w:tc>
      </w:tr>
      <w:tr>
        <w:tc>
          <w:tcPr>
            <w:tcW w:type="dxa" w:w="1701"/>
            <w:vAlign w:val="center"/>
          </w:tcPr>
          <w:p>
            <w:pPr>
              <w:spacing w:after="0"/>
            </w:pPr>
            <w:r/>
            <w:r>
              <w:rPr>
                <w:rFonts w:ascii="Noto Sans CJK KR" w:hAnsi="Noto Sans CJK KR" w:eastAsia="Noto Sans CJK KR"/>
                <w:b w:val="0"/>
                <w:sz w:val="15"/>
              </w:rPr>
              <w:t>API 결속</w:t>
            </w:r>
          </w:p>
        </w:tc>
        <w:tc>
          <w:tcPr>
            <w:tcW w:type="dxa" w:w="3969"/>
            <w:vAlign w:val="center"/>
          </w:tcPr>
          <w:p>
            <w:pPr>
              <w:spacing w:after="0"/>
            </w:pPr>
            <w:r/>
            <w:r>
              <w:rPr>
                <w:rFonts w:ascii="Noto Sans CJK KR" w:hAnsi="Noto Sans CJK KR" w:eastAsia="Noto Sans CJK KR"/>
                <w:b w:val="0"/>
                <w:sz w:val="15"/>
              </w:rPr>
              <w:t>app/main.py</w:t>
            </w:r>
          </w:p>
        </w:tc>
        <w:tc>
          <w:tcPr>
            <w:tcW w:type="dxa" w:w="4535"/>
            <w:vAlign w:val="center"/>
          </w:tcPr>
          <w:p>
            <w:pPr>
              <w:spacing w:after="0"/>
            </w:pPr>
            <w:r/>
            <w:r>
              <w:rPr>
                <w:rFonts w:ascii="Noto Sans CJK KR" w:hAnsi="Noto Sans CJK KR" w:eastAsia="Noto Sans CJK KR"/>
                <w:b w:val="0"/>
                <w:sz w:val="15"/>
              </w:rPr>
              <w:t>/control-status, /owner-notebook-tasks, 생성·검증 endpoint의 provider gate</w:t>
            </w:r>
          </w:p>
        </w:tc>
      </w:tr>
      <w:tr>
        <w:tc>
          <w:tcPr>
            <w:tcW w:type="dxa" w:w="1701"/>
            <w:vAlign w:val="center"/>
          </w:tcPr>
          <w:p>
            <w:pPr>
              <w:spacing w:after="0"/>
            </w:pPr>
            <w:r/>
            <w:r>
              <w:rPr>
                <w:rFonts w:ascii="Noto Sans CJK KR" w:hAnsi="Noto Sans CJK KR" w:eastAsia="Noto Sans CJK KR"/>
                <w:b w:val="0"/>
                <w:sz w:val="15"/>
              </w:rPr>
              <w:t>플랫폼 공지</w:t>
            </w:r>
          </w:p>
        </w:tc>
        <w:tc>
          <w:tcPr>
            <w:tcW w:type="dxa" w:w="3969"/>
            <w:vAlign w:val="center"/>
          </w:tcPr>
          <w:p>
            <w:pPr>
              <w:spacing w:after="0"/>
            </w:pPr>
            <w:r/>
            <w:r>
              <w:rPr>
                <w:rFonts w:ascii="Noto Sans CJK KR" w:hAnsi="Noto Sans CJK KR" w:eastAsia="Noto Sans CJK KR"/>
                <w:b w:val="0"/>
                <w:sz w:val="15"/>
              </w:rPr>
              <w:t>app/pilot_page.py</w:t>
            </w:r>
          </w:p>
        </w:tc>
        <w:tc>
          <w:tcPr>
            <w:tcW w:type="dxa" w:w="4535"/>
            <w:vAlign w:val="center"/>
          </w:tcPr>
          <w:p>
            <w:pPr>
              <w:spacing w:after="0"/>
            </w:pPr>
            <w:r/>
            <w:r>
              <w:rPr>
                <w:rFonts w:ascii="Noto Sans CJK KR" w:hAnsi="Noto Sans CJK KR" w:eastAsia="Noto Sans CJK KR"/>
                <w:b w:val="0"/>
                <w:sz w:val="15"/>
              </w:rPr>
              <w:t>친인간 AI 운영헌장 및 사용자 노트북 작업 표시</w:t>
            </w:r>
          </w:p>
        </w:tc>
      </w:tr>
      <w:tr>
        <w:tc>
          <w:tcPr>
            <w:tcW w:type="dxa" w:w="1701"/>
            <w:vAlign w:val="center"/>
          </w:tcPr>
          <w:p>
            <w:pPr>
              <w:spacing w:after="0"/>
            </w:pPr>
            <w:r/>
            <w:r>
              <w:rPr>
                <w:rFonts w:ascii="Noto Sans CJK KR" w:hAnsi="Noto Sans CJK KR" w:eastAsia="Noto Sans CJK KR"/>
                <w:b w:val="0"/>
                <w:sz w:val="15"/>
              </w:rPr>
              <w:t>영업비밀 자산</w:t>
            </w:r>
          </w:p>
        </w:tc>
        <w:tc>
          <w:tcPr>
            <w:tcW w:type="dxa" w:w="3969"/>
            <w:vAlign w:val="center"/>
          </w:tcPr>
          <w:p>
            <w:pPr>
              <w:spacing w:after="0"/>
            </w:pPr>
            <w:r/>
            <w:r>
              <w:rPr>
                <w:rFonts w:ascii="Noto Sans CJK KR" w:hAnsi="Noto Sans CJK KR" w:eastAsia="Noto Sans CJK KR"/>
                <w:b w:val="0"/>
                <w:sz w:val="15"/>
              </w:rPr>
              <w:t>app/authoring_assets/* + authoring_assets.py</w:t>
            </w:r>
          </w:p>
        </w:tc>
        <w:tc>
          <w:tcPr>
            <w:tcW w:type="dxa" w:w="4535"/>
            <w:vAlign w:val="center"/>
          </w:tcPr>
          <w:p>
            <w:pPr>
              <w:spacing w:after="0"/>
            </w:pPr>
            <w:r/>
            <w:r>
              <w:rPr>
                <w:rFonts w:ascii="Noto Sans CJK KR" w:hAnsi="Noto Sans CJK KR" w:eastAsia="Noto Sans CJK KR"/>
                <w:b w:val="0"/>
                <w:sz w:val="15"/>
              </w:rPr>
              <w:t>전체 코퍼스 대신 task-relevant excerpt</w:t>
            </w:r>
          </w:p>
        </w:tc>
      </w:tr>
      <w:tr>
        <w:tc>
          <w:tcPr>
            <w:tcW w:type="dxa" w:w="1701"/>
            <w:vAlign w:val="center"/>
          </w:tcPr>
          <w:p>
            <w:pPr>
              <w:spacing w:after="0"/>
            </w:pPr>
            <w:r/>
            <w:r>
              <w:rPr>
                <w:rFonts w:ascii="Noto Sans CJK KR" w:hAnsi="Noto Sans CJK KR" w:eastAsia="Noto Sans CJK KR"/>
                <w:b w:val="0"/>
                <w:sz w:val="15"/>
              </w:rPr>
              <w:t>영업비밀 정책</w:t>
            </w:r>
          </w:p>
        </w:tc>
        <w:tc>
          <w:tcPr>
            <w:tcW w:type="dxa" w:w="3969"/>
            <w:vAlign w:val="center"/>
          </w:tcPr>
          <w:p>
            <w:pPr>
              <w:spacing w:after="0"/>
            </w:pPr>
            <w:r/>
            <w:r>
              <w:rPr>
                <w:rFonts w:ascii="Noto Sans CJK KR" w:hAnsi="Noto Sans CJK KR" w:eastAsia="Noto Sans CJK KR"/>
                <w:b w:val="0"/>
                <w:sz w:val="15"/>
              </w:rPr>
              <w:t>docs/TRADE_SECRET_AUTHORING_ASSET_POLICY.md</w:t>
            </w:r>
          </w:p>
        </w:tc>
        <w:tc>
          <w:tcPr>
            <w:tcW w:type="dxa" w:w="4535"/>
            <w:vAlign w:val="center"/>
          </w:tcPr>
          <w:p>
            <w:pPr>
              <w:spacing w:after="0"/>
            </w:pPr>
            <w:r/>
            <w:r>
              <w:rPr>
                <w:rFonts w:ascii="Noto Sans CJK KR" w:hAnsi="Noto Sans CJK KR" w:eastAsia="Noto Sans CJK KR"/>
                <w:b w:val="0"/>
                <w:sz w:val="15"/>
              </w:rPr>
              <w:t>whitelist·hash·revision·minimum disclosure</w:t>
            </w:r>
          </w:p>
        </w:tc>
      </w:tr>
      <w:tr>
        <w:tc>
          <w:tcPr>
            <w:tcW w:type="dxa" w:w="1701"/>
            <w:vAlign w:val="center"/>
          </w:tcPr>
          <w:p>
            <w:pPr>
              <w:spacing w:after="0"/>
            </w:pPr>
            <w:r/>
            <w:r>
              <w:rPr>
                <w:rFonts w:ascii="Noto Sans CJK KR" w:hAnsi="Noto Sans CJK KR" w:eastAsia="Noto Sans CJK KR"/>
                <w:b w:val="0"/>
                <w:sz w:val="15"/>
              </w:rPr>
              <w:t>미완료</w:t>
            </w:r>
          </w:p>
        </w:tc>
        <w:tc>
          <w:tcPr>
            <w:tcW w:type="dxa" w:w="3969"/>
            <w:vAlign w:val="center"/>
          </w:tcPr>
          <w:p>
            <w:pPr>
              <w:spacing w:after="0"/>
            </w:pPr>
            <w:r/>
            <w:r>
              <w:rPr>
                <w:rFonts w:ascii="Noto Sans CJK KR" w:hAnsi="Noto Sans CJK KR" w:eastAsia="Noto Sans CJK KR"/>
                <w:b w:val="0"/>
                <w:sz w:val="15"/>
              </w:rPr>
              <w:t>Google Drive 원장→런타임 완전 자동 동기화</w:t>
            </w:r>
          </w:p>
        </w:tc>
        <w:tc>
          <w:tcPr>
            <w:tcW w:type="dxa" w:w="4535"/>
            <w:vAlign w:val="center"/>
          </w:tcPr>
          <w:p>
            <w:pPr>
              <w:spacing w:after="0"/>
            </w:pPr>
            <w:r/>
            <w:r>
              <w:rPr>
                <w:rFonts w:ascii="Noto Sans CJK KR" w:hAnsi="Noto Sans CJK KR" w:eastAsia="Noto Sans CJK KR"/>
                <w:b w:val="0"/>
                <w:sz w:val="15"/>
              </w:rPr>
              <w:t>사용자 인증/비밀설정 후 별도 브리지 필요</w:t>
            </w:r>
          </w:p>
        </w:tc>
      </w:tr>
      <w:tr>
        <w:tc>
          <w:tcPr>
            <w:tcW w:type="dxa" w:w="1701"/>
            <w:vAlign w:val="center"/>
          </w:tcPr>
          <w:p>
            <w:pPr>
              <w:spacing w:after="0"/>
            </w:pPr>
            <w:r/>
            <w:r>
              <w:rPr>
                <w:rFonts w:ascii="Noto Sans CJK KR" w:hAnsi="Noto Sans CJK KR" w:eastAsia="Noto Sans CJK KR"/>
                <w:b w:val="0"/>
                <w:sz w:val="15"/>
              </w:rPr>
              <w:t>미완료</w:t>
            </w:r>
          </w:p>
        </w:tc>
        <w:tc>
          <w:tcPr>
            <w:tcW w:type="dxa" w:w="3969"/>
            <w:vAlign w:val="center"/>
          </w:tcPr>
          <w:p>
            <w:pPr>
              <w:spacing w:after="0"/>
            </w:pPr>
            <w:r/>
            <w:r>
              <w:rPr>
                <w:rFonts w:ascii="Noto Sans CJK KR" w:hAnsi="Noto Sans CJK KR" w:eastAsia="Noto Sans CJK KR"/>
                <w:b w:val="0"/>
                <w:sz w:val="15"/>
              </w:rPr>
              <w:t>3사 공급자 API key 연결</w:t>
            </w:r>
          </w:p>
        </w:tc>
        <w:tc>
          <w:tcPr>
            <w:tcW w:type="dxa" w:w="4535"/>
            <w:vAlign w:val="center"/>
          </w:tcPr>
          <w:p>
            <w:pPr>
              <w:spacing w:after="0"/>
            </w:pPr>
            <w:r/>
            <w:r>
              <w:rPr>
                <w:rFonts w:ascii="Noto Sans CJK KR" w:hAnsi="Noto Sans CJK KR" w:eastAsia="Noto Sans CJK KR"/>
                <w:b w:val="0"/>
                <w:sz w:val="15"/>
              </w:rPr>
              <w:t>현재 Railway에서 API key 변수명 확인되지 않아 사용자가 직접 입력 필요</w:t>
            </w:r>
          </w:p>
        </w:tc>
      </w:tr>
    </w:tbl>
    <w:p>
      <w:pPr>
        <w:spacing w:after="40"/>
      </w:pPr>
    </w:p>
    <w:p>
      <w:pPr>
        <w:pStyle w:val="Heading1"/>
      </w:pPr>
      <w:r>
        <w:t>X. 참고자료</w:t>
      </w:r>
    </w:p>
    <w:p>
      <w:r>
        <w:t>• Google Patents: US20260119479A1, Multi-agent artificial intelligence system with shared experience repository.</w:t>
      </w:r>
    </w:p>
    <w:p>
      <w:r>
        <w:t>• Google Patents: US20250021989A1, Policy service and intervention system.</w:t>
      </w:r>
    </w:p>
    <w:p>
      <w:r>
        <w:t>• USPTO / Google Patents: US12547753B2, Dynamic privilege adjustment for data accessible to artificial intelligence agents.</w:t>
      </w:r>
    </w:p>
    <w:p>
      <w:r>
        <w:t>• Google Patents: US20260134155A1, Artificial intelligence supply chain integrity and provenance system.</w:t>
      </w:r>
    </w:p>
    <w:p>
      <w:r>
        <w:t>• Google Patents: US20260100273A1, Methods of intelligently routing portions of a task through multiple customized agents.</w:t>
      </w:r>
    </w:p>
    <w:p>
      <w:r>
        <w:t>• Open Policy Agent documentation, Policy Decision Point / Policy Enforcement Point deployment model.</w:t>
      </w:r>
    </w:p>
    <w:p>
      <w:r>
        <w:t>• The Twelve-Factor App, Config: store config in the environment.</w:t>
      </w:r>
    </w:p>
    <w:p>
      <w:r>
        <w:t>• Railway Docs, environment variables and variable management.</w:t>
      </w:r>
    </w:p>
    <w:p>
      <w:r>
        <w:t>• 특허청 접수본 14건: 10-2026-0159430, 10-2026-0165032, 10-2026-0168145, 10-2026-0169239, 10-2026-0169240, 10-2026-0169969, 10-2026-0171408, 10-2026-0171409, 10-2026-0172430, 10-2026-0174328, 10-2026-0174330, 10-2026-0174331, 10-2026-0174405, 10-2026-0174417.</w:t>
      </w:r>
    </w:p>
    <w:p>
      <w:r>
        <w:t>• 문항합성_특허명세서_회피방지_최종검토본_20260925 (16개 청구항).</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출원 전 내부 검토본 · 2026-09-26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