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명세서 등 보정서 초안</w:t>
      </w:r>
    </w:p>
    <w:p>
      <w:pPr>
        <w:jc w:val="center"/>
      </w:pPr>
      <w:r>
        <w:rPr>
          <w:rFonts w:ascii="Noto Sans CJK KR" w:hAnsi="Noto Sans CJK KR"/>
          <w:color w:val="464646"/>
          <w:sz w:val="20"/>
        </w:rPr>
        <w:t>출원번호 10 2026 0159430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2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8"/>
              </w:rPr>
              <w:t>출원번호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8"/>
              </w:rPr>
              <w:t>10-2026-0159430</w:t>
            </w:r>
          </w:p>
        </w:tc>
      </w:tr>
      <w:tr>
        <w:tc>
          <w:tcPr>
            <w:tcW w:type="dxa" w:w="1944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8"/>
              </w:rPr>
              <w:t>발명의 명칭</w:t>
            </w:r>
          </w:p>
        </w:tc>
        <w:tc>
          <w:tcPr>
            <w:tcW w:type="dxa" w:w="828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8"/>
              </w:rPr>
              <w:t>기능적 오답 결속 적응형 지식진단 관련 발명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8"/>
              </w:rPr>
              <w:t>문서 성격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8"/>
              </w:rPr>
              <w:t>출원인 검토용 명세서 등 보정서 초안</w:t>
            </w:r>
          </w:p>
        </w:tc>
      </w:tr>
      <w:tr>
        <w:tc>
          <w:tcPr>
            <w:tcW w:type="dxa" w:w="1944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8"/>
              </w:rPr>
              <w:t>핵심 처리</w:t>
            </w:r>
          </w:p>
        </w:tc>
        <w:tc>
          <w:tcPr>
            <w:tcW w:type="dxa" w:w="828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8"/>
              </w:rPr>
              <w:t>진단축에서 객관식 기능적 오답과 선택매력도 계산을 제거하고 선택지 없는 이유질문 중심으로 한정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8"/>
              </w:rPr>
              <w:t>작성일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8"/>
              </w:rPr>
              <w:t>2026년 9월 21일</w:t>
            </w:r>
          </w:p>
        </w:tc>
      </w:tr>
    </w:tbl>
    <w:p>
      <w:pPr>
        <w:spacing w:after="20"/>
      </w:pPr>
    </w:p>
    <w:p>
      <w:r>
        <w:t>이 초안은 접수본 HLZ의 청구항을 기준으로 작성하였다. 실제 제출 전에는 보정 가능 시기, 국내우선권 또는 분할 관계, 심사청구 및 의견제출통지 여부를 특허로에서 확인하고, 최초 명세서의 기재 범위 안에서 이루어지는지 검토해야 한다.</w:t>
      </w:r>
    </w:p>
    <w:p>
      <w:pPr>
        <w:pStyle w:val="Heading1"/>
      </w:pPr>
      <w:r>
        <w:t>보정 취지</w:t>
      </w:r>
    </w:p>
    <w:p>
      <w:r>
        <w:t>본 보정안은 진단을 객관식 오답의 선택률로 최적화하는 구조에서 분리하고, 최초 명세서에 기재된 선택지 없는 이유질문, 작품근거 식별, 근거와 결론의 연결 및 후속 질문에 의한 상태분리 구조를 청구항의 중심으로 한정한다. 평가문항 선택지 생성에 관한 사항은 본 진단 청구항에서 삭제한다.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43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보정 방향</w:t>
            </w:r>
          </w:p>
        </w:tc>
        <w:tc>
          <w:tcPr>
            <w:tcW w:type="dxa" w:w="417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최초 기재 근거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7"/>
              </w:rPr>
              <w:t>청구항 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7"/>
              </w:rPr>
              <w:t>기능적 오답 생성·매력도·누출률 삭제, 개방형 이유질문과 루브릭 관측으로 교체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7"/>
              </w:rPr>
              <w:t>실시예의 선택지 없는 이유질문 및 구조화 근거루브릭</w:t>
            </w:r>
          </w:p>
        </w:tc>
      </w:tr>
      <w:tr>
        <w:tc>
          <w:tcPr>
            <w:tcW w:type="dxa" w:w="172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7"/>
              </w:rPr>
              <w:t>청구항 3 내지 5</w:t>
            </w:r>
          </w:p>
        </w:tc>
        <w:tc>
          <w:tcPr>
            <w:tcW w:type="dxa" w:w="43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7"/>
              </w:rPr>
              <w:t>기능적 오답 종속항 삭제</w:t>
            </w:r>
          </w:p>
        </w:tc>
        <w:tc>
          <w:tcPr>
            <w:tcW w:type="dxa" w:w="417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7"/>
              </w:rPr>
              <w:t>진단·평가 경계 명확화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7"/>
              </w:rPr>
              <w:t>청구항 6 내지 8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7"/>
              </w:rPr>
              <w:t>이유루브릭, 후속질문, 상태갱신 중심으로 보정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7"/>
              </w:rPr>
              <w:t>근거 식별, 연결, 반대근거 처리 개시</w:t>
            </w:r>
          </w:p>
        </w:tc>
      </w:tr>
      <w:tr>
        <w:tc>
          <w:tcPr>
            <w:tcW w:type="dxa" w:w="172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7"/>
              </w:rPr>
              <w:t>청구항 9 내지 18</w:t>
            </w:r>
          </w:p>
        </w:tc>
        <w:tc>
          <w:tcPr>
            <w:tcW w:type="dxa" w:w="43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7"/>
              </w:rPr>
              <w:t>평가 오답 프로파일, 공동적용 및 주변 실시형태 삭제</w:t>
            </w:r>
          </w:p>
        </w:tc>
        <w:tc>
          <w:tcPr>
            <w:tcW w:type="dxa" w:w="417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7"/>
              </w:rPr>
              <w:t>권리범위 축소와 단일성 정리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7"/>
              </w:rPr>
              <w:t>청구항 19·20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7"/>
              </w:rPr>
              <w:t>보정된 방법항을 수행하는 장치·기록매체로 정합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7"/>
              </w:rPr>
              <w:t>기존 장치·매체 청구항</w:t>
            </w:r>
          </w:p>
        </w:tc>
      </w:tr>
    </w:tbl>
    <w:p>
      <w:pPr>
        <w:spacing w:after="20"/>
      </w:pPr>
    </w:p>
    <w:p>
      <w:pPr>
        <w:pStyle w:val="Heading1"/>
      </w:pPr>
      <w:r>
        <w:t>청구범위 보정안</w:t>
      </w:r>
    </w:p>
    <w:p>
      <w:pPr>
        <w:spacing w:after="140"/>
      </w:pPr>
      <w:r>
        <w:rPr>
          <w:b/>
        </w:rPr>
        <w:t>청구항 1</w:t>
        <w:br/>
      </w:r>
      <w:r>
        <w:t>컴퓨터에 의해 수행되는 적응형 지식진단 방법에 있어서, (가) 학습자의 제1 응답이 정답인 경우에도 상기 정답의 서로 다른 발생원인에 대응하는 복수의 잠재지식상태를 유지하는 단계; (나) 상기 복수 잠재지식상태 중 구별대상 상태쌍을 결정하는 단계; (다) 정답 또는 오답의 선택지를 제시하지 않고 학습자로 하여금 자신의 응답 근거를 진술하게 하며 상기 상태쌍에 따라 서로 다른 근거 진술이 예측되는 개방형 진단질문을 생성하는 단계; (라) 상기 개방형 진단질문에 대한 학습자의 응답을 근거 식별, 근거와 결론의 연결, 반대근거 처리 및 논리적 일관성 중 둘 이상에 관한 관측 조작적 정의와 대조하여 이유루브릭 관측값을 산출하는 단계; (마) 상기 이유루브릭 관측값이 상기 상태쌍을 구별하기에 부족하면 선택지를 제시하지 않는 추가 진단질문을 생성하고, 구별 기준을 충족하면 관측결과를 등록하는 단계; 및 (바) 상기 관측결과에 따라 복수 잠재지식상태의 사후확률을 갱신하고 후속 검증질문, 교정질문 또는 전이질문을 선택하는 단계를 포함하는 적응형 지식진단 방법.</w:t>
      </w:r>
    </w:p>
    <w:p>
      <w:pPr>
        <w:spacing w:after="140"/>
      </w:pPr>
      <w:r>
        <w:rPr>
          <w:b/>
        </w:rPr>
        <w:t>청구항 2</w:t>
        <w:br/>
      </w:r>
      <w:r>
        <w:t>청구항 1에 있어서, 상기 복수 잠재지식상태는 숙달상태, 정답은 선택하였으나 근거가 취약한 상태, 표면단서 의존상태 및 특정 오개념상태 중 둘 이상을 포함하는 적응형 지식진단 방법.</w:t>
      </w:r>
    </w:p>
    <w:p>
      <w:pPr>
        <w:spacing w:after="140"/>
      </w:pPr>
      <w:r>
        <w:rPr>
          <w:b/>
        </w:rPr>
        <w:t>청구항 3</w:t>
        <w:br/>
      </w:r>
      <w:r>
        <w:t>삭제</w:t>
      </w:r>
    </w:p>
    <w:p>
      <w:pPr>
        <w:spacing w:after="140"/>
      </w:pPr>
      <w:r>
        <w:rPr>
          <w:b/>
        </w:rPr>
        <w:t>청구항 4</w:t>
        <w:br/>
      </w:r>
      <w:r>
        <w:t>삭제</w:t>
      </w:r>
    </w:p>
    <w:p>
      <w:pPr>
        <w:spacing w:after="140"/>
      </w:pPr>
      <w:r>
        <w:rPr>
          <w:b/>
        </w:rPr>
        <w:t>청구항 5</w:t>
        <w:br/>
      </w:r>
      <w:r>
        <w:t>삭제</w:t>
      </w:r>
    </w:p>
    <w:p>
      <w:pPr>
        <w:spacing w:after="140"/>
      </w:pPr>
      <w:r>
        <w:rPr>
          <w:b/>
        </w:rPr>
        <w:t>청구항 6</w:t>
        <w:br/>
      </w:r>
      <w:r>
        <w:t>청구항 1에 있어서, 상기 이유루브릭 관측값은 정답결정요소의 식별 여부, 제시된 근거가 결론을 지지하는지 여부, 반대근거의 처리 여부 및 새로운 표면형에 대한 전이 적용 여부 중 둘 이상을 포함하는 적응형 지식진단 방법.</w:t>
      </w:r>
    </w:p>
    <w:p>
      <w:pPr>
        <w:spacing w:after="140"/>
      </w:pPr>
      <w:r>
        <w:rPr>
          <w:b/>
        </w:rPr>
        <w:t>청구항 7</w:t>
        <w:br/>
      </w:r>
      <w:r>
        <w:t>청구항 1에 있어서, 상기 추가 진단질문은 아직 구별되지 않은 잠재지식상태들이 서로 다른 응답을 산출하도록 질문의 근거요구, 반례, 조건변경 또는 표면형을 변경하되 정답 선택지를 제공하지 않는 적응형 지식진단 방법.</w:t>
      </w:r>
    </w:p>
    <w:p>
      <w:pPr>
        <w:spacing w:after="140"/>
      </w:pPr>
      <w:r>
        <w:rPr>
          <w:b/>
        </w:rPr>
        <w:t>청구항 8</w:t>
        <w:br/>
      </w:r>
      <w:r>
        <w:t>청구항 1에 있어서, 상기 후속 검증질문 또는 전이질문은 최초 질문과 다른 표면형 또는 맥락을 사용하고, 후속 학습 세션 또는 지연평가에서 개념 유지 여부를 확인하는 적응형 지식진단 방법.</w:t>
      </w:r>
    </w:p>
    <w:p>
      <w:pPr>
        <w:spacing w:after="140"/>
      </w:pPr>
      <w:r>
        <w:rPr>
          <w:b/>
        </w:rPr>
        <w:t>청구항 9</w:t>
        <w:br/>
      </w:r>
      <w:r>
        <w:t>삭제</w:t>
      </w:r>
    </w:p>
    <w:p>
      <w:pPr>
        <w:spacing w:after="140"/>
      </w:pPr>
      <w:r>
        <w:rPr>
          <w:b/>
        </w:rPr>
        <w:t>청구항 10</w:t>
        <w:br/>
      </w:r>
      <w:r>
        <w:t>삭제</w:t>
      </w:r>
    </w:p>
    <w:p>
      <w:pPr>
        <w:spacing w:after="140"/>
      </w:pPr>
      <w:r>
        <w:rPr>
          <w:b/>
        </w:rPr>
        <w:t>청구항 11</w:t>
        <w:br/>
      </w:r>
      <w:r>
        <w:t>삭제</w:t>
      </w:r>
    </w:p>
    <w:p>
      <w:pPr>
        <w:spacing w:after="140"/>
      </w:pPr>
      <w:r>
        <w:rPr>
          <w:b/>
        </w:rPr>
        <w:t>청구항 12</w:t>
        <w:br/>
      </w:r>
      <w:r>
        <w:t>삭제</w:t>
      </w:r>
    </w:p>
    <w:p>
      <w:pPr>
        <w:spacing w:after="140"/>
      </w:pPr>
      <w:r>
        <w:rPr>
          <w:b/>
        </w:rPr>
        <w:t>청구항 13</w:t>
        <w:br/>
      </w:r>
      <w:r>
        <w:t>삭제</w:t>
      </w:r>
    </w:p>
    <w:p>
      <w:pPr>
        <w:spacing w:after="140"/>
      </w:pPr>
      <w:r>
        <w:rPr>
          <w:b/>
        </w:rPr>
        <w:t>청구항 14</w:t>
        <w:br/>
      </w:r>
      <w:r>
        <w:t>삭제</w:t>
      </w:r>
    </w:p>
    <w:p>
      <w:pPr>
        <w:spacing w:after="140"/>
      </w:pPr>
      <w:r>
        <w:rPr>
          <w:b/>
        </w:rPr>
        <w:t>청구항 15</w:t>
        <w:br/>
      </w:r>
      <w:r>
        <w:t>삭제</w:t>
      </w:r>
    </w:p>
    <w:p>
      <w:pPr>
        <w:spacing w:after="140"/>
      </w:pPr>
      <w:r>
        <w:rPr>
          <w:b/>
        </w:rPr>
        <w:t>청구항 16</w:t>
        <w:br/>
      </w:r>
      <w:r>
        <w:t>삭제</w:t>
      </w:r>
    </w:p>
    <w:p>
      <w:pPr>
        <w:spacing w:after="140"/>
      </w:pPr>
      <w:r>
        <w:rPr>
          <w:b/>
        </w:rPr>
        <w:t>청구항 17</w:t>
        <w:br/>
      </w:r>
      <w:r>
        <w:t>삭제</w:t>
      </w:r>
    </w:p>
    <w:p>
      <w:pPr>
        <w:spacing w:after="140"/>
      </w:pPr>
      <w:r>
        <w:rPr>
          <w:b/>
        </w:rPr>
        <w:t>청구항 18</w:t>
        <w:br/>
      </w:r>
      <w:r>
        <w:t>삭제</w:t>
      </w:r>
    </w:p>
    <w:p>
      <w:pPr>
        <w:spacing w:after="140"/>
      </w:pPr>
      <w:r>
        <w:rPr>
          <w:b/>
        </w:rPr>
        <w:t>청구항 19</w:t>
        <w:br/>
      </w:r>
      <w:r>
        <w:t>청구항 1, 2 및 6 내지 8 중 어느 한 항의 방법을 수행하도록 구성된 하나 이상의 프로세서와 메모리를 포함하는 적응형 지식진단 장치.</w:t>
      </w:r>
    </w:p>
    <w:p>
      <w:pPr>
        <w:spacing w:after="140"/>
      </w:pPr>
      <w:r>
        <w:rPr>
          <w:b/>
        </w:rPr>
        <w:t>청구항 20</w:t>
        <w:br/>
      </w:r>
      <w:r>
        <w:t>청구항 1, 2 및 6 내지 8 중 어느 한 항의 방법을 컴퓨터가 수행하도록 하는 명령어가 기록된 비일시적 컴퓨터 판독가능 기록매체.</w:t>
      </w:r>
    </w:p>
    <w:p>
      <w:pPr>
        <w:pStyle w:val="Heading1"/>
      </w:pPr>
      <w:r>
        <w:t>명세서 정합 보정 대상</w:t>
      </w:r>
    </w:p>
    <w:p>
      <w:pPr>
        <w:pStyle w:val="ListBullet"/>
      </w:pPr>
      <w:r>
        <w:t>발명의 명칭과 해결과제에서 기능적 오답의 매력도 최적화 표현을 삭제하고 선택지 없는 근거질문 기반 지식진단으로 통일한다.</w:t>
      </w:r>
    </w:p>
    <w:p>
      <w:pPr>
        <w:pStyle w:val="ListBullet"/>
      </w:pPr>
      <w:r>
        <w:t>산파식 진단 오답 프로파일과 평가 오답 프로파일의 공동적용 문구를 삭제한다.</w:t>
      </w:r>
    </w:p>
    <w:p>
      <w:pPr>
        <w:pStyle w:val="ListBullet"/>
      </w:pPr>
      <w:r>
        <w:t>선택매력도, 비목표상태 누출률 및 상태분리도 산식은 본 진단출원에서 삭제하고 별도 평가문항 발명과 혼용하지 않는다.</w:t>
      </w:r>
    </w:p>
    <w:p>
      <w:pPr>
        <w:pStyle w:val="ListBullet"/>
      </w:pPr>
      <w:r>
        <w:t>실시예 중 선택지 없는 이유질문, 진달래꽃 근거설명, 구조화 근거루브릭 및 전이검증 부분은 유지하고 청구항 용어와 일치시킨다.</w:t>
      </w:r>
    </w:p>
    <w:p>
      <w:pPr>
        <w:pStyle w:val="Heading1"/>
      </w:pPr>
      <w:r>
        <w:t>신규사항 및 절차 위험</w:t>
      </w:r>
    </w:p>
    <w:p>
      <w:r>
        <w:t>독립항의 중심을 기능적 오답에서 선택지 없는 진단질문으로 바꾸는 보정은 최초 명세서의 관련 실시예를 근거로 하더라도 신규사항 또는 발명의 특별한 기술적 특징 변경으로 판단될 수 있다. 따라서 이 문서는 제출안이 아니라 검토 초안이며, 최초 명세서 문단별 직접근거와 현재 보정 가능 범위를 확인한 뒤 제출해야 한다. 허용이 불명확하면 원출원의 보정보다 분할 또는 국내우선권 후속출원 가능성을 함께 검토한다.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/>
        <w:color w:val="646464"/>
        <w:sz w:val="16"/>
      </w:rPr>
      <w:t>10-2026-0159430 명세서 등 보정서 초안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KR" w:hAnsi="Noto Sans CJK KR" w:eastAsia="Noto Sans CJK K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