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D29DB" w14:textId="77777777" w:rsidR="00B132A4" w:rsidRDefault="00000000">
      <w:pPr>
        <w:pStyle w:val="a8"/>
        <w:keepNext/>
      </w:pPr>
      <w:r>
        <w:rPr>
          <w:rFonts w:ascii="Times New Roman" w:eastAsia="Times New Roman" w:hAnsi="Times New Roman" w:cs="Times New Roman"/>
        </w:rPr>
        <w:t>Capturing Temporal Patterns for ICU Mortality Prediction with Recurrent Patch Representation and External Evaluation</w:t>
      </w:r>
    </w:p>
    <w:p w14:paraId="280B6F95" w14:textId="77777777" w:rsidR="00576C7E" w:rsidRDefault="00000000">
      <w:pPr>
        <w:jc w:val="center"/>
      </w:pPr>
      <w:proofErr w:type="spellStart"/>
      <w:r>
        <w:rPr>
          <w:rFonts w:eastAsia="Times New Roman" w:cs="Times New Roman"/>
          <w:sz w:val="22"/>
        </w:rPr>
        <w:t>Jaehong</w:t>
      </w:r>
      <w:proofErr w:type="spellEnd"/>
      <w:r>
        <w:rPr>
          <w:rFonts w:eastAsia="Times New Roman" w:cs="Times New Roman"/>
          <w:sz w:val="22"/>
        </w:rPr>
        <w:t xml:space="preserve"> Kim, </w:t>
      </w:r>
      <w:proofErr w:type="spellStart"/>
      <w:r>
        <w:rPr>
          <w:rFonts w:eastAsia="Times New Roman" w:cs="Times New Roman"/>
          <w:sz w:val="22"/>
        </w:rPr>
        <w:t>BS</w:t>
      </w:r>
      <w:r>
        <w:rPr>
          <w:rFonts w:eastAsia="Times New Roman" w:cs="Times New Roman"/>
          <w:sz w:val="22"/>
          <w:vertAlign w:val="superscript"/>
        </w:rPr>
        <w:t>a</w:t>
      </w:r>
      <w:proofErr w:type="spellEnd"/>
      <w:r>
        <w:rPr>
          <w:rFonts w:eastAsia="Times New Roman" w:cs="Times New Roman"/>
          <w:sz w:val="22"/>
        </w:rPr>
        <w:t xml:space="preserve">; Seohyeon Yoo, </w:t>
      </w:r>
      <w:proofErr w:type="spellStart"/>
      <w:r>
        <w:rPr>
          <w:rFonts w:eastAsia="Times New Roman" w:cs="Times New Roman"/>
          <w:sz w:val="22"/>
        </w:rPr>
        <w:t>PhD</w:t>
      </w:r>
      <w:r>
        <w:rPr>
          <w:rFonts w:eastAsia="Times New Roman" w:cs="Times New Roman"/>
          <w:sz w:val="22"/>
          <w:vertAlign w:val="superscript"/>
        </w:rPr>
        <w:t>a</w:t>
      </w:r>
      <w:proofErr w:type="spellEnd"/>
      <w:r>
        <w:rPr>
          <w:rFonts w:eastAsia="Times New Roman" w:cs="Times New Roman"/>
          <w:sz w:val="22"/>
        </w:rPr>
        <w:t xml:space="preserve">; and </w:t>
      </w:r>
      <w:proofErr w:type="spellStart"/>
      <w:r>
        <w:rPr>
          <w:rFonts w:eastAsia="Times New Roman" w:cs="Times New Roman"/>
          <w:sz w:val="22"/>
        </w:rPr>
        <w:t>Jaehyuk</w:t>
      </w:r>
      <w:proofErr w:type="spellEnd"/>
      <w:r>
        <w:rPr>
          <w:rFonts w:eastAsia="Times New Roman" w:cs="Times New Roman"/>
          <w:sz w:val="22"/>
        </w:rPr>
        <w:t xml:space="preserve"> Cho, </w:t>
      </w:r>
      <w:proofErr w:type="spellStart"/>
      <w:r>
        <w:rPr>
          <w:rFonts w:eastAsia="Times New Roman" w:cs="Times New Roman"/>
          <w:sz w:val="22"/>
        </w:rPr>
        <w:t>PhD</w:t>
      </w:r>
      <w:r>
        <w:rPr>
          <w:rFonts w:eastAsia="Times New Roman" w:cs="Times New Roman"/>
          <w:sz w:val="22"/>
          <w:vertAlign w:val="superscript"/>
        </w:rPr>
        <w:t>a</w:t>
      </w:r>
      <w:proofErr w:type="spellEnd"/>
      <w:r>
        <w:rPr>
          <w:rFonts w:eastAsia="Times New Roman" w:cs="Times New Roman"/>
          <w:sz w:val="22"/>
        </w:rPr>
        <w:t>,*</w:t>
      </w:r>
    </w:p>
    <w:p w14:paraId="59C4635F" w14:textId="77777777" w:rsidR="00576C7E" w:rsidRDefault="00000000">
      <w:pPr>
        <w:jc w:val="center"/>
      </w:pPr>
      <w:r>
        <w:rPr>
          <w:rFonts w:eastAsia="Times New Roman" w:cs="Times New Roman"/>
          <w:sz w:val="22"/>
          <w:vertAlign w:val="superscript"/>
        </w:rPr>
        <w:t>a</w:t>
      </w:r>
      <w:r>
        <w:rPr>
          <w:rFonts w:eastAsia="Times New Roman" w:cs="Times New Roman"/>
          <w:sz w:val="22"/>
        </w:rPr>
        <w:t xml:space="preserve"> Department of Software Engineering, Jeonbuk National University, 567 </w:t>
      </w:r>
      <w:proofErr w:type="spellStart"/>
      <w:r>
        <w:rPr>
          <w:rFonts w:eastAsia="Times New Roman" w:cs="Times New Roman"/>
          <w:sz w:val="22"/>
        </w:rPr>
        <w:t>Baekje-daero</w:t>
      </w:r>
      <w:proofErr w:type="spellEnd"/>
      <w:r>
        <w:rPr>
          <w:rFonts w:eastAsia="Times New Roman" w:cs="Times New Roman"/>
          <w:sz w:val="22"/>
        </w:rPr>
        <w:t xml:space="preserve">, </w:t>
      </w:r>
      <w:proofErr w:type="spellStart"/>
      <w:r>
        <w:rPr>
          <w:rFonts w:eastAsia="Times New Roman" w:cs="Times New Roman"/>
          <w:sz w:val="22"/>
        </w:rPr>
        <w:t>Deokjin-gu</w:t>
      </w:r>
      <w:proofErr w:type="spellEnd"/>
      <w:r>
        <w:rPr>
          <w:rFonts w:eastAsia="Times New Roman" w:cs="Times New Roman"/>
          <w:sz w:val="22"/>
        </w:rPr>
        <w:t>, Jeonju-</w:t>
      </w:r>
      <w:proofErr w:type="spellStart"/>
      <w:r>
        <w:rPr>
          <w:rFonts w:eastAsia="Times New Roman" w:cs="Times New Roman"/>
          <w:sz w:val="22"/>
        </w:rPr>
        <w:t>si</w:t>
      </w:r>
      <w:proofErr w:type="spellEnd"/>
      <w:r>
        <w:rPr>
          <w:rFonts w:eastAsia="Times New Roman" w:cs="Times New Roman"/>
          <w:sz w:val="22"/>
        </w:rPr>
        <w:t>, Jeonbuk State 54896, Republic of Korea</w:t>
      </w:r>
    </w:p>
    <w:p w14:paraId="5E250ED9" w14:textId="77777777" w:rsidR="00576C7E" w:rsidRDefault="00000000">
      <w:pPr>
        <w:jc w:val="center"/>
      </w:pPr>
      <w:r>
        <w:rPr>
          <w:rFonts w:eastAsia="Times New Roman" w:cs="Times New Roman"/>
          <w:sz w:val="22"/>
        </w:rPr>
        <w:t xml:space="preserve">Author emails: </w:t>
      </w:r>
      <w:proofErr w:type="spellStart"/>
      <w:r>
        <w:rPr>
          <w:rFonts w:eastAsia="Times New Roman" w:cs="Times New Roman"/>
          <w:sz w:val="22"/>
        </w:rPr>
        <w:t>Jaehong</w:t>
      </w:r>
      <w:proofErr w:type="spellEnd"/>
      <w:r>
        <w:rPr>
          <w:rFonts w:eastAsia="Times New Roman" w:cs="Times New Roman"/>
          <w:sz w:val="22"/>
        </w:rPr>
        <w:t xml:space="preserve"> Kim, 202311518@jbnu.ac.kr; Seohyeon Yoo, ysh3575@jbnu.ac.kr; </w:t>
      </w:r>
      <w:proofErr w:type="spellStart"/>
      <w:r>
        <w:rPr>
          <w:rFonts w:eastAsia="Times New Roman" w:cs="Times New Roman"/>
          <w:sz w:val="22"/>
        </w:rPr>
        <w:t>Jaehyuk</w:t>
      </w:r>
      <w:proofErr w:type="spellEnd"/>
      <w:r>
        <w:rPr>
          <w:rFonts w:eastAsia="Times New Roman" w:cs="Times New Roman"/>
          <w:sz w:val="22"/>
        </w:rPr>
        <w:t xml:space="preserve"> Cho, chojh@jbnu.ac.kr</w:t>
      </w:r>
    </w:p>
    <w:p w14:paraId="4EB784C8" w14:textId="77777777" w:rsidR="00576C7E" w:rsidRDefault="00000000">
      <w:pPr>
        <w:jc w:val="center"/>
      </w:pPr>
      <w:r>
        <w:rPr>
          <w:rFonts w:eastAsia="Times New Roman" w:cs="Times New Roman"/>
          <w:sz w:val="22"/>
        </w:rPr>
        <w:t xml:space="preserve">ORCID </w:t>
      </w:r>
      <w:proofErr w:type="spellStart"/>
      <w:r>
        <w:rPr>
          <w:rFonts w:eastAsia="Times New Roman" w:cs="Times New Roman"/>
          <w:sz w:val="22"/>
        </w:rPr>
        <w:t>iDs</w:t>
      </w:r>
      <w:proofErr w:type="spellEnd"/>
      <w:r>
        <w:rPr>
          <w:rFonts w:eastAsia="Times New Roman" w:cs="Times New Roman"/>
          <w:sz w:val="22"/>
        </w:rPr>
        <w:t xml:space="preserve">: </w:t>
      </w:r>
      <w:proofErr w:type="spellStart"/>
      <w:r>
        <w:rPr>
          <w:rFonts w:eastAsia="Times New Roman" w:cs="Times New Roman"/>
          <w:sz w:val="22"/>
        </w:rPr>
        <w:t>Jaehong</w:t>
      </w:r>
      <w:proofErr w:type="spellEnd"/>
      <w:r>
        <w:rPr>
          <w:rFonts w:eastAsia="Times New Roman" w:cs="Times New Roman"/>
          <w:sz w:val="22"/>
        </w:rPr>
        <w:t xml:space="preserve"> Kim, 0009-0007-8751-079X; Seohyeon Yoo, 0009-0005-2100-9033; </w:t>
      </w:r>
      <w:proofErr w:type="spellStart"/>
      <w:r>
        <w:rPr>
          <w:rFonts w:eastAsia="Times New Roman" w:cs="Times New Roman"/>
          <w:sz w:val="22"/>
        </w:rPr>
        <w:t>Jaehyuk</w:t>
      </w:r>
      <w:proofErr w:type="spellEnd"/>
      <w:r>
        <w:rPr>
          <w:rFonts w:eastAsia="Times New Roman" w:cs="Times New Roman"/>
          <w:sz w:val="22"/>
        </w:rPr>
        <w:t xml:space="preserve"> Cho, 0000-0002-9113-6805</w:t>
      </w:r>
    </w:p>
    <w:p w14:paraId="716DC059" w14:textId="77777777" w:rsidR="00576C7E" w:rsidRDefault="00000000">
      <w:r>
        <w:rPr>
          <w:rFonts w:eastAsia="Times New Roman" w:cs="Times New Roman"/>
          <w:sz w:val="22"/>
        </w:rPr>
        <w:t>*Corresponding author</w:t>
      </w:r>
      <w:r>
        <w:rPr>
          <w:rFonts w:eastAsia="Times New Roman" w:cs="Times New Roman"/>
          <w:sz w:val="22"/>
        </w:rPr>
        <w:br/>
      </w:r>
      <w:proofErr w:type="spellStart"/>
      <w:r>
        <w:rPr>
          <w:rFonts w:eastAsia="Times New Roman" w:cs="Times New Roman"/>
          <w:sz w:val="22"/>
        </w:rPr>
        <w:t>Jaehyuk</w:t>
      </w:r>
      <w:proofErr w:type="spellEnd"/>
      <w:r>
        <w:rPr>
          <w:rFonts w:eastAsia="Times New Roman" w:cs="Times New Roman"/>
          <w:sz w:val="22"/>
        </w:rPr>
        <w:t xml:space="preserve"> Cho, PhD</w:t>
      </w:r>
      <w:r>
        <w:rPr>
          <w:rFonts w:eastAsia="Times New Roman" w:cs="Times New Roman"/>
          <w:sz w:val="22"/>
        </w:rPr>
        <w:br/>
        <w:t>Department of Software Engineering, Jeonbuk National University</w:t>
      </w:r>
      <w:r>
        <w:rPr>
          <w:rFonts w:eastAsia="Times New Roman" w:cs="Times New Roman"/>
          <w:sz w:val="22"/>
        </w:rPr>
        <w:br/>
        <w:t xml:space="preserve">567 </w:t>
      </w:r>
      <w:proofErr w:type="spellStart"/>
      <w:r>
        <w:rPr>
          <w:rFonts w:eastAsia="Times New Roman" w:cs="Times New Roman"/>
          <w:sz w:val="22"/>
        </w:rPr>
        <w:t>Baekje-daero</w:t>
      </w:r>
      <w:proofErr w:type="spellEnd"/>
      <w:r>
        <w:rPr>
          <w:rFonts w:eastAsia="Times New Roman" w:cs="Times New Roman"/>
          <w:sz w:val="22"/>
        </w:rPr>
        <w:t xml:space="preserve">, </w:t>
      </w:r>
      <w:proofErr w:type="spellStart"/>
      <w:r>
        <w:rPr>
          <w:rFonts w:eastAsia="Times New Roman" w:cs="Times New Roman"/>
          <w:sz w:val="22"/>
        </w:rPr>
        <w:t>Deokjin-gu</w:t>
      </w:r>
      <w:proofErr w:type="spellEnd"/>
      <w:r>
        <w:rPr>
          <w:rFonts w:eastAsia="Times New Roman" w:cs="Times New Roman"/>
          <w:sz w:val="22"/>
        </w:rPr>
        <w:t>, Jeonju-</w:t>
      </w:r>
      <w:proofErr w:type="spellStart"/>
      <w:r>
        <w:rPr>
          <w:rFonts w:eastAsia="Times New Roman" w:cs="Times New Roman"/>
          <w:sz w:val="22"/>
        </w:rPr>
        <w:t>si</w:t>
      </w:r>
      <w:proofErr w:type="spellEnd"/>
      <w:r>
        <w:rPr>
          <w:rFonts w:eastAsia="Times New Roman" w:cs="Times New Roman"/>
          <w:sz w:val="22"/>
        </w:rPr>
        <w:t>, Jeonbuk State 54896, Republic of Korea</w:t>
      </w:r>
      <w:r>
        <w:rPr>
          <w:rFonts w:eastAsia="Times New Roman" w:cs="Times New Roman"/>
          <w:sz w:val="22"/>
        </w:rPr>
        <w:br/>
        <w:t>Email: chojh@jbnu.ac.kr</w:t>
      </w:r>
      <w:r>
        <w:rPr>
          <w:rFonts w:eastAsia="Times New Roman" w:cs="Times New Roman"/>
          <w:sz w:val="22"/>
        </w:rPr>
        <w:br/>
        <w:t>Telephone: +82-63-270-4541</w:t>
      </w:r>
    </w:p>
    <w:p w14:paraId="1A79126A" w14:textId="77777777" w:rsidR="00B132A4" w:rsidRDefault="00000000">
      <w:r>
        <w:rPr>
          <w:rFonts w:eastAsia="Times New Roman" w:cs="Times New Roman"/>
        </w:rPr>
        <w:t>Article type: Research and Applications</w:t>
      </w:r>
    </w:p>
    <w:p w14:paraId="31C43E8E" w14:textId="360E57D2" w:rsidR="00B132A4" w:rsidRDefault="00000000">
      <w:r>
        <w:rPr>
          <w:rFonts w:eastAsia="Times New Roman" w:cs="Times New Roman"/>
        </w:rPr>
        <w:t>Keywords: Intensive Care Units; Mortality</w:t>
      </w:r>
      <w:r w:rsidR="00FB05DB">
        <w:rPr>
          <w:rFonts w:eastAsia="Times New Roman" w:cs="Times New Roman" w:hint="eastAsia"/>
          <w:lang w:eastAsia="ko-KR"/>
        </w:rPr>
        <w:t xml:space="preserve"> </w:t>
      </w:r>
      <w:r w:rsidR="00FB05DB">
        <w:rPr>
          <w:rFonts w:eastAsia="Times New Roman" w:cs="Times New Roman"/>
          <w:lang w:eastAsia="ko-KR"/>
        </w:rPr>
        <w:t>Prediction</w:t>
      </w:r>
      <w:r>
        <w:rPr>
          <w:rFonts w:eastAsia="Times New Roman" w:cs="Times New Roman"/>
        </w:rPr>
        <w:t xml:space="preserve">; Machine Learning; Electronic Health Records; </w:t>
      </w:r>
      <w:r w:rsidR="00FB05DB">
        <w:rPr>
          <w:rFonts w:eastAsia="Times New Roman" w:cs="Times New Roman"/>
        </w:rPr>
        <w:t>External Validation; Temporal Representation Learning;</w:t>
      </w:r>
    </w:p>
    <w:p w14:paraId="50A0A374" w14:textId="77777777" w:rsidR="00B132A4" w:rsidRDefault="00000000">
      <w:r>
        <w:rPr>
          <w:rFonts w:eastAsia="Times New Roman" w:cs="Times New Roman"/>
        </w:rPr>
        <w:t>Word count: 3934 (excluding title page, abstract, tables, figure legends, acknowledgments, and references)</w:t>
      </w:r>
    </w:p>
    <w:p w14:paraId="3DAB7920" w14:textId="77777777" w:rsidR="00B132A4" w:rsidRDefault="00000000">
      <w:r>
        <w:rPr>
          <w:rFonts w:eastAsia="Times New Roman" w:cs="Times New Roman"/>
        </w:rPr>
        <w:t>Abstract word count: 225</w:t>
      </w:r>
    </w:p>
    <w:p w14:paraId="76528E3F" w14:textId="77777777" w:rsidR="00B132A4" w:rsidRDefault="00000000">
      <w:r>
        <w:rPr>
          <w:rFonts w:eastAsia="Times New Roman" w:cs="Times New Roman"/>
        </w:rPr>
        <w:t>Tables: 4; Figures: 4</w:t>
      </w:r>
    </w:p>
    <w:p w14:paraId="58280DFB" w14:textId="77777777" w:rsidR="00B132A4" w:rsidRDefault="00000000">
      <w:r>
        <w:br w:type="page"/>
      </w:r>
    </w:p>
    <w:p w14:paraId="13AD4335" w14:textId="77777777" w:rsidR="00B132A4" w:rsidRDefault="00000000">
      <w:pPr>
        <w:pStyle w:val="1"/>
        <w:keepNext w:val="0"/>
        <w:keepLines w:val="0"/>
      </w:pPr>
      <w:r>
        <w:rPr>
          <w:rFonts w:ascii="Times New Roman" w:eastAsia="Times New Roman" w:hAnsi="Times New Roman" w:cs="Times New Roman"/>
        </w:rPr>
        <w:lastRenderedPageBreak/>
        <w:t>ABSTRACT</w:t>
      </w:r>
    </w:p>
    <w:p w14:paraId="78F806BE" w14:textId="77777777" w:rsidR="00B132A4" w:rsidRDefault="00000000">
      <w:r>
        <w:rPr>
          <w:rFonts w:eastAsia="Times New Roman" w:cs="Times New Roman"/>
          <w:b/>
        </w:rPr>
        <w:t xml:space="preserve">Objective: </w:t>
      </w:r>
      <w:r>
        <w:rPr>
          <w:rFonts w:eastAsia="Times New Roman" w:cs="Times New Roman"/>
        </w:rPr>
        <w:t>To evaluate whether independently encoded local physiologic trajectories improve intensive care unit (ICU) mortality prediction, retain performance under frozen external transfer, and inform hospital evaluation.</w:t>
      </w:r>
    </w:p>
    <w:p w14:paraId="5E279398" w14:textId="77777777" w:rsidR="00B132A4" w:rsidRDefault="00000000">
      <w:r>
        <w:rPr>
          <w:rFonts w:eastAsia="Times New Roman" w:cs="Times New Roman"/>
          <w:b/>
        </w:rPr>
        <w:t xml:space="preserve">Materials and Methods: </w:t>
      </w:r>
      <w:r>
        <w:rPr>
          <w:rFonts w:eastAsia="Times New Roman" w:cs="Times New Roman"/>
        </w:rPr>
        <w:t>PatchFusion independently encodes overlapping six-hour patches from the first 12 ICU hours using a shared bidirectional long short-term memory network, then integrates patch summaries through global attention. We developed models in MIMIC-IV (52,868 stays), tested the frozen primary-endpoint model in eICU-CRD (118,021 stays), and evaluated separately fitted, frozen seven-day and in-hospital models at four Hallym hospitals (1,100 stays). Comparisons included hierarchical benchmarks, matched reversals, and alternative patch encoders.</w:t>
      </w:r>
    </w:p>
    <w:p w14:paraId="2F560FB4" w14:textId="77777777" w:rsidR="00B132A4" w:rsidRDefault="00000000">
      <w:r>
        <w:rPr>
          <w:rFonts w:eastAsia="Times New Roman" w:cs="Times New Roman"/>
          <w:b/>
        </w:rPr>
        <w:t xml:space="preserve">Results: </w:t>
      </w:r>
      <w:r>
        <w:rPr>
          <w:rFonts w:eastAsia="Times New Roman" w:cs="Times New Roman"/>
        </w:rPr>
        <w:t>For mortality in (12,24] hours, frozen eICU-CRD area under the precision-recall curve was 0.354 (MIMIC-IV, 0.578), with gains of 0.058, 0.053, and 0.056 over adapted Hi-Patch, adapted LGTRL-DE, and PatchTST. Hallym in-hospital gains over Transformer and TBAL were 0.040 (95% CI 0.009–0.071) and 0.065 (0.027–0.102); seven-day differences remained uncertain. Within-patch order shuffling reduced performance in both datasets; differences from a convolutional encoder remained uncertain. Prospective silent scores were recorded for 279/323 eligible admissions.</w:t>
      </w:r>
    </w:p>
    <w:p w14:paraId="13A52BEF" w14:textId="77777777" w:rsidR="00B132A4" w:rsidRDefault="00000000">
      <w:r>
        <w:rPr>
          <w:rFonts w:eastAsia="Times New Roman" w:cs="Times New Roman"/>
          <w:b/>
        </w:rPr>
        <w:t xml:space="preserve">Discussion: </w:t>
      </w:r>
      <w:r>
        <w:rPr>
          <w:rFonts w:eastAsia="Times New Roman" w:cs="Times New Roman"/>
        </w:rPr>
        <w:t>Ranking gains coexisted with a seven-day Brier score of 0.055 (prevalence-only reference, 0.0556), calibration slope of 1.65, and 330 seven-day survivors among 389 flagged stays.</w:t>
      </w:r>
    </w:p>
    <w:p w14:paraId="42932480" w14:textId="77777777" w:rsidR="00B132A4" w:rsidRDefault="00000000">
      <w:r>
        <w:rPr>
          <w:rFonts w:eastAsia="Times New Roman" w:cs="Times New Roman"/>
          <w:b/>
        </w:rPr>
        <w:t xml:space="preserve">Conclusion: </w:t>
      </w:r>
      <w:r>
        <w:rPr>
          <w:rFonts w:eastAsia="Times New Roman" w:cs="Times New Roman"/>
        </w:rPr>
        <w:t xml:space="preserve">Recurrent patch representations improved external prediction and hospital ranking of in-hospital mortality. Hospital findings identify calibration, threshold selection </w:t>
      </w:r>
      <w:r>
        <w:rPr>
          <w:rFonts w:eastAsia="Times New Roman" w:cs="Times New Roman"/>
        </w:rPr>
        <w:lastRenderedPageBreak/>
        <w:t>aligned with review capacity, and reliable score capture as priorities for prospective assessment of clinical benefit.</w:t>
      </w:r>
    </w:p>
    <w:p w14:paraId="21EC1094" w14:textId="77777777" w:rsidR="00B132A4" w:rsidRDefault="00000000">
      <w:pPr>
        <w:pStyle w:val="1"/>
        <w:keepLines w:val="0"/>
        <w:pageBreakBefore/>
      </w:pPr>
      <w:r>
        <w:rPr>
          <w:rFonts w:ascii="Times New Roman" w:eastAsia="Times New Roman" w:hAnsi="Times New Roman" w:cs="Times New Roman"/>
        </w:rPr>
        <w:lastRenderedPageBreak/>
        <w:t>BACKGROUND AND SIGNIFICANCE</w:t>
      </w:r>
    </w:p>
    <w:p w14:paraId="7844BB94" w14:textId="77777777" w:rsidR="00B132A4" w:rsidRDefault="00000000">
      <w:r>
        <w:rPr>
          <w:rFonts w:eastAsia="Times New Roman" w:cs="Times New Roman"/>
        </w:rPr>
        <w:t>At an hour-12 ICU reassessment, the preceding physiologic record contains both short-term changes and an evolving overall course.[1-4] A mortality model must represent patterns within local intervals and relate them across the observation window. We examine how independently encoded multivariate trajectories can supply these local representations to global attention, and whether their predictive gains persist beyond development data.</w:t>
      </w:r>
    </w:p>
    <w:p w14:paraId="7FDD1758" w14:textId="77777777" w:rsidR="00B132A4" w:rsidRDefault="00000000">
      <w:r>
        <w:rPr>
          <w:rFonts w:eastAsia="Times New Roman" w:cs="Times New Roman"/>
        </w:rPr>
        <w:t>Severity scores summarize illness severity, while recurrent and attention-based models learn temporal representations from electronic health records.[5-21] Hierarchical approaches already connect local and global information. Hi-Patch aggregates observation representations through graphs within and across temporal patches.[22] LGTRL-DE combines recurrent local temporal modeling with Transformer-based global event modeling and demographic information.[23] Other architectures also support heterogeneous clinical records, including disease-specific prognosis.[24-28]</w:t>
      </w:r>
    </w:p>
    <w:p w14:paraId="5FD59177" w14:textId="77777777" w:rsidR="00B132A4" w:rsidRDefault="00000000">
      <w:r>
        <w:rPr>
          <w:rFonts w:eastAsia="Times New Roman" w:cs="Times New Roman"/>
        </w:rPr>
        <w:t>Mamandipoor et al. showed that engineered features of ICU vital signs improved BiLSTM mortality prediction over raw or hourly averaged inputs, with models trained separately in HiRID and eICU and eight eICU hospitals held out for testing.[29] Here, we examine how learned representations of bounded multivariate trajectories can become inputs to global attention. PatchFusion shares encoder weights across overlapping patches but resets recurrent states within each patch; projected terminal states become trajectory tokens. This defines both the scope of local computation and the information supplied to global interaction. We evaluate the design through frozen MIMIC-IV-to-eICU transfer and routine hospital records, including prospective silent scoring. Differences in observation windows and outcomes preclude direct numerical comparisons with that study.</w:t>
      </w:r>
    </w:p>
    <w:p w14:paraId="1F3A5DDF" w14:textId="77777777" w:rsidR="00B132A4" w:rsidRDefault="00000000">
      <w:r>
        <w:rPr>
          <w:rFonts w:eastAsia="Times New Roman" w:cs="Times New Roman"/>
        </w:rPr>
        <w:lastRenderedPageBreak/>
        <w:t>For clinical prediction, representation design and evaluation in the intended setting need to be considered together.[30-32] We therefore link the model comparisons to frozen external validation of the same primary endpoint, followed by hospital evaluation of separately fitted secondary-endpoint models. The hospital assessment examines mortality ranking alongside probability calibration, the number of stays selected by a transported threshold, and prospective score recording. These measurements identify conditions to address when assessing clinical benefit in a subsequent score-guided workflow.</w:t>
      </w:r>
    </w:p>
    <w:p w14:paraId="1D2FED1C" w14:textId="77777777" w:rsidR="00B132A4" w:rsidRDefault="00000000">
      <w:pPr>
        <w:pStyle w:val="1"/>
        <w:keepLines w:val="0"/>
      </w:pPr>
      <w:r>
        <w:rPr>
          <w:rFonts w:ascii="Times New Roman" w:eastAsia="Times New Roman" w:hAnsi="Times New Roman" w:cs="Times New Roman"/>
        </w:rPr>
        <w:t>OBJECTIVE</w:t>
      </w:r>
    </w:p>
    <w:p w14:paraId="52A80E62" w14:textId="77777777" w:rsidR="00B132A4" w:rsidRDefault="00000000">
      <w:r>
        <w:rPr>
          <w:rFonts w:eastAsia="Times New Roman" w:cs="Times New Roman"/>
        </w:rPr>
        <w:t>We evaluated whether independently formed recurrent patch summaries improve mortality prediction relative to hierarchical benchmarks and matched reversed pathways, and whether these gains persist under frozen eICU-CRD transfer. At four Hallym hospitals, we assessed separately fitted seven-day and in-hospital models to determine what ranking performance, calibration, threshold classifications, and score availability imply for subsequent clinical evaluation. The comparisons assess the complete representation pathway; they do not isolate a causal effect of processing order.</w:t>
      </w:r>
    </w:p>
    <w:p w14:paraId="143C9CD2" w14:textId="77777777" w:rsidR="00B132A4" w:rsidRDefault="00000000">
      <w:pPr>
        <w:pStyle w:val="1"/>
        <w:keepLines w:val="0"/>
      </w:pPr>
      <w:r>
        <w:rPr>
          <w:rFonts w:ascii="Times New Roman" w:eastAsia="Times New Roman" w:hAnsi="Times New Roman" w:cs="Times New Roman"/>
        </w:rPr>
        <w:t>MATERIALS AND METHODS</w:t>
      </w:r>
    </w:p>
    <w:p w14:paraId="7458E83F" w14:textId="77777777" w:rsidR="00B132A4" w:rsidRDefault="00000000">
      <w:pPr>
        <w:pStyle w:val="21"/>
        <w:keepLines w:val="0"/>
      </w:pPr>
      <w:r>
        <w:rPr>
          <w:rFonts w:ascii="Times New Roman" w:eastAsia="Times New Roman" w:hAnsi="Times New Roman" w:cs="Times New Roman"/>
        </w:rPr>
        <w:t>Study design and prediction endpoints</w:t>
      </w:r>
    </w:p>
    <w:p w14:paraId="11D2AF6D" w14:textId="77777777" w:rsidR="00B132A4" w:rsidRDefault="00000000">
      <w:r>
        <w:rPr>
          <w:rFonts w:eastAsia="Times New Roman" w:cs="Times New Roman"/>
        </w:rPr>
        <w:t>This prognostic study used MIMIC-IV version 3.1 for development and eICU-CRD version 2.0 for locked external validation.[33-36] Adults aged 18–80 years with a first eligible ICU stay per patient who were alive and remained in the ICU at hour 12 were included, yielding 52,868 and 118,021 stays. Incomplete observation grids and unascertainable death times were excluded. A 30-day upper ICU length-of-stay bound was reserved for sensitivity analysis. Analyses were performed in 2025–2026.</w:t>
      </w:r>
    </w:p>
    <w:p w14:paraId="5AA0A9B6" w14:textId="77777777" w:rsidR="00B132A4" w:rsidRDefault="00000000">
      <w:r>
        <w:rPr>
          <w:rFonts w:eastAsia="Times New Roman" w:cs="Times New Roman"/>
        </w:rPr>
        <w:lastRenderedPageBreak/>
        <w:t>The primary outcome was in-hospital death in (12,24] hours after ICU admission. Secondary intervals were (12,48] hours, (12,168] hours, and the remainder of the index hospitalization after hour 12. Death at an interval endpoint counted as positive; discharge alive before an endpoint was a non-event. Post-discharge deaths were not ascertained. One score was computed at hour 12 to prioritize clinician reassessment; clinician decisions and patient outcomes were not evaluated.</w:t>
      </w:r>
    </w:p>
    <w:p w14:paraId="609B7F09" w14:textId="77777777" w:rsidR="00B132A4" w:rsidRDefault="00000000">
      <w:pPr>
        <w:pStyle w:val="21"/>
        <w:keepLines w:val="0"/>
      </w:pPr>
      <w:r>
        <w:rPr>
          <w:rFonts w:ascii="Times New Roman" w:eastAsia="Times New Roman" w:hAnsi="Times New Roman" w:cs="Times New Roman"/>
        </w:rPr>
        <w:t>Recurrent patch representation and inputs</w:t>
      </w:r>
    </w:p>
    <w:p w14:paraId="486566E4" w14:textId="77777777" w:rsidR="00B132A4" w:rsidRDefault="00000000">
      <w:r>
        <w:rPr>
          <w:rFonts w:eastAsia="Times New Roman" w:cs="Times New Roman"/>
        </w:rPr>
        <w:t>For an hourly multivariate record X, PatchFusion extracts three windows P_k of six hours with a stride of three hours. A shared hourly projection maps each observation to the encoder dimension. The shared BiLSTM processes the ordered sequence in each patch independently: hidden and cell states are restarted for each patch and are not carried across patch boundaries.[37] Sharing the encoder weights does not share recurrent states. The concatenated terminal forward and backward states are projected to a trajectory token e_k, so each attention input summarizes its own bounded multivariate sequence before receiving information from other patches. Overlapping patches may share observations, but retain separate recurrent computations. Both recurrent directions use only data available within the completed hour-12 window.</w:t>
      </w:r>
    </w:p>
    <w:p w14:paraId="752924DF" w14:textId="77777777" w:rsidR="00B132A4" w:rsidRDefault="00000000">
      <w:r>
        <w:rPr>
          <w:rFonts w:eastAsia="Times New Roman" w:cs="Times New Roman"/>
        </w:rPr>
        <w:t xml:space="preserve">Global attention operates on the three trajectory tokens. Rotary Position Embedding (RoPE) represents relative patch displacement through query–key rotation, and the Transformer relates these summaries before mean pooling and an endpoint-specific scalar prediction head.[38] The tensor flow is [B,12,66] → patch extraction [B,3,6,66] → shared hourly projection and within-patch BiLSTM → recurrent trajectory tokens [B,3,256] → RoPE global attention. Figure 1 shows the boundary between local trajectory formation and global </w:t>
      </w:r>
      <w:r>
        <w:rPr>
          <w:rFonts w:eastAsia="Times New Roman" w:cs="Times New Roman"/>
        </w:rPr>
        <w:lastRenderedPageBreak/>
        <w:t>integration. Each prediction endpoint is fitted separately with the same architecture; module shapes, loss, and locked settings are specified in Tables S2 and S4b.</w:t>
      </w:r>
    </w:p>
    <w:p w14:paraId="46787C5E" w14:textId="77777777" w:rsidR="00B132A4" w:rsidRDefault="00000000">
      <w:r>
        <w:rPr>
          <w:rFonts w:eastAsia="Times New Roman" w:cs="Times New Roman"/>
        </w:rPr>
        <w:t>All deep learning models received the same first-12-hour hourly tensor: 22 base channels, their temporal deltas, and raw-observation masks (66 dimensions). Values were standardized using training-fold statistics. Vital-sign carry-forward ended at hour 12, laboratory persistence used prespecified redraw windows, and remaining gaps were masked.[16] Hospital inputs used charting/result-available timestamps; measurements first available after hour 12 were not written back. Figure 2 summarizes cohort construction. Detailed preprocessing and module specifications are in Supplementary Methods and Tables S2, S4b, and S4c.</w:t>
      </w:r>
    </w:p>
    <w:p w14:paraId="1747F7A5" w14:textId="77777777" w:rsidR="00B132A4" w:rsidRDefault="00000000">
      <w:pPr>
        <w:pStyle w:val="21"/>
        <w:keepLines w:val="0"/>
      </w:pPr>
      <w:r>
        <w:rPr>
          <w:rFonts w:ascii="Times New Roman" w:eastAsia="Times New Roman" w:hAnsi="Times New Roman" w:cs="Times New Roman"/>
        </w:rPr>
        <w:t>Routine hospital evaluation</w:t>
      </w:r>
    </w:p>
    <w:p w14:paraId="3EF43215" w14:textId="77777777" w:rsidR="00B132A4" w:rsidRDefault="00000000">
      <w:r>
        <w:rPr>
          <w:rFonts w:eastAsia="Times New Roman" w:cs="Times New Roman"/>
        </w:rPr>
        <w:t>Hallym evaluated frozen MIMIC-IV seven-day and in-hospital models without retraining or target-site threshold reselection. The primary (12,24]-hour endpoint was not evaluated there. The analysis included 1,100 stays in 1,044 patients with follow-up through June 1, 2026: 821 retrospective-replay stays and 279 prospective silent-scoring stays. Recurrent eligible stays were allowed, with patient-clustered inference. Seven unavailable source channels and their deltas were masked identically across deep learning models; Hallym-only fields were not added.</w:t>
      </w:r>
    </w:p>
    <w:p w14:paraId="393231DC" w14:textId="77777777" w:rsidR="00B132A4" w:rsidRDefault="00000000">
      <w:r>
        <w:rPr>
          <w:rFonts w:eastAsia="Times New Roman" w:cs="Times New Roman"/>
        </w:rPr>
        <w:t xml:space="preserve">Prospective operation began August 28, 2025. Of 323 hour-12–eligible admissions, 279 had timestamped scores in the analytic extract (86.4%; 16 seven-day and 82 in-hospital deaths; median recorded latency 3.8 minutes). Scores were withheld from clinicians. The remaining 44 could not be classified as non-generation versus generation without retention/export. Hallym excluded 118 outcome-unascertainable stays, including transfers, documentation gaps, </w:t>
      </w:r>
      <w:r>
        <w:rPr>
          <w:rFonts w:eastAsia="Times New Roman" w:cs="Times New Roman"/>
        </w:rPr>
        <w:lastRenderedPageBreak/>
        <w:t>and unresolved hospitalizations. Supplementary Methods detail exclusions; the calendar split in Table S17 is distinct from the prospective scoring period.</w:t>
      </w:r>
    </w:p>
    <w:p w14:paraId="55AFA3C8" w14:textId="77777777" w:rsidR="00B132A4" w:rsidRDefault="00000000">
      <w:pPr>
        <w:pStyle w:val="21"/>
        <w:keepLines w:val="0"/>
      </w:pPr>
      <w:r>
        <w:rPr>
          <w:rFonts w:ascii="Times New Roman" w:eastAsia="Times New Roman" w:hAnsi="Times New Roman" w:cs="Times New Roman"/>
        </w:rPr>
        <w:t>Model development and comparisons</w:t>
      </w:r>
    </w:p>
    <w:p w14:paraId="4E2B07D9" w14:textId="77777777" w:rsidR="00B132A4" w:rsidRDefault="00000000">
      <w:r>
        <w:rPr>
          <w:rFonts w:eastAsia="Times New Roman" w:cs="Times New Roman"/>
        </w:rPr>
        <w:t>MIMIC-IV development used patient-level GroupKFold with an outer five-fold partition and an inner 20% patient hold-out within each outer training fold for hyperparameter selection and early stopping. A common configuration was selected across folds; this is a selected development evaluation rather than fully fold-specific nested cross-validation (Supplementary Methods). Final models were retrained on the full development cohort. Architecture and hyperparameters were locked on 15 August 2025, and weights and Youden thresholds on 22 August 2025. Deep learning cutpoints were selected from pooled out-of-fold MIMIC-IV predictions and transported with the corresponding final models as fixed numeric thresholds (τ=0.0241 for ≈12–24-hour, τ=0.150 for seven-day, and τ=0.280 for in-hospital mortality; Table S14). qSOFA and SOFA-2 integer cutpoints used MIMIC-IV score–outcome pairs. SOFA-2 was added retrospectively after its publication and was not part of the August 2025 lock. External outcomes were not used for source-selected cutpoints; target-label threshold selection was restricted to the post hoc operating analyses. Final PatchFusion retraining used the median outer-fold best epoch for each endpoint (32, 34, 36, and 38 epochs) and seed 2 fixed before external evaluation. Supplementary Methods specify tensor flow, classification head, deterministic training, and retraining.</w:t>
      </w:r>
    </w:p>
    <w:p w14:paraId="63D8E1A7" w14:textId="77777777" w:rsidR="00B132A4" w:rsidRDefault="00000000">
      <w:r>
        <w:rPr>
          <w:rFonts w:eastAsia="Times New Roman" w:cs="Times New Roman"/>
        </w:rPr>
        <w:t xml:space="preserve">Comparators included LSTM, Transformer, TBAL, PatchTST, GRU-D, Raindrop, and LightGBM.[16, 39-42] Hi-Patch and LGTRL-DE were adapted to common hourly dynamic inputs and matched tuning budgets; native irregular-observation and demographic/static settings were outside this protocol. Deep learning models used alpha-balanced focal loss (alpha=0.75, gamma=2.0) and matched optimization settings where applicable.[43] Bedside </w:t>
      </w:r>
      <w:r>
        <w:rPr>
          <w:rFonts w:eastAsia="Times New Roman" w:cs="Times New Roman"/>
        </w:rPr>
        <w:lastRenderedPageBreak/>
        <w:t>comparators were qSOFA and SOFA-2; SOFA-2 was added retrospectively after publication and was not part of the August 2025 lock.[44, 45] Clinical-score mapping details are in Supplementary Methods and Tables S9c–S9d.</w:t>
      </w:r>
    </w:p>
    <w:p w14:paraId="1255AAFF" w14:textId="77777777" w:rsidR="00B132A4" w:rsidRDefault="00000000">
      <w:r>
        <w:rPr>
          <w:rFonts w:eastAsia="Times New Roman" w:cs="Times New Roman"/>
        </w:rPr>
        <w:t>The prespecified contrast evaluates predictive performance of two complete representation pathways with the same inputs, patient splits, trainable modules, training conditions, and 1,844,505 parameters. PatchFusion forms recurrent patch summaries before global attention. In the reversal, Linear(66,256) and the RoPE-Transformer first contextualize 12 hourly tokens; the sequence is then unfolded into three six-hour patches with stride three, processed by the shared BiLSTM and 378-to-256 projection, and mean-pooled for the same 256-to-1 head. Matching capacity addresses a parameter-count explanation, while attention granularity differs between 12 hourly tokens and three trajectory tokens. Hi-Patch and LGTRL-DE use the common 66-dimensional inputs, splits, search budget, five-seed protocol, and pooled-OOF framework. Additional references include a local-only configuration without global attention (−1,054,208 parameters), the standalone Transformer, PatchTST, a near-parameter-matched MLP (+0.30% parameters), and one-at-a-time changes to overlap, bidirectionality, RoPE, temporal deltas, and observation masks. Capacity and encoder changes are specified in Table S24. The reversed checkpoint was frozen and applied to eICU-CRD without retuning (Tables S23 and S23b). A post hoc reversal matched attention length at three tokens while retaining different token construction and context injection (Table S24b).</w:t>
      </w:r>
    </w:p>
    <w:p w14:paraId="7B8DBE9E" w14:textId="77777777" w:rsidR="00B132A4" w:rsidRDefault="00000000">
      <w:r>
        <w:rPr>
          <w:rFonts w:eastAsia="Times New Roman" w:cs="Times New Roman"/>
        </w:rPr>
        <w:t xml:space="preserve">Additional patch-encoder analyses retained Linear(66,256), three patches, one 256-dimensional token per patch, RoPE, the two-layer Transformer, global mean pooling, and the classification head (Tables S29 and S29b). CNN and MLP replaced only the local encoding block and reached 1,859,073 and 1,846,449 parameters, respectively, versus 1,844,505 for BiLSTM (+0.790% and +0.105%). The flattened patch MLP retains temporal position through its ordered input coordinates and differs from the nonhierarchical MLP in Table S24. </w:t>
      </w:r>
      <w:r>
        <w:rPr>
          <w:rFonts w:eastAsia="Times New Roman" w:cs="Times New Roman"/>
        </w:rPr>
        <w:lastRenderedPageBreak/>
        <w:t>Reference and variant point estimates use seed 2; five-seed SDs use seeds 1–5. Their epoch budgets were selected separately by validation AUPRC with patience 10 (maximum 100 epochs), followed by retraining. The shuffled BiLSTM permutes the six projected time points independently within each patch during training, validation, and evaluation, with fresh permutations per window and training step. It retains patch order and RoPE. Validation averages five probability predictions per patient; final evaluation averages ten and then computes AUROC/AUPRC once. These permutation repetitions stabilize predictions separately from training-seed variation. Table S29b specifies the layers, optimization, deterministic test permutations, and paired patient-bootstrap inference.</w:t>
      </w:r>
    </w:p>
    <w:p w14:paraId="07D6A644" w14:textId="77777777" w:rsidR="00B132A4" w:rsidRDefault="00000000">
      <w:pPr>
        <w:pStyle w:val="21"/>
        <w:keepLines w:val="0"/>
      </w:pPr>
      <w:r>
        <w:rPr>
          <w:rFonts w:ascii="Times New Roman" w:eastAsia="Times New Roman" w:hAnsi="Times New Roman" w:cs="Times New Roman"/>
        </w:rPr>
        <w:t>Statistical and operating analyses</w:t>
      </w:r>
    </w:p>
    <w:p w14:paraId="50B543B6" w14:textId="77777777" w:rsidR="00B132A4" w:rsidRDefault="00000000">
      <w:r>
        <w:rPr>
          <w:rFonts w:eastAsia="Times New Roman" w:cs="Times New Roman"/>
        </w:rPr>
        <w:t>Discrimination used area under the receiver operating characteristic curve (AUROC) and area under the precision-recall curve (AUPRC).[46, 47] Calibration used intercept, slope, and Brier score.[48-50] Uncertainty used 2000 patient-level bootstrap resamples in MIMIC-IV/eICU-CRD and patient-cluster resamples in Hallym; correlated AUROCs were compared using DeLong tests.[51, 52] All comparisons were exploratory, two-sided, and multiplicity-unadjusted. Bootstrap intervals condition on evaluated predictions and do not propagate model-selection uncertainty. Reporting followed TRIPOD+AI and STROBE.[53, 54]</w:t>
      </w:r>
    </w:p>
    <w:p w14:paraId="54F3821F" w14:textId="77777777" w:rsidR="00B132A4" w:rsidRDefault="00000000">
      <w:r>
        <w:rPr>
          <w:rFonts w:eastAsia="Times New Roman" w:cs="Times New Roman"/>
        </w:rPr>
        <w:t xml:space="preserve">Deep learning Youden thresholds were selected on pooled out-of-fold MIMIC-IV predictions and transported unchanged with full-cohort models (primary 0.0241; seven-day 0.150; in-hospital 0.280). External labels were not used for locked thresholds. Post hoc score-scale concordance, decision-curve net benefit, iso-sensitivity, and iso-alert-rate comparisons are in Tables S19 and S26–S28.[55, 56] Hallym iso-sensitivity used target outcomes; iso-alert-rate used scores alone. Same-cohort cutpoint selection yields descriptive operating comparisons </w:t>
      </w:r>
      <w:r>
        <w:rPr>
          <w:rFonts w:eastAsia="Times New Roman" w:cs="Times New Roman"/>
        </w:rPr>
        <w:lastRenderedPageBreak/>
        <w:t>rather than independent policy validation. “Alerts” denote analytic classifications, not clinician notifications.</w:t>
      </w:r>
    </w:p>
    <w:p w14:paraId="1CD3B369" w14:textId="77777777" w:rsidR="00B132A4" w:rsidRDefault="00000000">
      <w:pPr>
        <w:pStyle w:val="21"/>
        <w:keepLines w:val="0"/>
      </w:pPr>
      <w:r>
        <w:rPr>
          <w:rFonts w:ascii="Times New Roman" w:eastAsia="Times New Roman" w:hAnsi="Times New Roman" w:cs="Times New Roman"/>
        </w:rPr>
        <w:t>Ethical considerations</w:t>
      </w:r>
    </w:p>
    <w:p w14:paraId="009675F3" w14:textId="77777777" w:rsidR="00B132A4" w:rsidRDefault="00000000">
      <w:r>
        <w:rPr>
          <w:rFonts w:eastAsia="Times New Roman" w:cs="Times New Roman"/>
        </w:rPr>
        <w:t>Public data were accessed under credentialed PhysioNet agreements.[57, 58] The parent Hallym protocol received full-board approval from Hallym University Kangnam Sacred Heart Hospital (HKS IRB 2025-08-017; approved August 28, 2025; notified September 3, 2025; approval period August 28, 2025–August 27, 2026). Written informed consent was waived for secondary analysis of routinely collected records, including retrospective replay and contemporaneous silent scoring at the four hospitals. Outputs were not disclosed to treating clinicians.</w:t>
      </w:r>
    </w:p>
    <w:p w14:paraId="2737A499" w14:textId="77777777" w:rsidR="00B132A4" w:rsidRDefault="00000000">
      <w:pPr>
        <w:pStyle w:val="1"/>
        <w:keepLines w:val="0"/>
      </w:pPr>
      <w:r>
        <w:rPr>
          <w:rFonts w:ascii="Times New Roman" w:eastAsia="Times New Roman" w:hAnsi="Times New Roman" w:cs="Times New Roman"/>
        </w:rPr>
        <w:t>RESULTS</w:t>
      </w:r>
    </w:p>
    <w:p w14:paraId="1CB259B4" w14:textId="77777777" w:rsidR="00B132A4" w:rsidRDefault="00000000">
      <w:pPr>
        <w:pStyle w:val="21"/>
        <w:keepLines w:val="0"/>
      </w:pPr>
      <w:r>
        <w:rPr>
          <w:rFonts w:ascii="Times New Roman" w:eastAsia="Times New Roman" w:hAnsi="Times New Roman" w:cs="Times New Roman"/>
        </w:rPr>
        <w:t>Cohorts and development performance</w:t>
      </w:r>
    </w:p>
    <w:p w14:paraId="0127FE63" w14:textId="77777777" w:rsidR="00B132A4" w:rsidRDefault="00000000">
      <w:r>
        <w:rPr>
          <w:rFonts w:eastAsia="Times New Roman" w:cs="Times New Roman"/>
        </w:rPr>
        <w:t>Table 1 summarizes the development and external cohorts. Primary events occurred in 615/52,868 MIMIC-IV stays (1.2%) and 718/118,021 eICU-CRD stays (0.6%). Hallym had 65 seven-day deaths (5.9%) and 328 in-hospital deaths (29.8%).</w:t>
      </w:r>
    </w:p>
    <w:p w14:paraId="7656C955" w14:textId="77777777" w:rsidR="00B132A4" w:rsidRDefault="00000000">
      <w:pPr>
        <w:pStyle w:val="af0"/>
        <w:keepNext/>
      </w:pPr>
      <w:r>
        <w:rPr>
          <w:rFonts w:eastAsia="Times New Roman" w:cs="Times New Roman"/>
        </w:rPr>
        <w:t>Table 1. Baseline characteristics of the development and external validation cohorts.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2880"/>
        <w:gridCol w:w="2045"/>
        <w:gridCol w:w="2045"/>
        <w:gridCol w:w="2045"/>
      </w:tblGrid>
      <w:tr w:rsidR="00BB0917" w14:paraId="77D930C1" w14:textId="77777777">
        <w:trPr>
          <w:cantSplit/>
          <w:tblHeader/>
          <w:jc w:val="center"/>
        </w:trPr>
        <w:tc>
          <w:tcPr>
            <w:tcW w:w="2880" w:type="dxa"/>
            <w:shd w:val="clear" w:color="auto" w:fill="E7E7E7"/>
            <w:tcMar>
              <w:top w:w="90" w:type="dxa"/>
              <w:left w:w="110" w:type="dxa"/>
              <w:bottom w:w="90" w:type="dxa"/>
              <w:right w:w="110" w:type="dxa"/>
            </w:tcMar>
            <w:vAlign w:val="center"/>
          </w:tcPr>
          <w:p w14:paraId="7A76AE43" w14:textId="77777777" w:rsidR="00576C7E" w:rsidRDefault="00000000">
            <w:pPr>
              <w:spacing w:after="0"/>
            </w:pPr>
            <w:r>
              <w:rPr>
                <w:rFonts w:eastAsia="Times New Roman" w:cs="Times New Roman"/>
                <w:b/>
                <w:sz w:val="20"/>
              </w:rPr>
              <w:t>Characteristic</w:t>
            </w:r>
          </w:p>
        </w:tc>
        <w:tc>
          <w:tcPr>
            <w:tcW w:w="2045" w:type="dxa"/>
            <w:shd w:val="clear" w:color="auto" w:fill="E7E7E7"/>
            <w:tcMar>
              <w:top w:w="90" w:type="dxa"/>
              <w:left w:w="110" w:type="dxa"/>
              <w:bottom w:w="90" w:type="dxa"/>
              <w:right w:w="110" w:type="dxa"/>
            </w:tcMar>
            <w:vAlign w:val="center"/>
          </w:tcPr>
          <w:p w14:paraId="36082F03" w14:textId="77777777" w:rsidR="00576C7E" w:rsidRDefault="00000000">
            <w:pPr>
              <w:spacing w:after="0"/>
              <w:jc w:val="center"/>
            </w:pPr>
            <w:r>
              <w:rPr>
                <w:rFonts w:eastAsia="Times New Roman" w:cs="Times New Roman"/>
                <w:b/>
                <w:sz w:val="20"/>
              </w:rPr>
              <w:t>MIMIC-IV</w:t>
            </w:r>
          </w:p>
        </w:tc>
        <w:tc>
          <w:tcPr>
            <w:tcW w:w="2045" w:type="dxa"/>
            <w:shd w:val="clear" w:color="auto" w:fill="E7E7E7"/>
            <w:tcMar>
              <w:top w:w="90" w:type="dxa"/>
              <w:left w:w="110" w:type="dxa"/>
              <w:bottom w:w="90" w:type="dxa"/>
              <w:right w:w="110" w:type="dxa"/>
            </w:tcMar>
            <w:vAlign w:val="center"/>
          </w:tcPr>
          <w:p w14:paraId="73004481" w14:textId="77777777" w:rsidR="00576C7E" w:rsidRDefault="00000000">
            <w:pPr>
              <w:spacing w:after="0"/>
              <w:jc w:val="center"/>
            </w:pPr>
            <w:proofErr w:type="spellStart"/>
            <w:r>
              <w:rPr>
                <w:rFonts w:eastAsia="Times New Roman" w:cs="Times New Roman"/>
                <w:b/>
                <w:sz w:val="20"/>
              </w:rPr>
              <w:t>eICU</w:t>
            </w:r>
            <w:proofErr w:type="spellEnd"/>
            <w:r>
              <w:rPr>
                <w:rFonts w:eastAsia="Times New Roman" w:cs="Times New Roman"/>
                <w:b/>
                <w:sz w:val="20"/>
              </w:rPr>
              <w:t>-CRD</w:t>
            </w:r>
          </w:p>
        </w:tc>
        <w:tc>
          <w:tcPr>
            <w:tcW w:w="2045" w:type="dxa"/>
            <w:shd w:val="clear" w:color="auto" w:fill="E7E7E7"/>
            <w:tcMar>
              <w:top w:w="90" w:type="dxa"/>
              <w:left w:w="110" w:type="dxa"/>
              <w:bottom w:w="90" w:type="dxa"/>
              <w:right w:w="110" w:type="dxa"/>
            </w:tcMar>
            <w:vAlign w:val="center"/>
          </w:tcPr>
          <w:p w14:paraId="6C50EE77" w14:textId="77777777" w:rsidR="00576C7E" w:rsidRDefault="00000000">
            <w:pPr>
              <w:spacing w:after="0"/>
              <w:jc w:val="center"/>
            </w:pPr>
            <w:proofErr w:type="spellStart"/>
            <w:r>
              <w:rPr>
                <w:rFonts w:eastAsia="Times New Roman" w:cs="Times New Roman"/>
                <w:b/>
                <w:sz w:val="20"/>
              </w:rPr>
              <w:t>Hallym</w:t>
            </w:r>
            <w:proofErr w:type="spellEnd"/>
          </w:p>
        </w:tc>
      </w:tr>
      <w:tr w:rsidR="00BB0917" w14:paraId="35166BA5" w14:textId="77777777">
        <w:trPr>
          <w:cantSplit/>
          <w:jc w:val="center"/>
        </w:trPr>
        <w:tc>
          <w:tcPr>
            <w:tcW w:w="2880" w:type="dxa"/>
            <w:shd w:val="clear" w:color="auto" w:fill="FFFFFF"/>
            <w:tcMar>
              <w:top w:w="90" w:type="dxa"/>
              <w:left w:w="110" w:type="dxa"/>
              <w:bottom w:w="90" w:type="dxa"/>
              <w:right w:w="110" w:type="dxa"/>
            </w:tcMar>
            <w:vAlign w:val="center"/>
          </w:tcPr>
          <w:p w14:paraId="6230611C" w14:textId="77777777" w:rsidR="00576C7E" w:rsidRDefault="00000000">
            <w:pPr>
              <w:spacing w:after="0"/>
            </w:pPr>
            <w:r>
              <w:rPr>
                <w:rFonts w:eastAsia="Times New Roman" w:cs="Times New Roman"/>
                <w:sz w:val="20"/>
              </w:rPr>
              <w:t>ICU stays, No.</w:t>
            </w:r>
          </w:p>
        </w:tc>
        <w:tc>
          <w:tcPr>
            <w:tcW w:w="2045" w:type="dxa"/>
            <w:shd w:val="clear" w:color="auto" w:fill="FFFFFF"/>
            <w:tcMar>
              <w:top w:w="90" w:type="dxa"/>
              <w:left w:w="110" w:type="dxa"/>
              <w:bottom w:w="90" w:type="dxa"/>
              <w:right w:w="110" w:type="dxa"/>
            </w:tcMar>
            <w:vAlign w:val="center"/>
          </w:tcPr>
          <w:p w14:paraId="750A58E5" w14:textId="77777777" w:rsidR="00576C7E" w:rsidRDefault="00000000">
            <w:pPr>
              <w:spacing w:after="0"/>
              <w:jc w:val="center"/>
            </w:pPr>
            <w:r>
              <w:rPr>
                <w:rFonts w:eastAsia="Times New Roman" w:cs="Times New Roman"/>
                <w:sz w:val="20"/>
              </w:rPr>
              <w:t>52,868</w:t>
            </w:r>
          </w:p>
        </w:tc>
        <w:tc>
          <w:tcPr>
            <w:tcW w:w="2045" w:type="dxa"/>
            <w:shd w:val="clear" w:color="auto" w:fill="FFFFFF"/>
            <w:tcMar>
              <w:top w:w="90" w:type="dxa"/>
              <w:left w:w="110" w:type="dxa"/>
              <w:bottom w:w="90" w:type="dxa"/>
              <w:right w:w="110" w:type="dxa"/>
            </w:tcMar>
            <w:vAlign w:val="center"/>
          </w:tcPr>
          <w:p w14:paraId="29012E59" w14:textId="77777777" w:rsidR="00576C7E" w:rsidRDefault="00000000">
            <w:pPr>
              <w:spacing w:after="0"/>
              <w:jc w:val="center"/>
            </w:pPr>
            <w:r>
              <w:rPr>
                <w:rFonts w:eastAsia="Times New Roman" w:cs="Times New Roman"/>
                <w:sz w:val="20"/>
              </w:rPr>
              <w:t>118,021</w:t>
            </w:r>
          </w:p>
        </w:tc>
        <w:tc>
          <w:tcPr>
            <w:tcW w:w="2045" w:type="dxa"/>
            <w:shd w:val="clear" w:color="auto" w:fill="FFFFFF"/>
            <w:tcMar>
              <w:top w:w="90" w:type="dxa"/>
              <w:left w:w="110" w:type="dxa"/>
              <w:bottom w:w="90" w:type="dxa"/>
              <w:right w:w="110" w:type="dxa"/>
            </w:tcMar>
            <w:vAlign w:val="center"/>
          </w:tcPr>
          <w:p w14:paraId="2D5BC80D" w14:textId="77777777" w:rsidR="00576C7E" w:rsidRDefault="00000000">
            <w:pPr>
              <w:spacing w:after="0"/>
              <w:jc w:val="center"/>
            </w:pPr>
            <w:r>
              <w:rPr>
                <w:rFonts w:eastAsia="Times New Roman" w:cs="Times New Roman"/>
                <w:sz w:val="20"/>
              </w:rPr>
              <w:t>1,100</w:t>
            </w:r>
          </w:p>
        </w:tc>
      </w:tr>
      <w:tr w:rsidR="00BB0917" w14:paraId="23168474" w14:textId="77777777">
        <w:trPr>
          <w:cantSplit/>
          <w:jc w:val="center"/>
        </w:trPr>
        <w:tc>
          <w:tcPr>
            <w:tcW w:w="2880" w:type="dxa"/>
            <w:shd w:val="clear" w:color="auto" w:fill="FFFFFF"/>
            <w:tcMar>
              <w:top w:w="90" w:type="dxa"/>
              <w:left w:w="110" w:type="dxa"/>
              <w:bottom w:w="90" w:type="dxa"/>
              <w:right w:w="110" w:type="dxa"/>
            </w:tcMar>
            <w:vAlign w:val="center"/>
          </w:tcPr>
          <w:p w14:paraId="382C7960" w14:textId="77777777" w:rsidR="00576C7E" w:rsidRDefault="00000000">
            <w:pPr>
              <w:spacing w:after="0"/>
            </w:pPr>
            <w:r>
              <w:rPr>
                <w:rFonts w:eastAsia="Times New Roman" w:cs="Times New Roman"/>
                <w:sz w:val="20"/>
              </w:rPr>
              <w:t>Patients, No.</w:t>
            </w:r>
          </w:p>
        </w:tc>
        <w:tc>
          <w:tcPr>
            <w:tcW w:w="2045" w:type="dxa"/>
            <w:shd w:val="clear" w:color="auto" w:fill="FFFFFF"/>
            <w:tcMar>
              <w:top w:w="90" w:type="dxa"/>
              <w:left w:w="110" w:type="dxa"/>
              <w:bottom w:w="90" w:type="dxa"/>
              <w:right w:w="110" w:type="dxa"/>
            </w:tcMar>
            <w:vAlign w:val="center"/>
          </w:tcPr>
          <w:p w14:paraId="1D3928F3" w14:textId="77777777" w:rsidR="00576C7E" w:rsidRDefault="00000000">
            <w:pPr>
              <w:spacing w:after="0"/>
              <w:jc w:val="center"/>
            </w:pPr>
            <w:r>
              <w:rPr>
                <w:rFonts w:eastAsia="Times New Roman" w:cs="Times New Roman"/>
                <w:sz w:val="20"/>
              </w:rPr>
              <w:t>52,868a</w:t>
            </w:r>
          </w:p>
        </w:tc>
        <w:tc>
          <w:tcPr>
            <w:tcW w:w="2045" w:type="dxa"/>
            <w:shd w:val="clear" w:color="auto" w:fill="FFFFFF"/>
            <w:tcMar>
              <w:top w:w="90" w:type="dxa"/>
              <w:left w:w="110" w:type="dxa"/>
              <w:bottom w:w="90" w:type="dxa"/>
              <w:right w:w="110" w:type="dxa"/>
            </w:tcMar>
            <w:vAlign w:val="center"/>
          </w:tcPr>
          <w:p w14:paraId="34E4BA49" w14:textId="77777777" w:rsidR="00576C7E" w:rsidRDefault="00000000">
            <w:pPr>
              <w:spacing w:after="0"/>
              <w:jc w:val="center"/>
            </w:pPr>
            <w:r>
              <w:rPr>
                <w:rFonts w:eastAsia="Times New Roman" w:cs="Times New Roman"/>
                <w:sz w:val="20"/>
              </w:rPr>
              <w:t>118,021a</w:t>
            </w:r>
          </w:p>
        </w:tc>
        <w:tc>
          <w:tcPr>
            <w:tcW w:w="2045" w:type="dxa"/>
            <w:shd w:val="clear" w:color="auto" w:fill="FFFFFF"/>
            <w:tcMar>
              <w:top w:w="90" w:type="dxa"/>
              <w:left w:w="110" w:type="dxa"/>
              <w:bottom w:w="90" w:type="dxa"/>
              <w:right w:w="110" w:type="dxa"/>
            </w:tcMar>
            <w:vAlign w:val="center"/>
          </w:tcPr>
          <w:p w14:paraId="45CB4B5A" w14:textId="77777777" w:rsidR="00576C7E" w:rsidRDefault="00000000">
            <w:pPr>
              <w:spacing w:after="0"/>
              <w:jc w:val="center"/>
            </w:pPr>
            <w:r>
              <w:rPr>
                <w:rFonts w:eastAsia="Times New Roman" w:cs="Times New Roman"/>
                <w:sz w:val="20"/>
              </w:rPr>
              <w:t>1,044</w:t>
            </w:r>
          </w:p>
        </w:tc>
      </w:tr>
      <w:tr w:rsidR="00BB0917" w14:paraId="601F6A2B" w14:textId="77777777">
        <w:trPr>
          <w:cantSplit/>
          <w:jc w:val="center"/>
        </w:trPr>
        <w:tc>
          <w:tcPr>
            <w:tcW w:w="2880" w:type="dxa"/>
            <w:shd w:val="clear" w:color="auto" w:fill="FFFFFF"/>
            <w:tcMar>
              <w:top w:w="90" w:type="dxa"/>
              <w:left w:w="110" w:type="dxa"/>
              <w:bottom w:w="90" w:type="dxa"/>
              <w:right w:w="110" w:type="dxa"/>
            </w:tcMar>
            <w:vAlign w:val="center"/>
          </w:tcPr>
          <w:p w14:paraId="31E417EE" w14:textId="77777777" w:rsidR="00576C7E" w:rsidRDefault="00000000">
            <w:pPr>
              <w:spacing w:after="0"/>
            </w:pPr>
            <w:r>
              <w:rPr>
                <w:rFonts w:eastAsia="Times New Roman" w:cs="Times New Roman"/>
                <w:sz w:val="20"/>
              </w:rPr>
              <w:t>Age, mean (SD), y</w:t>
            </w:r>
          </w:p>
        </w:tc>
        <w:tc>
          <w:tcPr>
            <w:tcW w:w="2045" w:type="dxa"/>
            <w:shd w:val="clear" w:color="auto" w:fill="FFFFFF"/>
            <w:tcMar>
              <w:top w:w="90" w:type="dxa"/>
              <w:left w:w="110" w:type="dxa"/>
              <w:bottom w:w="90" w:type="dxa"/>
              <w:right w:w="110" w:type="dxa"/>
            </w:tcMar>
            <w:vAlign w:val="center"/>
          </w:tcPr>
          <w:p w14:paraId="1676CB5F" w14:textId="77777777" w:rsidR="00576C7E" w:rsidRDefault="00000000">
            <w:pPr>
              <w:spacing w:after="0"/>
              <w:jc w:val="center"/>
            </w:pPr>
            <w:r>
              <w:rPr>
                <w:rFonts w:eastAsia="Times New Roman" w:cs="Times New Roman"/>
                <w:sz w:val="20"/>
              </w:rPr>
              <w:t>58.9 (14.6)</w:t>
            </w:r>
          </w:p>
        </w:tc>
        <w:tc>
          <w:tcPr>
            <w:tcW w:w="2045" w:type="dxa"/>
            <w:shd w:val="clear" w:color="auto" w:fill="FFFFFF"/>
            <w:tcMar>
              <w:top w:w="90" w:type="dxa"/>
              <w:left w:w="110" w:type="dxa"/>
              <w:bottom w:w="90" w:type="dxa"/>
              <w:right w:w="110" w:type="dxa"/>
            </w:tcMar>
            <w:vAlign w:val="center"/>
          </w:tcPr>
          <w:p w14:paraId="6664C10B" w14:textId="77777777" w:rsidR="00576C7E" w:rsidRDefault="00000000">
            <w:pPr>
              <w:spacing w:after="0"/>
              <w:jc w:val="center"/>
            </w:pPr>
            <w:r>
              <w:rPr>
                <w:rFonts w:eastAsia="Times New Roman" w:cs="Times New Roman"/>
                <w:sz w:val="20"/>
              </w:rPr>
              <w:t>58.7 (14.9)</w:t>
            </w:r>
          </w:p>
        </w:tc>
        <w:tc>
          <w:tcPr>
            <w:tcW w:w="2045" w:type="dxa"/>
            <w:shd w:val="clear" w:color="auto" w:fill="FFFFFF"/>
            <w:tcMar>
              <w:top w:w="90" w:type="dxa"/>
              <w:left w:w="110" w:type="dxa"/>
              <w:bottom w:w="90" w:type="dxa"/>
              <w:right w:w="110" w:type="dxa"/>
            </w:tcMar>
            <w:vAlign w:val="center"/>
          </w:tcPr>
          <w:p w14:paraId="424EB26A" w14:textId="77777777" w:rsidR="00576C7E" w:rsidRDefault="00000000">
            <w:pPr>
              <w:spacing w:after="0"/>
              <w:jc w:val="center"/>
            </w:pPr>
            <w:r>
              <w:rPr>
                <w:rFonts w:eastAsia="Times New Roman" w:cs="Times New Roman"/>
                <w:sz w:val="20"/>
              </w:rPr>
              <w:t>66.2 (12.6)</w:t>
            </w:r>
          </w:p>
        </w:tc>
      </w:tr>
      <w:tr w:rsidR="00BB0917" w14:paraId="7F7465A0" w14:textId="77777777">
        <w:trPr>
          <w:cantSplit/>
          <w:jc w:val="center"/>
        </w:trPr>
        <w:tc>
          <w:tcPr>
            <w:tcW w:w="2880" w:type="dxa"/>
            <w:shd w:val="clear" w:color="auto" w:fill="FFFFFF"/>
            <w:tcMar>
              <w:top w:w="90" w:type="dxa"/>
              <w:left w:w="110" w:type="dxa"/>
              <w:bottom w:w="90" w:type="dxa"/>
              <w:right w:w="110" w:type="dxa"/>
            </w:tcMar>
            <w:vAlign w:val="center"/>
          </w:tcPr>
          <w:p w14:paraId="3038CF69" w14:textId="77777777" w:rsidR="00576C7E" w:rsidRDefault="00000000">
            <w:pPr>
              <w:spacing w:after="0"/>
            </w:pPr>
            <w:r>
              <w:rPr>
                <w:rFonts w:eastAsia="Times New Roman" w:cs="Times New Roman"/>
                <w:sz w:val="20"/>
              </w:rPr>
              <w:t>Female sex, No. (%)</w:t>
            </w:r>
          </w:p>
        </w:tc>
        <w:tc>
          <w:tcPr>
            <w:tcW w:w="2045" w:type="dxa"/>
            <w:shd w:val="clear" w:color="auto" w:fill="FFFFFF"/>
            <w:tcMar>
              <w:top w:w="90" w:type="dxa"/>
              <w:left w:w="110" w:type="dxa"/>
              <w:bottom w:w="90" w:type="dxa"/>
              <w:right w:w="110" w:type="dxa"/>
            </w:tcMar>
            <w:vAlign w:val="center"/>
          </w:tcPr>
          <w:p w14:paraId="0E79B62E" w14:textId="77777777" w:rsidR="00576C7E" w:rsidRDefault="00000000">
            <w:pPr>
              <w:spacing w:after="0"/>
              <w:jc w:val="center"/>
            </w:pPr>
            <w:r>
              <w:rPr>
                <w:rFonts w:eastAsia="Times New Roman" w:cs="Times New Roman"/>
                <w:sz w:val="20"/>
              </w:rPr>
              <w:t>22,363 (42.3)</w:t>
            </w:r>
          </w:p>
        </w:tc>
        <w:tc>
          <w:tcPr>
            <w:tcW w:w="2045" w:type="dxa"/>
            <w:shd w:val="clear" w:color="auto" w:fill="FFFFFF"/>
            <w:tcMar>
              <w:top w:w="90" w:type="dxa"/>
              <w:left w:w="110" w:type="dxa"/>
              <w:bottom w:w="90" w:type="dxa"/>
              <w:right w:w="110" w:type="dxa"/>
            </w:tcMar>
            <w:vAlign w:val="center"/>
          </w:tcPr>
          <w:p w14:paraId="6E4EBDAD" w14:textId="77777777" w:rsidR="00576C7E" w:rsidRDefault="00000000">
            <w:pPr>
              <w:spacing w:after="0"/>
              <w:jc w:val="center"/>
            </w:pPr>
            <w:r>
              <w:rPr>
                <w:rFonts w:eastAsia="Times New Roman" w:cs="Times New Roman"/>
                <w:sz w:val="20"/>
              </w:rPr>
              <w:t>52,348 (44.4)</w:t>
            </w:r>
          </w:p>
        </w:tc>
        <w:tc>
          <w:tcPr>
            <w:tcW w:w="2045" w:type="dxa"/>
            <w:shd w:val="clear" w:color="auto" w:fill="FFFFFF"/>
            <w:tcMar>
              <w:top w:w="90" w:type="dxa"/>
              <w:left w:w="110" w:type="dxa"/>
              <w:bottom w:w="90" w:type="dxa"/>
              <w:right w:w="110" w:type="dxa"/>
            </w:tcMar>
            <w:vAlign w:val="center"/>
          </w:tcPr>
          <w:p w14:paraId="5DCF942D" w14:textId="77777777" w:rsidR="00576C7E" w:rsidRDefault="00000000">
            <w:pPr>
              <w:spacing w:after="0"/>
              <w:jc w:val="center"/>
            </w:pPr>
            <w:r>
              <w:rPr>
                <w:rFonts w:eastAsia="Times New Roman" w:cs="Times New Roman"/>
                <w:sz w:val="20"/>
              </w:rPr>
              <w:t>341 (31.0)</w:t>
            </w:r>
          </w:p>
        </w:tc>
      </w:tr>
      <w:tr w:rsidR="00BB0917" w14:paraId="4ABD7BA7" w14:textId="77777777">
        <w:trPr>
          <w:cantSplit/>
          <w:jc w:val="center"/>
        </w:trPr>
        <w:tc>
          <w:tcPr>
            <w:tcW w:w="2880" w:type="dxa"/>
            <w:shd w:val="clear" w:color="auto" w:fill="FFFFFF"/>
            <w:tcMar>
              <w:top w:w="90" w:type="dxa"/>
              <w:left w:w="110" w:type="dxa"/>
              <w:bottom w:w="90" w:type="dxa"/>
              <w:right w:w="110" w:type="dxa"/>
            </w:tcMar>
            <w:vAlign w:val="center"/>
          </w:tcPr>
          <w:p w14:paraId="2F6B9ED1" w14:textId="77777777" w:rsidR="00576C7E" w:rsidRDefault="00000000">
            <w:pPr>
              <w:spacing w:after="0"/>
            </w:pPr>
            <w:r>
              <w:rPr>
                <w:rFonts w:eastAsia="Times New Roman" w:cs="Times New Roman"/>
                <w:sz w:val="20"/>
              </w:rPr>
              <w:t>ICU stay selection</w:t>
            </w:r>
          </w:p>
        </w:tc>
        <w:tc>
          <w:tcPr>
            <w:tcW w:w="2045" w:type="dxa"/>
            <w:shd w:val="clear" w:color="auto" w:fill="FFFFFF"/>
            <w:tcMar>
              <w:top w:w="90" w:type="dxa"/>
              <w:left w:w="110" w:type="dxa"/>
              <w:bottom w:w="90" w:type="dxa"/>
              <w:right w:w="110" w:type="dxa"/>
            </w:tcMar>
            <w:vAlign w:val="center"/>
          </w:tcPr>
          <w:p w14:paraId="4EB87CC9" w14:textId="77777777" w:rsidR="00576C7E" w:rsidRDefault="00000000">
            <w:pPr>
              <w:spacing w:after="0"/>
              <w:jc w:val="center"/>
            </w:pPr>
            <w:r>
              <w:rPr>
                <w:rFonts w:eastAsia="Times New Roman" w:cs="Times New Roman"/>
                <w:sz w:val="20"/>
              </w:rPr>
              <w:t>First eligible stay</w:t>
            </w:r>
          </w:p>
        </w:tc>
        <w:tc>
          <w:tcPr>
            <w:tcW w:w="2045" w:type="dxa"/>
            <w:shd w:val="clear" w:color="auto" w:fill="FFFFFF"/>
            <w:tcMar>
              <w:top w:w="90" w:type="dxa"/>
              <w:left w:w="110" w:type="dxa"/>
              <w:bottom w:w="90" w:type="dxa"/>
              <w:right w:w="110" w:type="dxa"/>
            </w:tcMar>
            <w:vAlign w:val="center"/>
          </w:tcPr>
          <w:p w14:paraId="16980217" w14:textId="77777777" w:rsidR="00576C7E" w:rsidRDefault="00000000">
            <w:pPr>
              <w:spacing w:after="0"/>
              <w:jc w:val="center"/>
            </w:pPr>
            <w:r>
              <w:rPr>
                <w:rFonts w:eastAsia="Times New Roman" w:cs="Times New Roman"/>
                <w:sz w:val="20"/>
              </w:rPr>
              <w:t>First eligible stay</w:t>
            </w:r>
          </w:p>
        </w:tc>
        <w:tc>
          <w:tcPr>
            <w:tcW w:w="2045" w:type="dxa"/>
            <w:shd w:val="clear" w:color="auto" w:fill="FFFFFF"/>
            <w:tcMar>
              <w:top w:w="90" w:type="dxa"/>
              <w:left w:w="110" w:type="dxa"/>
              <w:bottom w:w="90" w:type="dxa"/>
              <w:right w:w="110" w:type="dxa"/>
            </w:tcMar>
            <w:vAlign w:val="center"/>
          </w:tcPr>
          <w:p w14:paraId="6094E261" w14:textId="77777777" w:rsidR="00576C7E" w:rsidRDefault="00000000">
            <w:pPr>
              <w:spacing w:after="0"/>
              <w:jc w:val="center"/>
            </w:pPr>
            <w:r>
              <w:rPr>
                <w:rFonts w:eastAsia="Times New Roman" w:cs="Times New Roman"/>
                <w:sz w:val="20"/>
              </w:rPr>
              <w:t>Multiple stays allowed</w:t>
            </w:r>
          </w:p>
        </w:tc>
      </w:tr>
      <w:tr w:rsidR="00BB0917" w14:paraId="6EA7592B" w14:textId="77777777">
        <w:trPr>
          <w:cantSplit/>
          <w:jc w:val="center"/>
        </w:trPr>
        <w:tc>
          <w:tcPr>
            <w:tcW w:w="2880" w:type="dxa"/>
            <w:shd w:val="clear" w:color="auto" w:fill="FFFFFF"/>
            <w:tcMar>
              <w:top w:w="90" w:type="dxa"/>
              <w:left w:w="110" w:type="dxa"/>
              <w:bottom w:w="90" w:type="dxa"/>
              <w:right w:w="110" w:type="dxa"/>
            </w:tcMar>
            <w:vAlign w:val="center"/>
          </w:tcPr>
          <w:p w14:paraId="623D9C65" w14:textId="77777777" w:rsidR="00576C7E" w:rsidRDefault="00000000">
            <w:pPr>
              <w:spacing w:after="0"/>
            </w:pPr>
            <w:r>
              <w:rPr>
                <w:rFonts w:eastAsia="Times New Roman" w:cs="Times New Roman"/>
                <w:sz w:val="20"/>
              </w:rPr>
              <w:lastRenderedPageBreak/>
              <w:t>Death ≈12–24 h, No. (%)</w:t>
            </w:r>
          </w:p>
        </w:tc>
        <w:tc>
          <w:tcPr>
            <w:tcW w:w="2045" w:type="dxa"/>
            <w:shd w:val="clear" w:color="auto" w:fill="FFFFFF"/>
            <w:tcMar>
              <w:top w:w="90" w:type="dxa"/>
              <w:left w:w="110" w:type="dxa"/>
              <w:bottom w:w="90" w:type="dxa"/>
              <w:right w:w="110" w:type="dxa"/>
            </w:tcMar>
            <w:vAlign w:val="center"/>
          </w:tcPr>
          <w:p w14:paraId="70A5A9A7" w14:textId="77777777" w:rsidR="00576C7E" w:rsidRDefault="00000000">
            <w:pPr>
              <w:spacing w:after="0"/>
              <w:jc w:val="center"/>
            </w:pPr>
            <w:r>
              <w:rPr>
                <w:rFonts w:eastAsia="Times New Roman" w:cs="Times New Roman"/>
                <w:sz w:val="20"/>
              </w:rPr>
              <w:t>615 (1.2)</w:t>
            </w:r>
          </w:p>
        </w:tc>
        <w:tc>
          <w:tcPr>
            <w:tcW w:w="2045" w:type="dxa"/>
            <w:shd w:val="clear" w:color="auto" w:fill="FFFFFF"/>
            <w:tcMar>
              <w:top w:w="90" w:type="dxa"/>
              <w:left w:w="110" w:type="dxa"/>
              <w:bottom w:w="90" w:type="dxa"/>
              <w:right w:w="110" w:type="dxa"/>
            </w:tcMar>
            <w:vAlign w:val="center"/>
          </w:tcPr>
          <w:p w14:paraId="1E6A5924" w14:textId="77777777" w:rsidR="00576C7E" w:rsidRDefault="00000000">
            <w:pPr>
              <w:spacing w:after="0"/>
              <w:jc w:val="center"/>
            </w:pPr>
            <w:r>
              <w:rPr>
                <w:rFonts w:eastAsia="Times New Roman" w:cs="Times New Roman"/>
                <w:sz w:val="20"/>
              </w:rPr>
              <w:t>718 (0.6)</w:t>
            </w:r>
          </w:p>
        </w:tc>
        <w:tc>
          <w:tcPr>
            <w:tcW w:w="2045" w:type="dxa"/>
            <w:shd w:val="clear" w:color="auto" w:fill="FFFFFF"/>
            <w:tcMar>
              <w:top w:w="90" w:type="dxa"/>
              <w:left w:w="110" w:type="dxa"/>
              <w:bottom w:w="90" w:type="dxa"/>
              <w:right w:w="110" w:type="dxa"/>
            </w:tcMar>
            <w:vAlign w:val="center"/>
          </w:tcPr>
          <w:p w14:paraId="70EA7C16" w14:textId="77777777" w:rsidR="00576C7E" w:rsidRDefault="00000000">
            <w:pPr>
              <w:spacing w:after="0"/>
              <w:jc w:val="center"/>
            </w:pPr>
            <w:r>
              <w:rPr>
                <w:rFonts w:eastAsia="Times New Roman" w:cs="Times New Roman"/>
                <w:sz w:val="20"/>
              </w:rPr>
              <w:t>—b</w:t>
            </w:r>
          </w:p>
        </w:tc>
      </w:tr>
      <w:tr w:rsidR="00BB0917" w14:paraId="0787095C" w14:textId="77777777">
        <w:trPr>
          <w:cantSplit/>
          <w:jc w:val="center"/>
        </w:trPr>
        <w:tc>
          <w:tcPr>
            <w:tcW w:w="2880" w:type="dxa"/>
            <w:shd w:val="clear" w:color="auto" w:fill="FFFFFF"/>
            <w:tcMar>
              <w:top w:w="90" w:type="dxa"/>
              <w:left w:w="110" w:type="dxa"/>
              <w:bottom w:w="90" w:type="dxa"/>
              <w:right w:w="110" w:type="dxa"/>
            </w:tcMar>
            <w:vAlign w:val="center"/>
          </w:tcPr>
          <w:p w14:paraId="2514A628" w14:textId="77777777" w:rsidR="00576C7E" w:rsidRDefault="00000000">
            <w:pPr>
              <w:spacing w:after="0"/>
            </w:pPr>
            <w:r>
              <w:rPr>
                <w:rFonts w:eastAsia="Times New Roman" w:cs="Times New Roman"/>
                <w:sz w:val="20"/>
              </w:rPr>
              <w:t>Death ≈12–48 h, No. (%)</w:t>
            </w:r>
          </w:p>
        </w:tc>
        <w:tc>
          <w:tcPr>
            <w:tcW w:w="2045" w:type="dxa"/>
            <w:shd w:val="clear" w:color="auto" w:fill="FFFFFF"/>
            <w:tcMar>
              <w:top w:w="90" w:type="dxa"/>
              <w:left w:w="110" w:type="dxa"/>
              <w:bottom w:w="90" w:type="dxa"/>
              <w:right w:w="110" w:type="dxa"/>
            </w:tcMar>
            <w:vAlign w:val="center"/>
          </w:tcPr>
          <w:p w14:paraId="243716CA" w14:textId="77777777" w:rsidR="00576C7E" w:rsidRDefault="00000000">
            <w:pPr>
              <w:spacing w:after="0"/>
              <w:jc w:val="center"/>
            </w:pPr>
            <w:r>
              <w:rPr>
                <w:rFonts w:eastAsia="Times New Roman" w:cs="Times New Roman"/>
                <w:sz w:val="20"/>
              </w:rPr>
              <w:t>1,295 (2.4)</w:t>
            </w:r>
          </w:p>
        </w:tc>
        <w:tc>
          <w:tcPr>
            <w:tcW w:w="2045" w:type="dxa"/>
            <w:shd w:val="clear" w:color="auto" w:fill="FFFFFF"/>
            <w:tcMar>
              <w:top w:w="90" w:type="dxa"/>
              <w:left w:w="110" w:type="dxa"/>
              <w:bottom w:w="90" w:type="dxa"/>
              <w:right w:w="110" w:type="dxa"/>
            </w:tcMar>
            <w:vAlign w:val="center"/>
          </w:tcPr>
          <w:p w14:paraId="7071F715" w14:textId="77777777" w:rsidR="00576C7E" w:rsidRDefault="00000000">
            <w:pPr>
              <w:spacing w:after="0"/>
              <w:jc w:val="center"/>
            </w:pPr>
            <w:r>
              <w:rPr>
                <w:rFonts w:eastAsia="Times New Roman" w:cs="Times New Roman"/>
                <w:sz w:val="20"/>
              </w:rPr>
              <w:t>1,929 (1.6)</w:t>
            </w:r>
          </w:p>
        </w:tc>
        <w:tc>
          <w:tcPr>
            <w:tcW w:w="2045" w:type="dxa"/>
            <w:shd w:val="clear" w:color="auto" w:fill="FFFFFF"/>
            <w:tcMar>
              <w:top w:w="90" w:type="dxa"/>
              <w:left w:w="110" w:type="dxa"/>
              <w:bottom w:w="90" w:type="dxa"/>
              <w:right w:w="110" w:type="dxa"/>
            </w:tcMar>
            <w:vAlign w:val="center"/>
          </w:tcPr>
          <w:p w14:paraId="5F20C734" w14:textId="77777777" w:rsidR="00576C7E" w:rsidRDefault="00000000">
            <w:pPr>
              <w:spacing w:after="0"/>
              <w:jc w:val="center"/>
            </w:pPr>
            <w:r>
              <w:rPr>
                <w:rFonts w:eastAsia="Times New Roman" w:cs="Times New Roman"/>
                <w:sz w:val="20"/>
              </w:rPr>
              <w:t>—b</w:t>
            </w:r>
          </w:p>
        </w:tc>
      </w:tr>
      <w:tr w:rsidR="00BB0917" w14:paraId="120C9B22" w14:textId="77777777">
        <w:trPr>
          <w:cantSplit/>
          <w:jc w:val="center"/>
        </w:trPr>
        <w:tc>
          <w:tcPr>
            <w:tcW w:w="2880" w:type="dxa"/>
            <w:shd w:val="clear" w:color="auto" w:fill="FFFFFF"/>
            <w:tcMar>
              <w:top w:w="90" w:type="dxa"/>
              <w:left w:w="110" w:type="dxa"/>
              <w:bottom w:w="90" w:type="dxa"/>
              <w:right w:w="110" w:type="dxa"/>
            </w:tcMar>
            <w:vAlign w:val="center"/>
          </w:tcPr>
          <w:p w14:paraId="627EBE60" w14:textId="77777777" w:rsidR="00576C7E" w:rsidRDefault="00000000">
            <w:pPr>
              <w:spacing w:after="0"/>
            </w:pPr>
            <w:r>
              <w:rPr>
                <w:rFonts w:eastAsia="Times New Roman" w:cs="Times New Roman"/>
                <w:sz w:val="20"/>
              </w:rPr>
              <w:t>Death within 7 d, No. (%)</w:t>
            </w:r>
          </w:p>
        </w:tc>
        <w:tc>
          <w:tcPr>
            <w:tcW w:w="2045" w:type="dxa"/>
            <w:shd w:val="clear" w:color="auto" w:fill="FFFFFF"/>
            <w:tcMar>
              <w:top w:w="90" w:type="dxa"/>
              <w:left w:w="110" w:type="dxa"/>
              <w:bottom w:w="90" w:type="dxa"/>
              <w:right w:w="110" w:type="dxa"/>
            </w:tcMar>
            <w:vAlign w:val="center"/>
          </w:tcPr>
          <w:p w14:paraId="335A4C4E" w14:textId="77777777" w:rsidR="00576C7E" w:rsidRDefault="00000000">
            <w:pPr>
              <w:spacing w:after="0"/>
              <w:jc w:val="center"/>
            </w:pPr>
            <w:r>
              <w:rPr>
                <w:rFonts w:eastAsia="Times New Roman" w:cs="Times New Roman"/>
                <w:sz w:val="20"/>
              </w:rPr>
              <w:t>3,182 (6.0)</w:t>
            </w:r>
          </w:p>
        </w:tc>
        <w:tc>
          <w:tcPr>
            <w:tcW w:w="2045" w:type="dxa"/>
            <w:shd w:val="clear" w:color="auto" w:fill="FFFFFF"/>
            <w:tcMar>
              <w:top w:w="90" w:type="dxa"/>
              <w:left w:w="110" w:type="dxa"/>
              <w:bottom w:w="90" w:type="dxa"/>
              <w:right w:w="110" w:type="dxa"/>
            </w:tcMar>
            <w:vAlign w:val="center"/>
          </w:tcPr>
          <w:p w14:paraId="2A2E279A" w14:textId="77777777" w:rsidR="00576C7E" w:rsidRDefault="00000000">
            <w:pPr>
              <w:spacing w:after="0"/>
              <w:jc w:val="center"/>
            </w:pPr>
            <w:r>
              <w:rPr>
                <w:rFonts w:eastAsia="Times New Roman" w:cs="Times New Roman"/>
                <w:sz w:val="20"/>
              </w:rPr>
              <w:t>5,190 (4.4)</w:t>
            </w:r>
          </w:p>
        </w:tc>
        <w:tc>
          <w:tcPr>
            <w:tcW w:w="2045" w:type="dxa"/>
            <w:shd w:val="clear" w:color="auto" w:fill="FFFFFF"/>
            <w:tcMar>
              <w:top w:w="90" w:type="dxa"/>
              <w:left w:w="110" w:type="dxa"/>
              <w:bottom w:w="90" w:type="dxa"/>
              <w:right w:w="110" w:type="dxa"/>
            </w:tcMar>
            <w:vAlign w:val="center"/>
          </w:tcPr>
          <w:p w14:paraId="47B1FB90" w14:textId="77777777" w:rsidR="00576C7E" w:rsidRDefault="00000000">
            <w:pPr>
              <w:spacing w:after="0"/>
              <w:jc w:val="center"/>
            </w:pPr>
            <w:r>
              <w:rPr>
                <w:rFonts w:eastAsia="Times New Roman" w:cs="Times New Roman"/>
                <w:sz w:val="20"/>
              </w:rPr>
              <w:t>65 (5.9)</w:t>
            </w:r>
          </w:p>
        </w:tc>
      </w:tr>
      <w:tr w:rsidR="00BB0917" w14:paraId="6B2B07A2" w14:textId="77777777">
        <w:trPr>
          <w:cantSplit/>
          <w:jc w:val="center"/>
        </w:trPr>
        <w:tc>
          <w:tcPr>
            <w:tcW w:w="2880" w:type="dxa"/>
            <w:shd w:val="clear" w:color="auto" w:fill="FFFFFF"/>
            <w:tcMar>
              <w:top w:w="90" w:type="dxa"/>
              <w:left w:w="110" w:type="dxa"/>
              <w:bottom w:w="90" w:type="dxa"/>
              <w:right w:w="110" w:type="dxa"/>
            </w:tcMar>
            <w:vAlign w:val="center"/>
          </w:tcPr>
          <w:p w14:paraId="08A81656" w14:textId="77777777" w:rsidR="00576C7E" w:rsidRDefault="00000000">
            <w:pPr>
              <w:spacing w:after="0"/>
            </w:pPr>
            <w:r>
              <w:rPr>
                <w:rFonts w:eastAsia="Times New Roman" w:cs="Times New Roman"/>
                <w:sz w:val="20"/>
              </w:rPr>
              <w:t>In-hospital death, No. (%)</w:t>
            </w:r>
          </w:p>
        </w:tc>
        <w:tc>
          <w:tcPr>
            <w:tcW w:w="2045" w:type="dxa"/>
            <w:shd w:val="clear" w:color="auto" w:fill="FFFFFF"/>
            <w:tcMar>
              <w:top w:w="90" w:type="dxa"/>
              <w:left w:w="110" w:type="dxa"/>
              <w:bottom w:w="90" w:type="dxa"/>
              <w:right w:w="110" w:type="dxa"/>
            </w:tcMar>
            <w:vAlign w:val="center"/>
          </w:tcPr>
          <w:p w14:paraId="336D9073" w14:textId="77777777" w:rsidR="00576C7E" w:rsidRDefault="00000000">
            <w:pPr>
              <w:spacing w:after="0"/>
              <w:jc w:val="center"/>
            </w:pPr>
            <w:r>
              <w:rPr>
                <w:rFonts w:eastAsia="Times New Roman" w:cs="Times New Roman"/>
                <w:sz w:val="20"/>
              </w:rPr>
              <w:t>5,763 (10.9)</w:t>
            </w:r>
          </w:p>
        </w:tc>
        <w:tc>
          <w:tcPr>
            <w:tcW w:w="2045" w:type="dxa"/>
            <w:shd w:val="clear" w:color="auto" w:fill="FFFFFF"/>
            <w:tcMar>
              <w:top w:w="90" w:type="dxa"/>
              <w:left w:w="110" w:type="dxa"/>
              <w:bottom w:w="90" w:type="dxa"/>
              <w:right w:w="110" w:type="dxa"/>
            </w:tcMar>
            <w:vAlign w:val="center"/>
          </w:tcPr>
          <w:p w14:paraId="0D4B4FE4" w14:textId="77777777" w:rsidR="00576C7E" w:rsidRDefault="00000000">
            <w:pPr>
              <w:spacing w:after="0"/>
              <w:jc w:val="center"/>
            </w:pPr>
            <w:r>
              <w:rPr>
                <w:rFonts w:eastAsia="Times New Roman" w:cs="Times New Roman"/>
                <w:sz w:val="20"/>
              </w:rPr>
              <w:t>9,442 (8.0)</w:t>
            </w:r>
          </w:p>
        </w:tc>
        <w:tc>
          <w:tcPr>
            <w:tcW w:w="2045" w:type="dxa"/>
            <w:shd w:val="clear" w:color="auto" w:fill="FFFFFF"/>
            <w:tcMar>
              <w:top w:w="90" w:type="dxa"/>
              <w:left w:w="110" w:type="dxa"/>
              <w:bottom w:w="90" w:type="dxa"/>
              <w:right w:w="110" w:type="dxa"/>
            </w:tcMar>
            <w:vAlign w:val="center"/>
          </w:tcPr>
          <w:p w14:paraId="1D449594" w14:textId="77777777" w:rsidR="00576C7E" w:rsidRDefault="00000000">
            <w:pPr>
              <w:spacing w:after="0"/>
              <w:jc w:val="center"/>
            </w:pPr>
            <w:r>
              <w:rPr>
                <w:rFonts w:eastAsia="Times New Roman" w:cs="Times New Roman"/>
                <w:sz w:val="20"/>
              </w:rPr>
              <w:t>328 (29.8)</w:t>
            </w:r>
          </w:p>
        </w:tc>
      </w:tr>
    </w:tbl>
    <w:p w14:paraId="6CD0CCE2" w14:textId="77777777" w:rsidR="00B132A4" w:rsidRDefault="00000000">
      <w:r>
        <w:rPr>
          <w:rFonts w:eastAsia="Times New Roman" w:cs="Times New Roman"/>
          <w:sz w:val="20"/>
        </w:rPr>
        <w:t>Abbreviations: eICU-CRD, eICU Collaborative Research Database; ICU, intensive care unit; SD, standard deviation. a First eligible stay per patient. b Hallym evaluated seven-day and in-hospital mortality (Tables S10–S11); short-horizon endpoints were not evaluated. See also Tables S1 and S3.</w:t>
      </w:r>
    </w:p>
    <w:p w14:paraId="2150DDAF" w14:textId="77777777" w:rsidR="00B132A4" w:rsidRDefault="00000000">
      <w:r>
        <w:rPr>
          <w:rFonts w:eastAsia="Times New Roman" w:cs="Times New Roman"/>
        </w:rPr>
        <w:t>Table 2 summarizes development discrimination across the mortality horizons.</w:t>
      </w:r>
    </w:p>
    <w:p w14:paraId="3655457C" w14:textId="77777777" w:rsidR="00B132A4" w:rsidRDefault="00B132A4">
      <w:pPr>
        <w:sectPr w:rsidR="00B132A4">
          <w:headerReference w:type="default" r:id="rId8"/>
          <w:footerReference w:type="default" r:id="rId9"/>
          <w:pgSz w:w="11906" w:h="16838"/>
          <w:pgMar w:top="1224" w:right="1440" w:bottom="1224" w:left="1440" w:header="360" w:footer="360" w:gutter="0"/>
          <w:cols w:space="720"/>
          <w:docGrid w:linePitch="360"/>
        </w:sectPr>
      </w:pPr>
    </w:p>
    <w:p w14:paraId="005787C2" w14:textId="77777777" w:rsidR="00B132A4" w:rsidRDefault="00000000">
      <w:pPr>
        <w:pStyle w:val="af0"/>
        <w:keepNext/>
      </w:pPr>
      <w:r>
        <w:rPr>
          <w:rFonts w:eastAsia="Times New Roman" w:cs="Times New Roman"/>
        </w:rPr>
        <w:lastRenderedPageBreak/>
        <w:t>Table 2. Discrimination of mortality prediction models after 12 hours of ICU observation.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1584"/>
        <w:gridCol w:w="1080"/>
        <w:gridCol w:w="3053"/>
        <w:gridCol w:w="3053"/>
        <w:gridCol w:w="3053"/>
        <w:gridCol w:w="2995"/>
      </w:tblGrid>
      <w:tr w:rsidR="00B132A4" w14:paraId="70242BCC" w14:textId="77777777">
        <w:trPr>
          <w:cantSplit/>
          <w:tblHeader/>
          <w:jc w:val="center"/>
        </w:trPr>
        <w:tc>
          <w:tcPr>
            <w:tcW w:w="1584" w:type="dxa"/>
            <w:shd w:val="clear" w:color="auto" w:fill="E7E7E7"/>
            <w:vAlign w:val="center"/>
          </w:tcPr>
          <w:p w14:paraId="38FFCB8F" w14:textId="77777777" w:rsidR="00B132A4" w:rsidRDefault="00000000">
            <w:pPr>
              <w:spacing w:after="0"/>
            </w:pPr>
            <w:r>
              <w:rPr>
                <w:rFonts w:eastAsia="Times New Roman" w:cs="Times New Roman"/>
                <w:b/>
                <w:sz w:val="20"/>
              </w:rPr>
              <w:t>Model</w:t>
            </w:r>
          </w:p>
        </w:tc>
        <w:tc>
          <w:tcPr>
            <w:tcW w:w="1080" w:type="dxa"/>
            <w:shd w:val="clear" w:color="auto" w:fill="E7E7E7"/>
            <w:vAlign w:val="center"/>
          </w:tcPr>
          <w:p w14:paraId="4830FBA0" w14:textId="77777777" w:rsidR="00B132A4" w:rsidRDefault="00000000">
            <w:pPr>
              <w:spacing w:after="0"/>
              <w:jc w:val="center"/>
            </w:pPr>
            <w:r>
              <w:rPr>
                <w:rFonts w:eastAsia="Times New Roman" w:cs="Times New Roman"/>
                <w:b/>
                <w:sz w:val="20"/>
              </w:rPr>
              <w:t>Metric</w:t>
            </w:r>
          </w:p>
        </w:tc>
        <w:tc>
          <w:tcPr>
            <w:tcW w:w="3053" w:type="dxa"/>
            <w:shd w:val="clear" w:color="auto" w:fill="E7E7E7"/>
            <w:vAlign w:val="center"/>
          </w:tcPr>
          <w:p w14:paraId="1A3206B7" w14:textId="77777777" w:rsidR="00B132A4" w:rsidRDefault="00000000">
            <w:pPr>
              <w:spacing w:after="0"/>
              <w:jc w:val="center"/>
            </w:pPr>
            <w:r>
              <w:rPr>
                <w:rFonts w:eastAsia="Times New Roman" w:cs="Times New Roman"/>
                <w:b/>
                <w:sz w:val="20"/>
              </w:rPr>
              <w:t>(12,24] h</w:t>
            </w:r>
          </w:p>
        </w:tc>
        <w:tc>
          <w:tcPr>
            <w:tcW w:w="3053" w:type="dxa"/>
            <w:shd w:val="clear" w:color="auto" w:fill="E7E7E7"/>
            <w:vAlign w:val="center"/>
          </w:tcPr>
          <w:p w14:paraId="0C3848F1" w14:textId="77777777" w:rsidR="00B132A4" w:rsidRDefault="00000000">
            <w:pPr>
              <w:spacing w:after="0"/>
              <w:jc w:val="center"/>
            </w:pPr>
            <w:r>
              <w:rPr>
                <w:rFonts w:eastAsia="Times New Roman" w:cs="Times New Roman"/>
                <w:b/>
                <w:sz w:val="20"/>
              </w:rPr>
              <w:t>(12,48] h</w:t>
            </w:r>
          </w:p>
        </w:tc>
        <w:tc>
          <w:tcPr>
            <w:tcW w:w="3053" w:type="dxa"/>
            <w:shd w:val="clear" w:color="auto" w:fill="E7E7E7"/>
            <w:vAlign w:val="center"/>
          </w:tcPr>
          <w:p w14:paraId="6652EA57" w14:textId="77777777" w:rsidR="00B132A4" w:rsidRDefault="00000000">
            <w:pPr>
              <w:spacing w:after="0"/>
              <w:jc w:val="center"/>
            </w:pPr>
            <w:r>
              <w:rPr>
                <w:rFonts w:eastAsia="Times New Roman" w:cs="Times New Roman"/>
                <w:b/>
                <w:sz w:val="20"/>
              </w:rPr>
              <w:t>7-day</w:t>
            </w:r>
          </w:p>
        </w:tc>
        <w:tc>
          <w:tcPr>
            <w:tcW w:w="2995" w:type="dxa"/>
            <w:shd w:val="clear" w:color="auto" w:fill="E7E7E7"/>
            <w:vAlign w:val="center"/>
          </w:tcPr>
          <w:p w14:paraId="15F4EC91" w14:textId="77777777" w:rsidR="00B132A4" w:rsidRDefault="00000000">
            <w:pPr>
              <w:spacing w:after="0"/>
              <w:jc w:val="center"/>
            </w:pPr>
            <w:r>
              <w:rPr>
                <w:rFonts w:eastAsia="Times New Roman" w:cs="Times New Roman"/>
                <w:b/>
                <w:sz w:val="20"/>
              </w:rPr>
              <w:t>In-hospital</w:t>
            </w:r>
          </w:p>
        </w:tc>
      </w:tr>
      <w:tr w:rsidR="00B132A4" w14:paraId="7BC287E9" w14:textId="77777777">
        <w:trPr>
          <w:cantSplit/>
          <w:jc w:val="center"/>
        </w:trPr>
        <w:tc>
          <w:tcPr>
            <w:tcW w:w="1584" w:type="dxa"/>
            <w:shd w:val="clear" w:color="auto" w:fill="FFFFFF"/>
            <w:vAlign w:val="center"/>
          </w:tcPr>
          <w:p w14:paraId="36B128FF" w14:textId="77777777" w:rsidR="00B132A4" w:rsidRDefault="00000000">
            <w:pPr>
              <w:spacing w:after="0"/>
            </w:pPr>
            <w:r>
              <w:rPr>
                <w:rFonts w:eastAsia="Times New Roman" w:cs="Times New Roman"/>
                <w:sz w:val="20"/>
              </w:rPr>
              <w:t>LSTM</w:t>
            </w:r>
          </w:p>
        </w:tc>
        <w:tc>
          <w:tcPr>
            <w:tcW w:w="1080" w:type="dxa"/>
            <w:shd w:val="clear" w:color="auto" w:fill="FFFFFF"/>
            <w:vAlign w:val="center"/>
          </w:tcPr>
          <w:p w14:paraId="457E8A17" w14:textId="77777777" w:rsidR="00B132A4" w:rsidRDefault="00000000">
            <w:pPr>
              <w:spacing w:after="0"/>
              <w:jc w:val="center"/>
            </w:pPr>
            <w:r>
              <w:rPr>
                <w:rFonts w:eastAsia="Times New Roman" w:cs="Times New Roman"/>
                <w:sz w:val="20"/>
              </w:rPr>
              <w:t>AUROC</w:t>
            </w:r>
          </w:p>
        </w:tc>
        <w:tc>
          <w:tcPr>
            <w:tcW w:w="3053" w:type="dxa"/>
            <w:shd w:val="clear" w:color="auto" w:fill="FFFFFF"/>
            <w:vAlign w:val="center"/>
          </w:tcPr>
          <w:p w14:paraId="22846AD3" w14:textId="77777777" w:rsidR="00B132A4" w:rsidRDefault="00000000">
            <w:pPr>
              <w:spacing w:after="0"/>
              <w:jc w:val="center"/>
            </w:pPr>
            <w:r>
              <w:rPr>
                <w:rFonts w:eastAsia="Times New Roman" w:cs="Times New Roman"/>
                <w:sz w:val="20"/>
              </w:rPr>
              <w:t>0.909 (0.874–0.937)</w:t>
            </w:r>
          </w:p>
        </w:tc>
        <w:tc>
          <w:tcPr>
            <w:tcW w:w="3053" w:type="dxa"/>
            <w:shd w:val="clear" w:color="auto" w:fill="FFFFFF"/>
            <w:vAlign w:val="center"/>
          </w:tcPr>
          <w:p w14:paraId="4D02EBA8" w14:textId="77777777" w:rsidR="00B132A4" w:rsidRDefault="00000000">
            <w:pPr>
              <w:spacing w:after="0"/>
              <w:jc w:val="center"/>
            </w:pPr>
            <w:r>
              <w:rPr>
                <w:rFonts w:eastAsia="Times New Roman" w:cs="Times New Roman"/>
                <w:sz w:val="20"/>
              </w:rPr>
              <w:t>0.915 (0.898–0.932)</w:t>
            </w:r>
          </w:p>
        </w:tc>
        <w:tc>
          <w:tcPr>
            <w:tcW w:w="3053" w:type="dxa"/>
            <w:shd w:val="clear" w:color="auto" w:fill="FFFFFF"/>
            <w:vAlign w:val="center"/>
          </w:tcPr>
          <w:p w14:paraId="04175F0E" w14:textId="77777777" w:rsidR="00B132A4" w:rsidRDefault="00000000">
            <w:pPr>
              <w:spacing w:after="0"/>
              <w:jc w:val="center"/>
            </w:pPr>
            <w:r>
              <w:rPr>
                <w:rFonts w:eastAsia="Times New Roman" w:cs="Times New Roman"/>
                <w:sz w:val="20"/>
              </w:rPr>
              <w:t>0.894 (0.871–0.915)</w:t>
            </w:r>
          </w:p>
        </w:tc>
        <w:tc>
          <w:tcPr>
            <w:tcW w:w="2995" w:type="dxa"/>
            <w:shd w:val="clear" w:color="auto" w:fill="FFFFFF"/>
            <w:vAlign w:val="center"/>
          </w:tcPr>
          <w:p w14:paraId="0FA65975" w14:textId="77777777" w:rsidR="00B132A4" w:rsidRDefault="00000000">
            <w:pPr>
              <w:spacing w:after="0"/>
              <w:jc w:val="center"/>
            </w:pPr>
            <w:r>
              <w:rPr>
                <w:rFonts w:eastAsia="Times New Roman" w:cs="Times New Roman"/>
                <w:sz w:val="20"/>
              </w:rPr>
              <w:t>0.871 (0.858–0.884)</w:t>
            </w:r>
          </w:p>
        </w:tc>
      </w:tr>
      <w:tr w:rsidR="00B132A4" w14:paraId="10C1E594" w14:textId="77777777">
        <w:trPr>
          <w:cantSplit/>
          <w:jc w:val="center"/>
        </w:trPr>
        <w:tc>
          <w:tcPr>
            <w:tcW w:w="1584" w:type="dxa"/>
            <w:shd w:val="clear" w:color="auto" w:fill="FFFFFF"/>
            <w:vAlign w:val="center"/>
          </w:tcPr>
          <w:p w14:paraId="70E4EE80" w14:textId="77777777" w:rsidR="00B132A4" w:rsidRDefault="00000000">
            <w:pPr>
              <w:spacing w:after="0"/>
            </w:pPr>
            <w:r>
              <w:rPr>
                <w:rFonts w:eastAsia="Times New Roman" w:cs="Times New Roman"/>
                <w:sz w:val="20"/>
              </w:rPr>
              <w:t>LSTM</w:t>
            </w:r>
          </w:p>
        </w:tc>
        <w:tc>
          <w:tcPr>
            <w:tcW w:w="1080" w:type="dxa"/>
            <w:shd w:val="clear" w:color="auto" w:fill="FFFFFF"/>
            <w:vAlign w:val="center"/>
          </w:tcPr>
          <w:p w14:paraId="199EA441" w14:textId="77777777" w:rsidR="00B132A4" w:rsidRDefault="00000000">
            <w:pPr>
              <w:spacing w:after="0"/>
              <w:jc w:val="center"/>
            </w:pPr>
            <w:r>
              <w:rPr>
                <w:rFonts w:eastAsia="Times New Roman" w:cs="Times New Roman"/>
                <w:sz w:val="20"/>
              </w:rPr>
              <w:t>AUPRC</w:t>
            </w:r>
          </w:p>
        </w:tc>
        <w:tc>
          <w:tcPr>
            <w:tcW w:w="3053" w:type="dxa"/>
            <w:shd w:val="clear" w:color="auto" w:fill="FFFFFF"/>
            <w:vAlign w:val="center"/>
          </w:tcPr>
          <w:p w14:paraId="76101FE9" w14:textId="77777777" w:rsidR="00B132A4" w:rsidRDefault="00000000">
            <w:pPr>
              <w:spacing w:after="0"/>
              <w:jc w:val="center"/>
            </w:pPr>
            <w:r>
              <w:rPr>
                <w:rFonts w:eastAsia="Times New Roman" w:cs="Times New Roman"/>
                <w:sz w:val="20"/>
              </w:rPr>
              <w:t>0.334 (0.240–0.415)</w:t>
            </w:r>
          </w:p>
        </w:tc>
        <w:tc>
          <w:tcPr>
            <w:tcW w:w="3053" w:type="dxa"/>
            <w:shd w:val="clear" w:color="auto" w:fill="FFFFFF"/>
            <w:vAlign w:val="center"/>
          </w:tcPr>
          <w:p w14:paraId="63A526BA" w14:textId="77777777" w:rsidR="00B132A4" w:rsidRDefault="00000000">
            <w:pPr>
              <w:spacing w:after="0"/>
              <w:jc w:val="center"/>
            </w:pPr>
            <w:r>
              <w:rPr>
                <w:rFonts w:eastAsia="Times New Roman" w:cs="Times New Roman"/>
                <w:sz w:val="20"/>
              </w:rPr>
              <w:t>0.401 (0.347–0.459)</w:t>
            </w:r>
          </w:p>
        </w:tc>
        <w:tc>
          <w:tcPr>
            <w:tcW w:w="3053" w:type="dxa"/>
            <w:shd w:val="clear" w:color="auto" w:fill="FFFFFF"/>
            <w:vAlign w:val="center"/>
          </w:tcPr>
          <w:p w14:paraId="51CB9BCA" w14:textId="77777777" w:rsidR="00B132A4" w:rsidRDefault="00000000">
            <w:pPr>
              <w:spacing w:after="0"/>
              <w:jc w:val="center"/>
            </w:pPr>
            <w:r>
              <w:rPr>
                <w:rFonts w:eastAsia="Times New Roman" w:cs="Times New Roman"/>
                <w:sz w:val="20"/>
              </w:rPr>
              <w:t>0.399 (0.353–0.442)</w:t>
            </w:r>
          </w:p>
        </w:tc>
        <w:tc>
          <w:tcPr>
            <w:tcW w:w="2995" w:type="dxa"/>
            <w:shd w:val="clear" w:color="auto" w:fill="FFFFFF"/>
            <w:vAlign w:val="center"/>
          </w:tcPr>
          <w:p w14:paraId="0B2475A5" w14:textId="77777777" w:rsidR="00B132A4" w:rsidRDefault="00000000">
            <w:pPr>
              <w:spacing w:after="0"/>
              <w:jc w:val="center"/>
            </w:pPr>
            <w:r>
              <w:rPr>
                <w:rFonts w:eastAsia="Times New Roman" w:cs="Times New Roman"/>
                <w:sz w:val="20"/>
              </w:rPr>
              <w:t>0.512 (0.488–0.536)</w:t>
            </w:r>
          </w:p>
        </w:tc>
      </w:tr>
      <w:tr w:rsidR="00B132A4" w14:paraId="5852E3A0" w14:textId="77777777">
        <w:trPr>
          <w:cantSplit/>
          <w:jc w:val="center"/>
        </w:trPr>
        <w:tc>
          <w:tcPr>
            <w:tcW w:w="1584" w:type="dxa"/>
            <w:shd w:val="clear" w:color="auto" w:fill="FFFFFF"/>
            <w:vAlign w:val="center"/>
          </w:tcPr>
          <w:p w14:paraId="79911FCD" w14:textId="77777777" w:rsidR="00B132A4" w:rsidRDefault="00000000">
            <w:pPr>
              <w:spacing w:after="0"/>
            </w:pPr>
            <w:r>
              <w:rPr>
                <w:rFonts w:eastAsia="Times New Roman" w:cs="Times New Roman"/>
                <w:sz w:val="20"/>
              </w:rPr>
              <w:t>Transformer</w:t>
            </w:r>
          </w:p>
        </w:tc>
        <w:tc>
          <w:tcPr>
            <w:tcW w:w="1080" w:type="dxa"/>
            <w:shd w:val="clear" w:color="auto" w:fill="FFFFFF"/>
            <w:vAlign w:val="center"/>
          </w:tcPr>
          <w:p w14:paraId="4F7DEEC9" w14:textId="77777777" w:rsidR="00B132A4" w:rsidRDefault="00000000">
            <w:pPr>
              <w:spacing w:after="0"/>
              <w:jc w:val="center"/>
            </w:pPr>
            <w:r>
              <w:rPr>
                <w:rFonts w:eastAsia="Times New Roman" w:cs="Times New Roman"/>
                <w:sz w:val="20"/>
              </w:rPr>
              <w:t>AUROC</w:t>
            </w:r>
          </w:p>
        </w:tc>
        <w:tc>
          <w:tcPr>
            <w:tcW w:w="3053" w:type="dxa"/>
            <w:shd w:val="clear" w:color="auto" w:fill="FFFFFF"/>
            <w:vAlign w:val="center"/>
          </w:tcPr>
          <w:p w14:paraId="2D3E83D7" w14:textId="77777777" w:rsidR="00B132A4" w:rsidRDefault="00000000">
            <w:pPr>
              <w:spacing w:after="0"/>
              <w:jc w:val="center"/>
            </w:pPr>
            <w:r>
              <w:rPr>
                <w:rFonts w:eastAsia="Times New Roman" w:cs="Times New Roman"/>
                <w:sz w:val="20"/>
              </w:rPr>
              <w:t>0.892 (0.869–0.914)</w:t>
            </w:r>
          </w:p>
        </w:tc>
        <w:tc>
          <w:tcPr>
            <w:tcW w:w="3053" w:type="dxa"/>
            <w:shd w:val="clear" w:color="auto" w:fill="FFFFFF"/>
            <w:vAlign w:val="center"/>
          </w:tcPr>
          <w:p w14:paraId="52549B62" w14:textId="77777777" w:rsidR="00B132A4" w:rsidRDefault="00000000">
            <w:pPr>
              <w:spacing w:after="0"/>
              <w:jc w:val="center"/>
            </w:pPr>
            <w:r>
              <w:rPr>
                <w:rFonts w:eastAsia="Times New Roman" w:cs="Times New Roman"/>
                <w:sz w:val="20"/>
              </w:rPr>
              <w:t>0.919 (0.903–0.945)</w:t>
            </w:r>
          </w:p>
        </w:tc>
        <w:tc>
          <w:tcPr>
            <w:tcW w:w="3053" w:type="dxa"/>
            <w:shd w:val="clear" w:color="auto" w:fill="FFFFFF"/>
            <w:vAlign w:val="center"/>
          </w:tcPr>
          <w:p w14:paraId="12D9D4FF" w14:textId="77777777" w:rsidR="00B132A4" w:rsidRDefault="00000000">
            <w:pPr>
              <w:spacing w:after="0"/>
              <w:jc w:val="center"/>
            </w:pPr>
            <w:r>
              <w:rPr>
                <w:rFonts w:eastAsia="Times New Roman" w:cs="Times New Roman"/>
                <w:sz w:val="20"/>
              </w:rPr>
              <w:t>0.905 (0.886–0.923)</w:t>
            </w:r>
          </w:p>
        </w:tc>
        <w:tc>
          <w:tcPr>
            <w:tcW w:w="2995" w:type="dxa"/>
            <w:shd w:val="clear" w:color="auto" w:fill="FFFFFF"/>
            <w:vAlign w:val="center"/>
          </w:tcPr>
          <w:p w14:paraId="49CCFEAC" w14:textId="77777777" w:rsidR="00B132A4" w:rsidRDefault="00000000">
            <w:pPr>
              <w:spacing w:after="0"/>
              <w:jc w:val="center"/>
            </w:pPr>
            <w:r>
              <w:rPr>
                <w:rFonts w:eastAsia="Times New Roman" w:cs="Times New Roman"/>
                <w:sz w:val="20"/>
              </w:rPr>
              <w:t>0.879 (0.866–0.892)</w:t>
            </w:r>
          </w:p>
        </w:tc>
      </w:tr>
      <w:tr w:rsidR="00B132A4" w14:paraId="1ABD355B" w14:textId="77777777">
        <w:trPr>
          <w:cantSplit/>
          <w:jc w:val="center"/>
        </w:trPr>
        <w:tc>
          <w:tcPr>
            <w:tcW w:w="1584" w:type="dxa"/>
            <w:shd w:val="clear" w:color="auto" w:fill="FFFFFF"/>
            <w:vAlign w:val="center"/>
          </w:tcPr>
          <w:p w14:paraId="7EF3547A" w14:textId="77777777" w:rsidR="00B132A4" w:rsidRDefault="00000000">
            <w:pPr>
              <w:spacing w:after="0"/>
            </w:pPr>
            <w:r>
              <w:rPr>
                <w:rFonts w:eastAsia="Times New Roman" w:cs="Times New Roman"/>
                <w:sz w:val="20"/>
              </w:rPr>
              <w:t>Transformer</w:t>
            </w:r>
          </w:p>
        </w:tc>
        <w:tc>
          <w:tcPr>
            <w:tcW w:w="1080" w:type="dxa"/>
            <w:shd w:val="clear" w:color="auto" w:fill="FFFFFF"/>
            <w:vAlign w:val="center"/>
          </w:tcPr>
          <w:p w14:paraId="57FCC6FA" w14:textId="77777777" w:rsidR="00B132A4" w:rsidRDefault="00000000">
            <w:pPr>
              <w:spacing w:after="0"/>
              <w:jc w:val="center"/>
            </w:pPr>
            <w:r>
              <w:rPr>
                <w:rFonts w:eastAsia="Times New Roman" w:cs="Times New Roman"/>
                <w:sz w:val="20"/>
              </w:rPr>
              <w:t>AUPRC</w:t>
            </w:r>
          </w:p>
        </w:tc>
        <w:tc>
          <w:tcPr>
            <w:tcW w:w="3053" w:type="dxa"/>
            <w:shd w:val="clear" w:color="auto" w:fill="FFFFFF"/>
            <w:vAlign w:val="center"/>
          </w:tcPr>
          <w:p w14:paraId="176A4C00" w14:textId="77777777" w:rsidR="00B132A4" w:rsidRDefault="00000000">
            <w:pPr>
              <w:spacing w:after="0"/>
              <w:jc w:val="center"/>
            </w:pPr>
            <w:r>
              <w:rPr>
                <w:rFonts w:eastAsia="Times New Roman" w:cs="Times New Roman"/>
                <w:sz w:val="20"/>
              </w:rPr>
              <w:t>0.354 (0.309–0.402)</w:t>
            </w:r>
          </w:p>
        </w:tc>
        <w:tc>
          <w:tcPr>
            <w:tcW w:w="3053" w:type="dxa"/>
            <w:shd w:val="clear" w:color="auto" w:fill="FFFFFF"/>
            <w:vAlign w:val="center"/>
          </w:tcPr>
          <w:p w14:paraId="63F2540B" w14:textId="77777777" w:rsidR="00B132A4" w:rsidRDefault="00000000">
            <w:pPr>
              <w:spacing w:after="0"/>
              <w:jc w:val="center"/>
            </w:pPr>
            <w:r>
              <w:rPr>
                <w:rFonts w:eastAsia="Times New Roman" w:cs="Times New Roman"/>
                <w:sz w:val="20"/>
              </w:rPr>
              <w:t>0.406 (0.363–0.451)</w:t>
            </w:r>
          </w:p>
        </w:tc>
        <w:tc>
          <w:tcPr>
            <w:tcW w:w="3053" w:type="dxa"/>
            <w:shd w:val="clear" w:color="auto" w:fill="FFFFFF"/>
            <w:vAlign w:val="center"/>
          </w:tcPr>
          <w:p w14:paraId="628F251A" w14:textId="77777777" w:rsidR="00B132A4" w:rsidRDefault="00000000">
            <w:pPr>
              <w:spacing w:after="0"/>
              <w:jc w:val="center"/>
            </w:pPr>
            <w:r>
              <w:rPr>
                <w:rFonts w:eastAsia="Times New Roman" w:cs="Times New Roman"/>
                <w:sz w:val="20"/>
              </w:rPr>
              <w:t>0.420 (0.378–0.462)</w:t>
            </w:r>
          </w:p>
        </w:tc>
        <w:tc>
          <w:tcPr>
            <w:tcW w:w="2995" w:type="dxa"/>
            <w:shd w:val="clear" w:color="auto" w:fill="FFFFFF"/>
            <w:vAlign w:val="center"/>
          </w:tcPr>
          <w:p w14:paraId="288F40FF" w14:textId="77777777" w:rsidR="00B132A4" w:rsidRDefault="00000000">
            <w:pPr>
              <w:spacing w:after="0"/>
              <w:jc w:val="center"/>
            </w:pPr>
            <w:r>
              <w:rPr>
                <w:rFonts w:eastAsia="Times New Roman" w:cs="Times New Roman"/>
                <w:sz w:val="20"/>
              </w:rPr>
              <w:t>0.528 (0.504–0.552)</w:t>
            </w:r>
          </w:p>
        </w:tc>
      </w:tr>
      <w:tr w:rsidR="00B132A4" w14:paraId="1A22E754" w14:textId="77777777">
        <w:trPr>
          <w:cantSplit/>
          <w:jc w:val="center"/>
        </w:trPr>
        <w:tc>
          <w:tcPr>
            <w:tcW w:w="1584" w:type="dxa"/>
            <w:shd w:val="clear" w:color="auto" w:fill="FFFFFF"/>
            <w:vAlign w:val="center"/>
          </w:tcPr>
          <w:p w14:paraId="67B498CE" w14:textId="77777777" w:rsidR="00B132A4" w:rsidRDefault="00000000">
            <w:pPr>
              <w:spacing w:after="0"/>
            </w:pPr>
            <w:r>
              <w:rPr>
                <w:rFonts w:eastAsia="Times New Roman" w:cs="Times New Roman"/>
                <w:sz w:val="20"/>
              </w:rPr>
              <w:t>TBAL</w:t>
            </w:r>
          </w:p>
        </w:tc>
        <w:tc>
          <w:tcPr>
            <w:tcW w:w="1080" w:type="dxa"/>
            <w:shd w:val="clear" w:color="auto" w:fill="FFFFFF"/>
            <w:vAlign w:val="center"/>
          </w:tcPr>
          <w:p w14:paraId="1657123F" w14:textId="77777777" w:rsidR="00B132A4" w:rsidRDefault="00000000">
            <w:pPr>
              <w:spacing w:after="0"/>
              <w:jc w:val="center"/>
            </w:pPr>
            <w:r>
              <w:rPr>
                <w:rFonts w:eastAsia="Times New Roman" w:cs="Times New Roman"/>
                <w:sz w:val="20"/>
              </w:rPr>
              <w:t>AUROC</w:t>
            </w:r>
          </w:p>
        </w:tc>
        <w:tc>
          <w:tcPr>
            <w:tcW w:w="3053" w:type="dxa"/>
            <w:shd w:val="clear" w:color="auto" w:fill="FFFFFF"/>
            <w:vAlign w:val="center"/>
          </w:tcPr>
          <w:p w14:paraId="2563B495" w14:textId="77777777" w:rsidR="00B132A4" w:rsidRDefault="00000000">
            <w:pPr>
              <w:spacing w:after="0"/>
              <w:jc w:val="center"/>
            </w:pPr>
            <w:r>
              <w:rPr>
                <w:rFonts w:eastAsia="Times New Roman" w:cs="Times New Roman"/>
                <w:sz w:val="20"/>
              </w:rPr>
              <w:t>0.956 (0.933–0.972)</w:t>
            </w:r>
          </w:p>
        </w:tc>
        <w:tc>
          <w:tcPr>
            <w:tcW w:w="3053" w:type="dxa"/>
            <w:shd w:val="clear" w:color="auto" w:fill="FFFFFF"/>
            <w:vAlign w:val="center"/>
          </w:tcPr>
          <w:p w14:paraId="7D138CB8" w14:textId="77777777" w:rsidR="00B132A4" w:rsidRDefault="00000000">
            <w:pPr>
              <w:spacing w:after="0"/>
              <w:jc w:val="center"/>
            </w:pPr>
            <w:r>
              <w:rPr>
                <w:rFonts w:eastAsia="Times New Roman" w:cs="Times New Roman"/>
                <w:sz w:val="20"/>
              </w:rPr>
              <w:t>0.926 (0.910–0.944)</w:t>
            </w:r>
          </w:p>
        </w:tc>
        <w:tc>
          <w:tcPr>
            <w:tcW w:w="3053" w:type="dxa"/>
            <w:shd w:val="clear" w:color="auto" w:fill="FFFFFF"/>
            <w:vAlign w:val="center"/>
          </w:tcPr>
          <w:p w14:paraId="720A71D1" w14:textId="77777777" w:rsidR="00B132A4" w:rsidRDefault="00000000">
            <w:pPr>
              <w:spacing w:after="0"/>
              <w:jc w:val="center"/>
            </w:pPr>
            <w:r>
              <w:rPr>
                <w:rFonts w:eastAsia="Times New Roman" w:cs="Times New Roman"/>
                <w:sz w:val="20"/>
              </w:rPr>
              <w:t>0.898 (0.877–0.917)</w:t>
            </w:r>
          </w:p>
        </w:tc>
        <w:tc>
          <w:tcPr>
            <w:tcW w:w="2995" w:type="dxa"/>
            <w:shd w:val="clear" w:color="auto" w:fill="FFFFFF"/>
            <w:vAlign w:val="center"/>
          </w:tcPr>
          <w:p w14:paraId="15BD4C40" w14:textId="77777777" w:rsidR="00B132A4" w:rsidRDefault="00000000">
            <w:pPr>
              <w:spacing w:after="0"/>
              <w:jc w:val="center"/>
            </w:pPr>
            <w:r>
              <w:rPr>
                <w:rFonts w:eastAsia="Times New Roman" w:cs="Times New Roman"/>
                <w:sz w:val="20"/>
              </w:rPr>
              <w:t>0.886 (0.874–0.898)</w:t>
            </w:r>
          </w:p>
        </w:tc>
      </w:tr>
      <w:tr w:rsidR="00B132A4" w14:paraId="437DE80D" w14:textId="77777777">
        <w:trPr>
          <w:cantSplit/>
          <w:jc w:val="center"/>
        </w:trPr>
        <w:tc>
          <w:tcPr>
            <w:tcW w:w="1584" w:type="dxa"/>
            <w:shd w:val="clear" w:color="auto" w:fill="FFFFFF"/>
            <w:vAlign w:val="center"/>
          </w:tcPr>
          <w:p w14:paraId="48113E35" w14:textId="77777777" w:rsidR="00B132A4" w:rsidRDefault="00000000">
            <w:pPr>
              <w:spacing w:after="0"/>
            </w:pPr>
            <w:r>
              <w:rPr>
                <w:rFonts w:eastAsia="Times New Roman" w:cs="Times New Roman"/>
                <w:sz w:val="20"/>
              </w:rPr>
              <w:t>TBAL</w:t>
            </w:r>
          </w:p>
        </w:tc>
        <w:tc>
          <w:tcPr>
            <w:tcW w:w="1080" w:type="dxa"/>
            <w:shd w:val="clear" w:color="auto" w:fill="FFFFFF"/>
            <w:vAlign w:val="center"/>
          </w:tcPr>
          <w:p w14:paraId="588C5609" w14:textId="77777777" w:rsidR="00B132A4" w:rsidRDefault="00000000">
            <w:pPr>
              <w:spacing w:after="0"/>
              <w:jc w:val="center"/>
            </w:pPr>
            <w:r>
              <w:rPr>
                <w:rFonts w:eastAsia="Times New Roman" w:cs="Times New Roman"/>
                <w:sz w:val="20"/>
              </w:rPr>
              <w:t>AUPRC</w:t>
            </w:r>
          </w:p>
        </w:tc>
        <w:tc>
          <w:tcPr>
            <w:tcW w:w="3053" w:type="dxa"/>
            <w:shd w:val="clear" w:color="auto" w:fill="FFFFFF"/>
            <w:vAlign w:val="center"/>
          </w:tcPr>
          <w:p w14:paraId="1ACD8EDC" w14:textId="77777777" w:rsidR="00B132A4" w:rsidRDefault="00000000">
            <w:pPr>
              <w:spacing w:after="0"/>
              <w:jc w:val="center"/>
            </w:pPr>
            <w:r>
              <w:rPr>
                <w:rFonts w:eastAsia="Times New Roman" w:cs="Times New Roman"/>
                <w:sz w:val="20"/>
              </w:rPr>
              <w:t>0.478 (0.425–0.576)</w:t>
            </w:r>
          </w:p>
        </w:tc>
        <w:tc>
          <w:tcPr>
            <w:tcW w:w="3053" w:type="dxa"/>
            <w:shd w:val="clear" w:color="auto" w:fill="FFFFFF"/>
            <w:vAlign w:val="center"/>
          </w:tcPr>
          <w:p w14:paraId="5AEE3D80" w14:textId="77777777" w:rsidR="00B132A4" w:rsidRDefault="00000000">
            <w:pPr>
              <w:spacing w:after="0"/>
              <w:jc w:val="center"/>
            </w:pPr>
            <w:r>
              <w:rPr>
                <w:rFonts w:eastAsia="Times New Roman" w:cs="Times New Roman"/>
                <w:sz w:val="20"/>
              </w:rPr>
              <w:t>0.447 (0.391–0.491)</w:t>
            </w:r>
          </w:p>
        </w:tc>
        <w:tc>
          <w:tcPr>
            <w:tcW w:w="3053" w:type="dxa"/>
            <w:shd w:val="clear" w:color="auto" w:fill="FFFFFF"/>
            <w:vAlign w:val="center"/>
          </w:tcPr>
          <w:p w14:paraId="00BA3E75" w14:textId="77777777" w:rsidR="00B132A4" w:rsidRDefault="00000000">
            <w:pPr>
              <w:spacing w:after="0"/>
              <w:jc w:val="center"/>
            </w:pPr>
            <w:r>
              <w:rPr>
                <w:rFonts w:eastAsia="Times New Roman" w:cs="Times New Roman"/>
                <w:sz w:val="20"/>
              </w:rPr>
              <w:t>0.433 (0.385–0.480)</w:t>
            </w:r>
          </w:p>
        </w:tc>
        <w:tc>
          <w:tcPr>
            <w:tcW w:w="2995" w:type="dxa"/>
            <w:shd w:val="clear" w:color="auto" w:fill="FFFFFF"/>
            <w:vAlign w:val="center"/>
          </w:tcPr>
          <w:p w14:paraId="03FAB1A6" w14:textId="77777777" w:rsidR="00B132A4" w:rsidRDefault="00000000">
            <w:pPr>
              <w:spacing w:after="0"/>
              <w:jc w:val="center"/>
            </w:pPr>
            <w:r>
              <w:rPr>
                <w:rFonts w:eastAsia="Times New Roman" w:cs="Times New Roman"/>
                <w:sz w:val="20"/>
              </w:rPr>
              <w:t>0.551 (0.528–0.574)</w:t>
            </w:r>
          </w:p>
        </w:tc>
      </w:tr>
      <w:tr w:rsidR="00B132A4" w14:paraId="0D28ACD1" w14:textId="77777777">
        <w:trPr>
          <w:cantSplit/>
          <w:jc w:val="center"/>
        </w:trPr>
        <w:tc>
          <w:tcPr>
            <w:tcW w:w="1584" w:type="dxa"/>
            <w:shd w:val="clear" w:color="auto" w:fill="FFFFFF"/>
            <w:vAlign w:val="center"/>
          </w:tcPr>
          <w:p w14:paraId="503C0949" w14:textId="77777777" w:rsidR="00B132A4" w:rsidRDefault="00000000">
            <w:pPr>
              <w:spacing w:after="0"/>
            </w:pPr>
            <w:r>
              <w:rPr>
                <w:rFonts w:eastAsia="Times New Roman" w:cs="Times New Roman"/>
                <w:sz w:val="20"/>
              </w:rPr>
              <w:t>PatchFusion</w:t>
            </w:r>
          </w:p>
        </w:tc>
        <w:tc>
          <w:tcPr>
            <w:tcW w:w="1080" w:type="dxa"/>
            <w:shd w:val="clear" w:color="auto" w:fill="FFFFFF"/>
            <w:vAlign w:val="center"/>
          </w:tcPr>
          <w:p w14:paraId="2A3D0D7D" w14:textId="77777777" w:rsidR="00B132A4" w:rsidRDefault="00000000">
            <w:pPr>
              <w:spacing w:after="0"/>
              <w:jc w:val="center"/>
            </w:pPr>
            <w:r>
              <w:rPr>
                <w:rFonts w:eastAsia="Times New Roman" w:cs="Times New Roman"/>
                <w:sz w:val="20"/>
              </w:rPr>
              <w:t>AUROC</w:t>
            </w:r>
          </w:p>
        </w:tc>
        <w:tc>
          <w:tcPr>
            <w:tcW w:w="3053" w:type="dxa"/>
            <w:shd w:val="clear" w:color="auto" w:fill="FFFFFF"/>
            <w:vAlign w:val="center"/>
          </w:tcPr>
          <w:p w14:paraId="033B3155" w14:textId="77777777" w:rsidR="00B132A4" w:rsidRDefault="00000000">
            <w:pPr>
              <w:spacing w:after="0"/>
              <w:jc w:val="center"/>
            </w:pPr>
            <w:r>
              <w:rPr>
                <w:rFonts w:eastAsia="Times New Roman" w:cs="Times New Roman"/>
                <w:sz w:val="20"/>
              </w:rPr>
              <w:t>0.978 (0.965–0.989)</w:t>
            </w:r>
          </w:p>
        </w:tc>
        <w:tc>
          <w:tcPr>
            <w:tcW w:w="3053" w:type="dxa"/>
            <w:shd w:val="clear" w:color="auto" w:fill="FFFFFF"/>
            <w:vAlign w:val="center"/>
          </w:tcPr>
          <w:p w14:paraId="10E030D8" w14:textId="77777777" w:rsidR="00B132A4" w:rsidRDefault="00000000">
            <w:pPr>
              <w:spacing w:after="0"/>
              <w:jc w:val="center"/>
            </w:pPr>
            <w:r>
              <w:rPr>
                <w:rFonts w:eastAsia="Times New Roman" w:cs="Times New Roman"/>
                <w:sz w:val="20"/>
              </w:rPr>
              <w:t>0.954 (0.936–0.967)</w:t>
            </w:r>
          </w:p>
        </w:tc>
        <w:tc>
          <w:tcPr>
            <w:tcW w:w="3053" w:type="dxa"/>
            <w:shd w:val="clear" w:color="auto" w:fill="FFFFFF"/>
            <w:vAlign w:val="center"/>
          </w:tcPr>
          <w:p w14:paraId="03BE9356" w14:textId="77777777" w:rsidR="00B132A4" w:rsidRDefault="00000000">
            <w:pPr>
              <w:spacing w:after="0"/>
              <w:jc w:val="center"/>
            </w:pPr>
            <w:r>
              <w:rPr>
                <w:rFonts w:eastAsia="Times New Roman" w:cs="Times New Roman"/>
                <w:sz w:val="20"/>
              </w:rPr>
              <w:t>0.943 (0.919–0.951)</w:t>
            </w:r>
          </w:p>
        </w:tc>
        <w:tc>
          <w:tcPr>
            <w:tcW w:w="2995" w:type="dxa"/>
            <w:shd w:val="clear" w:color="auto" w:fill="FFFFFF"/>
            <w:vAlign w:val="center"/>
          </w:tcPr>
          <w:p w14:paraId="4126EB96" w14:textId="77777777" w:rsidR="00B132A4" w:rsidRDefault="00000000">
            <w:pPr>
              <w:spacing w:after="0"/>
              <w:jc w:val="center"/>
            </w:pPr>
            <w:r>
              <w:rPr>
                <w:rFonts w:eastAsia="Times New Roman" w:cs="Times New Roman"/>
                <w:sz w:val="20"/>
              </w:rPr>
              <w:t>0.908 (0.898–0.918)</w:t>
            </w:r>
          </w:p>
        </w:tc>
      </w:tr>
      <w:tr w:rsidR="00B132A4" w14:paraId="42CA5A12" w14:textId="77777777">
        <w:trPr>
          <w:cantSplit/>
          <w:jc w:val="center"/>
        </w:trPr>
        <w:tc>
          <w:tcPr>
            <w:tcW w:w="1584" w:type="dxa"/>
            <w:shd w:val="clear" w:color="auto" w:fill="FFFFFF"/>
            <w:vAlign w:val="center"/>
          </w:tcPr>
          <w:p w14:paraId="6C7A80CD" w14:textId="77777777" w:rsidR="00B132A4" w:rsidRDefault="00000000">
            <w:pPr>
              <w:spacing w:after="0"/>
            </w:pPr>
            <w:r>
              <w:rPr>
                <w:rFonts w:eastAsia="Times New Roman" w:cs="Times New Roman"/>
                <w:sz w:val="20"/>
              </w:rPr>
              <w:t>PatchFusion</w:t>
            </w:r>
          </w:p>
        </w:tc>
        <w:tc>
          <w:tcPr>
            <w:tcW w:w="1080" w:type="dxa"/>
            <w:shd w:val="clear" w:color="auto" w:fill="FFFFFF"/>
            <w:vAlign w:val="center"/>
          </w:tcPr>
          <w:p w14:paraId="32AC1F20" w14:textId="77777777" w:rsidR="00B132A4" w:rsidRDefault="00000000">
            <w:pPr>
              <w:spacing w:after="0"/>
              <w:jc w:val="center"/>
            </w:pPr>
            <w:r>
              <w:rPr>
                <w:rFonts w:eastAsia="Times New Roman" w:cs="Times New Roman"/>
                <w:sz w:val="20"/>
              </w:rPr>
              <w:t>AUPRC</w:t>
            </w:r>
          </w:p>
        </w:tc>
        <w:tc>
          <w:tcPr>
            <w:tcW w:w="3053" w:type="dxa"/>
            <w:shd w:val="clear" w:color="auto" w:fill="FFFFFF"/>
            <w:vAlign w:val="center"/>
          </w:tcPr>
          <w:p w14:paraId="1032E29F" w14:textId="77777777" w:rsidR="00B132A4" w:rsidRDefault="00000000">
            <w:pPr>
              <w:spacing w:after="0"/>
              <w:jc w:val="center"/>
            </w:pPr>
            <w:r>
              <w:rPr>
                <w:rFonts w:eastAsia="Times New Roman" w:cs="Times New Roman"/>
                <w:sz w:val="20"/>
              </w:rPr>
              <w:t>0.578 (0.524–0.630)</w:t>
            </w:r>
          </w:p>
        </w:tc>
        <w:tc>
          <w:tcPr>
            <w:tcW w:w="3053" w:type="dxa"/>
            <w:shd w:val="clear" w:color="auto" w:fill="FFFFFF"/>
            <w:vAlign w:val="center"/>
          </w:tcPr>
          <w:p w14:paraId="0B2CB8FE" w14:textId="77777777" w:rsidR="00B132A4" w:rsidRDefault="00000000">
            <w:pPr>
              <w:spacing w:after="0"/>
              <w:jc w:val="center"/>
            </w:pPr>
            <w:r>
              <w:rPr>
                <w:rFonts w:eastAsia="Times New Roman" w:cs="Times New Roman"/>
                <w:sz w:val="20"/>
              </w:rPr>
              <w:t>0.552 (0.503–0.598)</w:t>
            </w:r>
          </w:p>
        </w:tc>
        <w:tc>
          <w:tcPr>
            <w:tcW w:w="3053" w:type="dxa"/>
            <w:shd w:val="clear" w:color="auto" w:fill="FFFFFF"/>
            <w:vAlign w:val="center"/>
          </w:tcPr>
          <w:p w14:paraId="4DC1A9D6" w14:textId="77777777" w:rsidR="00B132A4" w:rsidRDefault="00000000">
            <w:pPr>
              <w:spacing w:after="0"/>
              <w:jc w:val="center"/>
            </w:pPr>
            <w:r>
              <w:rPr>
                <w:rFonts w:eastAsia="Times New Roman" w:cs="Times New Roman"/>
                <w:sz w:val="20"/>
              </w:rPr>
              <w:t>0.542 (0.491–0.589)</w:t>
            </w:r>
          </w:p>
        </w:tc>
        <w:tc>
          <w:tcPr>
            <w:tcW w:w="2995" w:type="dxa"/>
            <w:shd w:val="clear" w:color="auto" w:fill="FFFFFF"/>
            <w:vAlign w:val="center"/>
          </w:tcPr>
          <w:p w14:paraId="199D4E1C" w14:textId="77777777" w:rsidR="00B132A4" w:rsidRDefault="00000000">
            <w:pPr>
              <w:spacing w:after="0"/>
              <w:jc w:val="center"/>
            </w:pPr>
            <w:r>
              <w:rPr>
                <w:rFonts w:eastAsia="Times New Roman" w:cs="Times New Roman"/>
                <w:sz w:val="20"/>
              </w:rPr>
              <w:t>0.598 (0.575–0.621)</w:t>
            </w:r>
          </w:p>
        </w:tc>
      </w:tr>
    </w:tbl>
    <w:p w14:paraId="67EE2C78" w14:textId="77777777" w:rsidR="00B132A4" w:rsidRDefault="00000000">
      <w:r>
        <w:rPr>
          <w:rFonts w:eastAsia="Times New Roman" w:cs="Times New Roman"/>
          <w:sz w:val="20"/>
        </w:rPr>
        <w:t>Values are pooled out-of-fold MIMIC-IV estimates (95% CI). Horizons begin after the hour-12 landmark. AUROC, area under the receiver operating characteristic curve; AUPRC, area under the precision-recall curve. Shared-configuration selection means these are selected development estimates.</w:t>
      </w:r>
    </w:p>
    <w:p w14:paraId="372CDFD2" w14:textId="77777777" w:rsidR="00B132A4" w:rsidRDefault="00B132A4">
      <w:pPr>
        <w:sectPr w:rsidR="00B132A4">
          <w:pgSz w:w="16838" w:h="11906" w:orient="landscape"/>
          <w:pgMar w:top="936" w:right="936" w:bottom="936" w:left="936" w:header="360" w:footer="360" w:gutter="0"/>
          <w:cols w:space="720"/>
          <w:docGrid w:linePitch="360"/>
        </w:sectPr>
      </w:pPr>
    </w:p>
    <w:p w14:paraId="4F93482A" w14:textId="77777777" w:rsidR="00B132A4" w:rsidRDefault="00000000">
      <w:r>
        <w:rPr>
          <w:rFonts w:eastAsia="Times New Roman" w:cs="Times New Roman"/>
        </w:rPr>
        <w:lastRenderedPageBreak/>
        <w:t>In pooled out-of-fold MIMIC-IV evaluation, PatchFusion had the highest AUROC and AUPRC among LSTM, Transformer, and TBAL across reported horizons (Table 2). Primary AUROC/AUPRC were 0.978 (95% CI 0.965–0.989)/0.578 (0.524–0.630). Pairwise AUPRC gains ranged from 0.047 to 0.244 across horizons, with reported intervals excluding zero (Table S5).</w:t>
      </w:r>
    </w:p>
    <w:p w14:paraId="60445B08" w14:textId="77777777" w:rsidR="00B132A4" w:rsidRDefault="00000000">
      <w:r>
        <w:rPr>
          <w:rFonts w:eastAsia="Times New Roman" w:cs="Times New Roman"/>
        </w:rPr>
        <w:t>Primary-horizon AUPRC also exceeded PatchTST, Raindrop, GRU-D, and LightGBM (Table S22).</w:t>
      </w:r>
    </w:p>
    <w:p w14:paraId="396531B3" w14:textId="77777777" w:rsidR="00B132A4" w:rsidRDefault="00000000">
      <w:r>
        <w:rPr>
          <w:rFonts w:eastAsia="Times New Roman" w:cs="Times New Roman"/>
        </w:rPr>
        <w:t>Exploratory lead-time analysis estimated a median 6.3 hours (IQR 3.4–9.1) from the hour-12 score to death among 615 primary events; 71 (11.5%) occurred within 2 hours. After excluding those 71 early post-landmark deaths, PatchFusion AUROC/AUPRC were 0.974/0.552 (95% CIs 0.960–0.986/0.495–0.607).</w:t>
      </w:r>
    </w:p>
    <w:p w14:paraId="7A307A2A" w14:textId="77777777" w:rsidR="00B132A4" w:rsidRDefault="00000000">
      <w:pPr>
        <w:pStyle w:val="21"/>
        <w:keepLines w:val="0"/>
      </w:pPr>
      <w:r>
        <w:rPr>
          <w:rFonts w:ascii="Times New Roman" w:eastAsia="Times New Roman" w:hAnsi="Times New Roman" w:cs="Times New Roman"/>
        </w:rPr>
        <w:t>Benchmark and pathway comparisons</w:t>
      </w:r>
    </w:p>
    <w:p w14:paraId="30CB8ACE" w14:textId="77777777" w:rsidR="00B132A4" w:rsidRDefault="00000000">
      <w:r>
        <w:rPr>
          <w:rFonts w:eastAsia="Times New Roman" w:cs="Times New Roman"/>
        </w:rPr>
        <w:t>Table 3 and Figure 3 show primary-endpoint comparisons. MIMIC-IV AUPRC was 0.578 versus 0.486 for adapted Hi-Patch, 0.489 for adapted LGTRL-DE, and 0.461 for PatchTST. Prespecified and token-matched reversals reached 0.518 and 0.525. Frozen eICU-CRD evaluation retained the ranking preference: PatchFusion reached 0.354, with gains of 0.058, 0.053, and 0.056 over the three benchmarks and 0.044 and 0.031 over the reversals. Reported paired intervals excluded zero (all nominal P&lt;.001). Five-seed benchmark comparisons retained the external direction in 5/5 seeds for each model (Table S23).</w:t>
      </w:r>
    </w:p>
    <w:p w14:paraId="0B98C9BF" w14:textId="77777777" w:rsidR="00B132A4" w:rsidRDefault="00B132A4">
      <w:pPr>
        <w:sectPr w:rsidR="00B132A4">
          <w:pgSz w:w="11906" w:h="16838"/>
          <w:pgMar w:top="1224" w:right="1440" w:bottom="1224" w:left="1440" w:header="360" w:footer="360" w:gutter="0"/>
          <w:cols w:space="720"/>
          <w:docGrid w:linePitch="360"/>
        </w:sectPr>
      </w:pPr>
    </w:p>
    <w:p w14:paraId="7F804DBE" w14:textId="77777777" w:rsidR="00B132A4" w:rsidRDefault="00000000">
      <w:pPr>
        <w:pStyle w:val="af0"/>
        <w:keepNext/>
      </w:pPr>
      <w:r>
        <w:rPr>
          <w:rFonts w:eastAsia="Times New Roman" w:cs="Times New Roman"/>
        </w:rPr>
        <w:lastRenderedPageBreak/>
        <w:t>Table 3. Matched representation-pathway controls and comparator performance for primary (12,24]-hour mortality in development and frozen external evaluation.</w:t>
      </w:r>
    </w:p>
    <w:tbl>
      <w:tblPr>
        <w:tblW w:w="140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3646"/>
        <w:gridCol w:w="923"/>
        <w:gridCol w:w="3436"/>
        <w:gridCol w:w="818"/>
        <w:gridCol w:w="923"/>
        <w:gridCol w:w="3436"/>
        <w:gridCol w:w="818"/>
      </w:tblGrid>
      <w:tr w:rsidR="00B132A4" w14:paraId="6D0DAC11" w14:textId="77777777">
        <w:trPr>
          <w:cantSplit/>
          <w:tblHeader/>
          <w:jc w:val="center"/>
        </w:trPr>
        <w:tc>
          <w:tcPr>
            <w:tcW w:w="3528" w:type="dxa"/>
            <w:vMerge w:val="restart"/>
            <w:shd w:val="clear" w:color="auto" w:fill="E7E7E7"/>
            <w:vAlign w:val="center"/>
          </w:tcPr>
          <w:p w14:paraId="78337C6A" w14:textId="77777777" w:rsidR="00B132A4" w:rsidRDefault="00000000">
            <w:pPr>
              <w:spacing w:after="0"/>
            </w:pPr>
            <w:r>
              <w:rPr>
                <w:rFonts w:eastAsia="Times New Roman" w:cs="Times New Roman"/>
                <w:b/>
                <w:sz w:val="20"/>
              </w:rPr>
              <w:t>Model / control</w:t>
            </w:r>
          </w:p>
        </w:tc>
        <w:tc>
          <w:tcPr>
            <w:tcW w:w="893" w:type="dxa"/>
            <w:gridSpan w:val="3"/>
            <w:shd w:val="clear" w:color="auto" w:fill="E7E7E7"/>
            <w:vAlign w:val="center"/>
          </w:tcPr>
          <w:p w14:paraId="6A38DB3A" w14:textId="77777777" w:rsidR="00B132A4" w:rsidRDefault="00000000">
            <w:pPr>
              <w:spacing w:after="0"/>
              <w:jc w:val="center"/>
            </w:pPr>
            <w:r>
              <w:rPr>
                <w:rFonts w:eastAsia="Times New Roman" w:cs="Times New Roman"/>
                <w:b/>
                <w:sz w:val="20"/>
              </w:rPr>
              <w:t>MIMIC-IV development</w:t>
            </w:r>
          </w:p>
        </w:tc>
        <w:tc>
          <w:tcPr>
            <w:tcW w:w="893" w:type="dxa"/>
            <w:gridSpan w:val="3"/>
            <w:shd w:val="clear" w:color="auto" w:fill="E7E7E7"/>
            <w:vAlign w:val="center"/>
          </w:tcPr>
          <w:p w14:paraId="223F2F7E" w14:textId="77777777" w:rsidR="00B132A4" w:rsidRDefault="00000000">
            <w:pPr>
              <w:spacing w:after="0"/>
              <w:jc w:val="center"/>
            </w:pPr>
            <w:r>
              <w:rPr>
                <w:rFonts w:eastAsia="Times New Roman" w:cs="Times New Roman"/>
                <w:b/>
                <w:sz w:val="20"/>
              </w:rPr>
              <w:t>Frozen eICU-CRD</w:t>
            </w:r>
          </w:p>
        </w:tc>
      </w:tr>
      <w:tr w:rsidR="00B132A4" w14:paraId="20BA6CB9" w14:textId="77777777">
        <w:trPr>
          <w:cantSplit/>
          <w:tblHeader/>
          <w:jc w:val="center"/>
        </w:trPr>
        <w:tc>
          <w:tcPr>
            <w:tcW w:w="1234" w:type="dxa"/>
            <w:vMerge/>
          </w:tcPr>
          <w:p w14:paraId="408F0A54" w14:textId="77777777" w:rsidR="00B132A4" w:rsidRDefault="00B132A4"/>
        </w:tc>
        <w:tc>
          <w:tcPr>
            <w:tcW w:w="893" w:type="dxa"/>
            <w:shd w:val="clear" w:color="auto" w:fill="E7E7E7"/>
            <w:vAlign w:val="center"/>
          </w:tcPr>
          <w:p w14:paraId="4A8BFF9F" w14:textId="77777777" w:rsidR="00B132A4" w:rsidRDefault="00000000">
            <w:pPr>
              <w:spacing w:after="0"/>
              <w:jc w:val="center"/>
            </w:pPr>
            <w:r>
              <w:rPr>
                <w:rFonts w:eastAsia="Times New Roman" w:cs="Times New Roman"/>
                <w:b/>
                <w:sz w:val="20"/>
              </w:rPr>
              <w:t>AUPRC</w:t>
            </w:r>
          </w:p>
        </w:tc>
        <w:tc>
          <w:tcPr>
            <w:tcW w:w="3326" w:type="dxa"/>
            <w:shd w:val="clear" w:color="auto" w:fill="E7E7E7"/>
            <w:vAlign w:val="center"/>
          </w:tcPr>
          <w:p w14:paraId="77DA5F0F" w14:textId="77777777" w:rsidR="00B132A4" w:rsidRDefault="00000000">
            <w:pPr>
              <w:spacing w:after="0"/>
              <w:jc w:val="center"/>
            </w:pPr>
            <w:r>
              <w:rPr>
                <w:rFonts w:eastAsia="Times New Roman" w:cs="Times New Roman"/>
                <w:b/>
                <w:sz w:val="20"/>
              </w:rPr>
              <w:t>ΔAUPRC vs PatchFusion (95% CI)</w:t>
            </w:r>
          </w:p>
        </w:tc>
        <w:tc>
          <w:tcPr>
            <w:tcW w:w="792" w:type="dxa"/>
            <w:shd w:val="clear" w:color="auto" w:fill="E7E7E7"/>
            <w:vAlign w:val="center"/>
          </w:tcPr>
          <w:p w14:paraId="0F7DBCA9" w14:textId="77777777" w:rsidR="00B132A4" w:rsidRDefault="00000000">
            <w:pPr>
              <w:spacing w:after="0"/>
              <w:jc w:val="center"/>
            </w:pPr>
            <w:r>
              <w:rPr>
                <w:rFonts w:eastAsia="Times New Roman" w:cs="Times New Roman"/>
                <w:b/>
                <w:sz w:val="20"/>
              </w:rPr>
              <w:t>P</w:t>
            </w:r>
          </w:p>
        </w:tc>
        <w:tc>
          <w:tcPr>
            <w:tcW w:w="893" w:type="dxa"/>
            <w:shd w:val="clear" w:color="auto" w:fill="E7E7E7"/>
            <w:vAlign w:val="center"/>
          </w:tcPr>
          <w:p w14:paraId="65BB5CC2" w14:textId="77777777" w:rsidR="00B132A4" w:rsidRDefault="00000000">
            <w:pPr>
              <w:spacing w:after="0"/>
              <w:jc w:val="center"/>
            </w:pPr>
            <w:r>
              <w:rPr>
                <w:rFonts w:eastAsia="Times New Roman" w:cs="Times New Roman"/>
                <w:b/>
                <w:sz w:val="20"/>
              </w:rPr>
              <w:t>AUPRC</w:t>
            </w:r>
          </w:p>
        </w:tc>
        <w:tc>
          <w:tcPr>
            <w:tcW w:w="3326" w:type="dxa"/>
            <w:shd w:val="clear" w:color="auto" w:fill="E7E7E7"/>
            <w:vAlign w:val="center"/>
          </w:tcPr>
          <w:p w14:paraId="5FE2759C" w14:textId="77777777" w:rsidR="00B132A4" w:rsidRDefault="00000000">
            <w:pPr>
              <w:spacing w:after="0"/>
              <w:jc w:val="center"/>
            </w:pPr>
            <w:r>
              <w:rPr>
                <w:rFonts w:eastAsia="Times New Roman" w:cs="Times New Roman"/>
                <w:b/>
                <w:sz w:val="20"/>
              </w:rPr>
              <w:t>ΔAUPRC vs PatchFusion (95% CI)</w:t>
            </w:r>
          </w:p>
        </w:tc>
        <w:tc>
          <w:tcPr>
            <w:tcW w:w="792" w:type="dxa"/>
            <w:shd w:val="clear" w:color="auto" w:fill="E7E7E7"/>
            <w:vAlign w:val="center"/>
          </w:tcPr>
          <w:p w14:paraId="0DC6DA89" w14:textId="77777777" w:rsidR="00B132A4" w:rsidRDefault="00000000">
            <w:pPr>
              <w:spacing w:after="0"/>
              <w:jc w:val="center"/>
            </w:pPr>
            <w:r>
              <w:rPr>
                <w:rFonts w:eastAsia="Times New Roman" w:cs="Times New Roman"/>
                <w:b/>
                <w:sz w:val="20"/>
              </w:rPr>
              <w:t>P</w:t>
            </w:r>
          </w:p>
        </w:tc>
      </w:tr>
      <w:tr w:rsidR="00B132A4" w14:paraId="40D35889" w14:textId="77777777">
        <w:trPr>
          <w:cantSplit/>
          <w:jc w:val="center"/>
        </w:trPr>
        <w:tc>
          <w:tcPr>
            <w:tcW w:w="3528" w:type="dxa"/>
            <w:shd w:val="clear" w:color="auto" w:fill="FFFFFF"/>
            <w:vAlign w:val="center"/>
          </w:tcPr>
          <w:p w14:paraId="2AE9BC77" w14:textId="77777777" w:rsidR="00B132A4" w:rsidRDefault="00000000">
            <w:pPr>
              <w:spacing w:after="0"/>
            </w:pPr>
            <w:r>
              <w:rPr>
                <w:rFonts w:eastAsia="Times New Roman" w:cs="Times New Roman"/>
                <w:sz w:val="20"/>
              </w:rPr>
              <w:t>PatchFusion (local → global)</w:t>
            </w:r>
          </w:p>
        </w:tc>
        <w:tc>
          <w:tcPr>
            <w:tcW w:w="893" w:type="dxa"/>
            <w:shd w:val="clear" w:color="auto" w:fill="FFFFFF"/>
            <w:vAlign w:val="center"/>
          </w:tcPr>
          <w:p w14:paraId="63EFF11A" w14:textId="77777777" w:rsidR="00B132A4" w:rsidRDefault="00000000">
            <w:pPr>
              <w:spacing w:after="0"/>
              <w:jc w:val="center"/>
            </w:pPr>
            <w:r>
              <w:rPr>
                <w:rFonts w:eastAsia="Times New Roman" w:cs="Times New Roman"/>
                <w:sz w:val="20"/>
              </w:rPr>
              <w:t>0.578</w:t>
            </w:r>
          </w:p>
        </w:tc>
        <w:tc>
          <w:tcPr>
            <w:tcW w:w="3326" w:type="dxa"/>
            <w:shd w:val="clear" w:color="auto" w:fill="FFFFFF"/>
            <w:vAlign w:val="center"/>
          </w:tcPr>
          <w:p w14:paraId="0701646A" w14:textId="77777777" w:rsidR="00B132A4" w:rsidRDefault="00000000">
            <w:pPr>
              <w:spacing w:after="0"/>
              <w:jc w:val="center"/>
            </w:pPr>
            <w:r>
              <w:rPr>
                <w:rFonts w:eastAsia="Times New Roman" w:cs="Times New Roman"/>
                <w:sz w:val="20"/>
              </w:rPr>
              <w:t>—</w:t>
            </w:r>
          </w:p>
        </w:tc>
        <w:tc>
          <w:tcPr>
            <w:tcW w:w="792" w:type="dxa"/>
            <w:shd w:val="clear" w:color="auto" w:fill="FFFFFF"/>
            <w:vAlign w:val="center"/>
          </w:tcPr>
          <w:p w14:paraId="5B75F48C" w14:textId="77777777" w:rsidR="00B132A4" w:rsidRDefault="00000000">
            <w:pPr>
              <w:spacing w:after="0"/>
              <w:jc w:val="center"/>
            </w:pPr>
            <w:r>
              <w:rPr>
                <w:rFonts w:eastAsia="Times New Roman" w:cs="Times New Roman"/>
                <w:sz w:val="20"/>
              </w:rPr>
              <w:t>—</w:t>
            </w:r>
          </w:p>
        </w:tc>
        <w:tc>
          <w:tcPr>
            <w:tcW w:w="893" w:type="dxa"/>
            <w:shd w:val="clear" w:color="auto" w:fill="FFFFFF"/>
            <w:vAlign w:val="center"/>
          </w:tcPr>
          <w:p w14:paraId="573387FC" w14:textId="77777777" w:rsidR="00B132A4" w:rsidRDefault="00000000">
            <w:pPr>
              <w:spacing w:after="0"/>
              <w:jc w:val="center"/>
            </w:pPr>
            <w:r>
              <w:rPr>
                <w:rFonts w:eastAsia="Times New Roman" w:cs="Times New Roman"/>
                <w:sz w:val="20"/>
              </w:rPr>
              <w:t>0.354</w:t>
            </w:r>
          </w:p>
        </w:tc>
        <w:tc>
          <w:tcPr>
            <w:tcW w:w="3326" w:type="dxa"/>
            <w:shd w:val="clear" w:color="auto" w:fill="FFFFFF"/>
            <w:vAlign w:val="center"/>
          </w:tcPr>
          <w:p w14:paraId="6EF4A250" w14:textId="77777777" w:rsidR="00B132A4" w:rsidRDefault="00000000">
            <w:pPr>
              <w:spacing w:after="0"/>
              <w:jc w:val="center"/>
            </w:pPr>
            <w:r>
              <w:rPr>
                <w:rFonts w:eastAsia="Times New Roman" w:cs="Times New Roman"/>
                <w:sz w:val="20"/>
              </w:rPr>
              <w:t>—</w:t>
            </w:r>
          </w:p>
        </w:tc>
        <w:tc>
          <w:tcPr>
            <w:tcW w:w="792" w:type="dxa"/>
            <w:shd w:val="clear" w:color="auto" w:fill="FFFFFF"/>
            <w:vAlign w:val="center"/>
          </w:tcPr>
          <w:p w14:paraId="3A03DA1D" w14:textId="77777777" w:rsidR="00B132A4" w:rsidRDefault="00000000">
            <w:pPr>
              <w:spacing w:after="0"/>
              <w:jc w:val="center"/>
            </w:pPr>
            <w:r>
              <w:rPr>
                <w:rFonts w:eastAsia="Times New Roman" w:cs="Times New Roman"/>
                <w:sz w:val="20"/>
              </w:rPr>
              <w:t>—</w:t>
            </w:r>
          </w:p>
        </w:tc>
      </w:tr>
      <w:tr w:rsidR="00B132A4" w14:paraId="0453FFD8" w14:textId="77777777">
        <w:trPr>
          <w:cantSplit/>
          <w:jc w:val="center"/>
        </w:trPr>
        <w:tc>
          <w:tcPr>
            <w:tcW w:w="3528" w:type="dxa"/>
            <w:shd w:val="clear" w:color="auto" w:fill="FFFFFF"/>
            <w:vAlign w:val="center"/>
          </w:tcPr>
          <w:p w14:paraId="06F85CFC" w14:textId="77777777" w:rsidR="00B132A4" w:rsidRDefault="00000000">
            <w:pPr>
              <w:spacing w:after="0"/>
            </w:pPr>
            <w:r>
              <w:rPr>
                <w:rFonts w:eastAsia="Times New Roman" w:cs="Times New Roman"/>
                <w:sz w:val="20"/>
              </w:rPr>
              <w:t>12-token reversal (prespecified)</w:t>
            </w:r>
          </w:p>
        </w:tc>
        <w:tc>
          <w:tcPr>
            <w:tcW w:w="893" w:type="dxa"/>
            <w:shd w:val="clear" w:color="auto" w:fill="FFFFFF"/>
            <w:vAlign w:val="center"/>
          </w:tcPr>
          <w:p w14:paraId="0113E187" w14:textId="77777777" w:rsidR="00B132A4" w:rsidRDefault="00000000">
            <w:pPr>
              <w:spacing w:after="0"/>
              <w:jc w:val="center"/>
            </w:pPr>
            <w:r>
              <w:rPr>
                <w:rFonts w:eastAsia="Times New Roman" w:cs="Times New Roman"/>
                <w:sz w:val="20"/>
              </w:rPr>
              <w:t>0.518</w:t>
            </w:r>
          </w:p>
        </w:tc>
        <w:tc>
          <w:tcPr>
            <w:tcW w:w="3326" w:type="dxa"/>
            <w:shd w:val="clear" w:color="auto" w:fill="FFFFFF"/>
            <w:vAlign w:val="center"/>
          </w:tcPr>
          <w:p w14:paraId="72BFB16F" w14:textId="77777777" w:rsidR="00B132A4" w:rsidRDefault="00000000">
            <w:pPr>
              <w:spacing w:after="0"/>
              <w:jc w:val="center"/>
            </w:pPr>
            <w:r>
              <w:rPr>
                <w:rFonts w:eastAsia="Times New Roman" w:cs="Times New Roman"/>
                <w:sz w:val="20"/>
              </w:rPr>
              <w:t>−0.060 (−0.072 to −0.039)</w:t>
            </w:r>
          </w:p>
        </w:tc>
        <w:tc>
          <w:tcPr>
            <w:tcW w:w="792" w:type="dxa"/>
            <w:shd w:val="clear" w:color="auto" w:fill="FFFFFF"/>
            <w:vAlign w:val="center"/>
          </w:tcPr>
          <w:p w14:paraId="3F06F4C6" w14:textId="77777777" w:rsidR="00B132A4" w:rsidRDefault="00000000">
            <w:pPr>
              <w:spacing w:after="0"/>
              <w:jc w:val="center"/>
            </w:pPr>
            <w:r>
              <w:rPr>
                <w:rFonts w:eastAsia="Times New Roman" w:cs="Times New Roman"/>
                <w:sz w:val="20"/>
              </w:rPr>
              <w:t>&lt;0.001</w:t>
            </w:r>
          </w:p>
        </w:tc>
        <w:tc>
          <w:tcPr>
            <w:tcW w:w="893" w:type="dxa"/>
            <w:shd w:val="clear" w:color="auto" w:fill="FFFFFF"/>
            <w:vAlign w:val="center"/>
          </w:tcPr>
          <w:p w14:paraId="08E92221" w14:textId="77777777" w:rsidR="00B132A4" w:rsidRDefault="00000000">
            <w:pPr>
              <w:spacing w:after="0"/>
              <w:jc w:val="center"/>
            </w:pPr>
            <w:r>
              <w:rPr>
                <w:rFonts w:eastAsia="Times New Roman" w:cs="Times New Roman"/>
                <w:sz w:val="20"/>
              </w:rPr>
              <w:t>0.310</w:t>
            </w:r>
          </w:p>
        </w:tc>
        <w:tc>
          <w:tcPr>
            <w:tcW w:w="3326" w:type="dxa"/>
            <w:shd w:val="clear" w:color="auto" w:fill="FFFFFF"/>
            <w:vAlign w:val="center"/>
          </w:tcPr>
          <w:p w14:paraId="72CF096D" w14:textId="77777777" w:rsidR="00B132A4" w:rsidRDefault="00000000">
            <w:pPr>
              <w:spacing w:after="0"/>
              <w:jc w:val="center"/>
            </w:pPr>
            <w:r>
              <w:rPr>
                <w:rFonts w:eastAsia="Times New Roman" w:cs="Times New Roman"/>
                <w:sz w:val="20"/>
              </w:rPr>
              <w:t>−0.044 (−0.069 to −0.041)</w:t>
            </w:r>
          </w:p>
        </w:tc>
        <w:tc>
          <w:tcPr>
            <w:tcW w:w="792" w:type="dxa"/>
            <w:shd w:val="clear" w:color="auto" w:fill="FFFFFF"/>
            <w:vAlign w:val="center"/>
          </w:tcPr>
          <w:p w14:paraId="0BA998B5" w14:textId="77777777" w:rsidR="00B132A4" w:rsidRDefault="00000000">
            <w:pPr>
              <w:spacing w:after="0"/>
              <w:jc w:val="center"/>
            </w:pPr>
            <w:r>
              <w:rPr>
                <w:rFonts w:eastAsia="Times New Roman" w:cs="Times New Roman"/>
                <w:sz w:val="20"/>
              </w:rPr>
              <w:t>&lt;0.001</w:t>
            </w:r>
          </w:p>
        </w:tc>
      </w:tr>
      <w:tr w:rsidR="00B132A4" w14:paraId="25BA2B43" w14:textId="77777777">
        <w:trPr>
          <w:cantSplit/>
          <w:jc w:val="center"/>
        </w:trPr>
        <w:tc>
          <w:tcPr>
            <w:tcW w:w="3528" w:type="dxa"/>
            <w:shd w:val="clear" w:color="auto" w:fill="FFFFFF"/>
            <w:vAlign w:val="center"/>
          </w:tcPr>
          <w:p w14:paraId="258ABBC4" w14:textId="77777777" w:rsidR="00B132A4" w:rsidRDefault="00000000">
            <w:pPr>
              <w:spacing w:after="0"/>
            </w:pPr>
            <w:r>
              <w:rPr>
                <w:rFonts w:eastAsia="Times New Roman" w:cs="Times New Roman"/>
                <w:sz w:val="20"/>
              </w:rPr>
              <w:t>Token-matched reversal (post hoc)</w:t>
            </w:r>
          </w:p>
        </w:tc>
        <w:tc>
          <w:tcPr>
            <w:tcW w:w="893" w:type="dxa"/>
            <w:shd w:val="clear" w:color="auto" w:fill="FFFFFF"/>
            <w:vAlign w:val="center"/>
          </w:tcPr>
          <w:p w14:paraId="56520DD1" w14:textId="77777777" w:rsidR="00B132A4" w:rsidRDefault="00000000">
            <w:pPr>
              <w:spacing w:after="0"/>
              <w:jc w:val="center"/>
            </w:pPr>
            <w:r>
              <w:rPr>
                <w:rFonts w:eastAsia="Times New Roman" w:cs="Times New Roman"/>
                <w:sz w:val="20"/>
              </w:rPr>
              <w:t>0.525</w:t>
            </w:r>
          </w:p>
        </w:tc>
        <w:tc>
          <w:tcPr>
            <w:tcW w:w="3326" w:type="dxa"/>
            <w:shd w:val="clear" w:color="auto" w:fill="FFFFFF"/>
            <w:vAlign w:val="center"/>
          </w:tcPr>
          <w:p w14:paraId="24E8ECEF" w14:textId="77777777" w:rsidR="00B132A4" w:rsidRDefault="00000000">
            <w:pPr>
              <w:spacing w:after="0"/>
              <w:jc w:val="center"/>
            </w:pPr>
            <w:r>
              <w:rPr>
                <w:rFonts w:eastAsia="Times New Roman" w:cs="Times New Roman"/>
                <w:sz w:val="20"/>
              </w:rPr>
              <w:t>−0.053 (−0.071 to −0.036)</w:t>
            </w:r>
          </w:p>
        </w:tc>
        <w:tc>
          <w:tcPr>
            <w:tcW w:w="792" w:type="dxa"/>
            <w:shd w:val="clear" w:color="auto" w:fill="FFFFFF"/>
            <w:vAlign w:val="center"/>
          </w:tcPr>
          <w:p w14:paraId="16D656C8" w14:textId="77777777" w:rsidR="00B132A4" w:rsidRDefault="00000000">
            <w:pPr>
              <w:spacing w:after="0"/>
              <w:jc w:val="center"/>
            </w:pPr>
            <w:r>
              <w:rPr>
                <w:rFonts w:eastAsia="Times New Roman" w:cs="Times New Roman"/>
                <w:sz w:val="20"/>
              </w:rPr>
              <w:t>&lt;0.001</w:t>
            </w:r>
          </w:p>
        </w:tc>
        <w:tc>
          <w:tcPr>
            <w:tcW w:w="893" w:type="dxa"/>
            <w:shd w:val="clear" w:color="auto" w:fill="FFFFFF"/>
            <w:vAlign w:val="center"/>
          </w:tcPr>
          <w:p w14:paraId="37CBF4D9" w14:textId="77777777" w:rsidR="00B132A4" w:rsidRDefault="00000000">
            <w:pPr>
              <w:spacing w:after="0"/>
              <w:jc w:val="center"/>
            </w:pPr>
            <w:r>
              <w:rPr>
                <w:rFonts w:eastAsia="Times New Roman" w:cs="Times New Roman"/>
                <w:sz w:val="20"/>
              </w:rPr>
              <w:t>0.323</w:t>
            </w:r>
          </w:p>
        </w:tc>
        <w:tc>
          <w:tcPr>
            <w:tcW w:w="3326" w:type="dxa"/>
            <w:shd w:val="clear" w:color="auto" w:fill="FFFFFF"/>
            <w:vAlign w:val="center"/>
          </w:tcPr>
          <w:p w14:paraId="267CF988" w14:textId="77777777" w:rsidR="00B132A4" w:rsidRDefault="00000000">
            <w:pPr>
              <w:spacing w:after="0"/>
              <w:jc w:val="center"/>
            </w:pPr>
            <w:r>
              <w:rPr>
                <w:rFonts w:eastAsia="Times New Roman" w:cs="Times New Roman"/>
                <w:sz w:val="20"/>
              </w:rPr>
              <w:t>−0.031 (−0.043 to −0.021)</w:t>
            </w:r>
          </w:p>
        </w:tc>
        <w:tc>
          <w:tcPr>
            <w:tcW w:w="792" w:type="dxa"/>
            <w:shd w:val="clear" w:color="auto" w:fill="FFFFFF"/>
            <w:vAlign w:val="center"/>
          </w:tcPr>
          <w:p w14:paraId="237DA1F0" w14:textId="77777777" w:rsidR="00B132A4" w:rsidRDefault="00000000">
            <w:pPr>
              <w:spacing w:after="0"/>
              <w:jc w:val="center"/>
            </w:pPr>
            <w:r>
              <w:rPr>
                <w:rFonts w:eastAsia="Times New Roman" w:cs="Times New Roman"/>
                <w:sz w:val="20"/>
              </w:rPr>
              <w:t>&lt;0.001</w:t>
            </w:r>
          </w:p>
        </w:tc>
      </w:tr>
      <w:tr w:rsidR="00B132A4" w14:paraId="7A2156E8" w14:textId="77777777">
        <w:trPr>
          <w:cantSplit/>
          <w:jc w:val="center"/>
        </w:trPr>
        <w:tc>
          <w:tcPr>
            <w:tcW w:w="3528" w:type="dxa"/>
            <w:shd w:val="clear" w:color="auto" w:fill="FFFFFF"/>
            <w:vAlign w:val="center"/>
          </w:tcPr>
          <w:p w14:paraId="721A7038" w14:textId="77777777" w:rsidR="00B132A4" w:rsidRDefault="00000000">
            <w:pPr>
              <w:spacing w:after="0"/>
            </w:pPr>
            <w:r>
              <w:rPr>
                <w:rFonts w:eastAsia="Times New Roman" w:cs="Times New Roman"/>
                <w:sz w:val="20"/>
              </w:rPr>
              <w:t>Hi-Patch common-input adaptation</w:t>
            </w:r>
          </w:p>
        </w:tc>
        <w:tc>
          <w:tcPr>
            <w:tcW w:w="893" w:type="dxa"/>
            <w:shd w:val="clear" w:color="auto" w:fill="FFFFFF"/>
            <w:vAlign w:val="center"/>
          </w:tcPr>
          <w:p w14:paraId="7B500E19" w14:textId="77777777" w:rsidR="00B132A4" w:rsidRDefault="00000000">
            <w:pPr>
              <w:spacing w:after="0"/>
              <w:jc w:val="center"/>
            </w:pPr>
            <w:r>
              <w:rPr>
                <w:rFonts w:eastAsia="Times New Roman" w:cs="Times New Roman"/>
                <w:sz w:val="20"/>
              </w:rPr>
              <w:t>0.486</w:t>
            </w:r>
          </w:p>
        </w:tc>
        <w:tc>
          <w:tcPr>
            <w:tcW w:w="3326" w:type="dxa"/>
            <w:shd w:val="clear" w:color="auto" w:fill="FFFFFF"/>
            <w:vAlign w:val="center"/>
          </w:tcPr>
          <w:p w14:paraId="4939DBBA" w14:textId="77777777" w:rsidR="00B132A4" w:rsidRDefault="00000000">
            <w:pPr>
              <w:spacing w:after="0"/>
              <w:jc w:val="center"/>
            </w:pPr>
            <w:r>
              <w:rPr>
                <w:rFonts w:eastAsia="Times New Roman" w:cs="Times New Roman"/>
                <w:sz w:val="20"/>
              </w:rPr>
              <w:t>−0.092 (−0.133 to −0.051)</w:t>
            </w:r>
          </w:p>
        </w:tc>
        <w:tc>
          <w:tcPr>
            <w:tcW w:w="792" w:type="dxa"/>
            <w:shd w:val="clear" w:color="auto" w:fill="FFFFFF"/>
            <w:vAlign w:val="center"/>
          </w:tcPr>
          <w:p w14:paraId="4BAF5825" w14:textId="77777777" w:rsidR="00B132A4" w:rsidRDefault="00000000">
            <w:pPr>
              <w:spacing w:after="0"/>
              <w:jc w:val="center"/>
            </w:pPr>
            <w:r>
              <w:rPr>
                <w:rFonts w:eastAsia="Times New Roman" w:cs="Times New Roman"/>
                <w:sz w:val="20"/>
              </w:rPr>
              <w:t>&lt;0.001</w:t>
            </w:r>
          </w:p>
        </w:tc>
        <w:tc>
          <w:tcPr>
            <w:tcW w:w="893" w:type="dxa"/>
            <w:shd w:val="clear" w:color="auto" w:fill="FFFFFF"/>
            <w:vAlign w:val="center"/>
          </w:tcPr>
          <w:p w14:paraId="20D55AA9" w14:textId="77777777" w:rsidR="00B132A4" w:rsidRDefault="00000000">
            <w:pPr>
              <w:spacing w:after="0"/>
              <w:jc w:val="center"/>
            </w:pPr>
            <w:r>
              <w:rPr>
                <w:rFonts w:eastAsia="Times New Roman" w:cs="Times New Roman"/>
                <w:sz w:val="20"/>
              </w:rPr>
              <w:t>0.296</w:t>
            </w:r>
          </w:p>
        </w:tc>
        <w:tc>
          <w:tcPr>
            <w:tcW w:w="3326" w:type="dxa"/>
            <w:shd w:val="clear" w:color="auto" w:fill="FFFFFF"/>
            <w:vAlign w:val="center"/>
          </w:tcPr>
          <w:p w14:paraId="3403C95B" w14:textId="77777777" w:rsidR="00B132A4" w:rsidRDefault="00000000">
            <w:pPr>
              <w:spacing w:after="0"/>
              <w:jc w:val="center"/>
            </w:pPr>
            <w:r>
              <w:rPr>
                <w:rFonts w:eastAsia="Times New Roman" w:cs="Times New Roman"/>
                <w:sz w:val="20"/>
              </w:rPr>
              <w:t>−0.058 (−0.084 to −0.032)</w:t>
            </w:r>
          </w:p>
        </w:tc>
        <w:tc>
          <w:tcPr>
            <w:tcW w:w="792" w:type="dxa"/>
            <w:shd w:val="clear" w:color="auto" w:fill="FFFFFF"/>
            <w:vAlign w:val="center"/>
          </w:tcPr>
          <w:p w14:paraId="1050783C" w14:textId="77777777" w:rsidR="00B132A4" w:rsidRDefault="00000000">
            <w:pPr>
              <w:spacing w:after="0"/>
              <w:jc w:val="center"/>
            </w:pPr>
            <w:r>
              <w:rPr>
                <w:rFonts w:eastAsia="Times New Roman" w:cs="Times New Roman"/>
                <w:sz w:val="20"/>
              </w:rPr>
              <w:t>&lt;0.001</w:t>
            </w:r>
          </w:p>
        </w:tc>
      </w:tr>
      <w:tr w:rsidR="00B132A4" w14:paraId="60948B8F" w14:textId="77777777">
        <w:trPr>
          <w:cantSplit/>
          <w:jc w:val="center"/>
        </w:trPr>
        <w:tc>
          <w:tcPr>
            <w:tcW w:w="3528" w:type="dxa"/>
            <w:shd w:val="clear" w:color="auto" w:fill="FFFFFF"/>
            <w:vAlign w:val="center"/>
          </w:tcPr>
          <w:p w14:paraId="6C0FFC90" w14:textId="77777777" w:rsidR="00B132A4" w:rsidRDefault="00000000">
            <w:pPr>
              <w:spacing w:after="0"/>
            </w:pPr>
            <w:r>
              <w:rPr>
                <w:rFonts w:eastAsia="Times New Roman" w:cs="Times New Roman"/>
                <w:sz w:val="20"/>
              </w:rPr>
              <w:t>LGTRL-DE common-input adaptation</w:t>
            </w:r>
          </w:p>
        </w:tc>
        <w:tc>
          <w:tcPr>
            <w:tcW w:w="893" w:type="dxa"/>
            <w:shd w:val="clear" w:color="auto" w:fill="FFFFFF"/>
            <w:vAlign w:val="center"/>
          </w:tcPr>
          <w:p w14:paraId="3C590AF0" w14:textId="77777777" w:rsidR="00B132A4" w:rsidRDefault="00000000">
            <w:pPr>
              <w:spacing w:after="0"/>
              <w:jc w:val="center"/>
            </w:pPr>
            <w:r>
              <w:rPr>
                <w:rFonts w:eastAsia="Times New Roman" w:cs="Times New Roman"/>
                <w:sz w:val="20"/>
              </w:rPr>
              <w:t>0.489</w:t>
            </w:r>
          </w:p>
        </w:tc>
        <w:tc>
          <w:tcPr>
            <w:tcW w:w="3326" w:type="dxa"/>
            <w:shd w:val="clear" w:color="auto" w:fill="FFFFFF"/>
            <w:vAlign w:val="center"/>
          </w:tcPr>
          <w:p w14:paraId="3F055EF2" w14:textId="77777777" w:rsidR="00B132A4" w:rsidRDefault="00000000">
            <w:pPr>
              <w:spacing w:after="0"/>
              <w:jc w:val="center"/>
            </w:pPr>
            <w:r>
              <w:rPr>
                <w:rFonts w:eastAsia="Times New Roman" w:cs="Times New Roman"/>
                <w:sz w:val="20"/>
              </w:rPr>
              <w:t>−0.089 (−0.129 to −0.049)</w:t>
            </w:r>
          </w:p>
        </w:tc>
        <w:tc>
          <w:tcPr>
            <w:tcW w:w="792" w:type="dxa"/>
            <w:shd w:val="clear" w:color="auto" w:fill="FFFFFF"/>
            <w:vAlign w:val="center"/>
          </w:tcPr>
          <w:p w14:paraId="4C1847E0" w14:textId="77777777" w:rsidR="00B132A4" w:rsidRDefault="00000000">
            <w:pPr>
              <w:spacing w:after="0"/>
              <w:jc w:val="center"/>
            </w:pPr>
            <w:r>
              <w:rPr>
                <w:rFonts w:eastAsia="Times New Roman" w:cs="Times New Roman"/>
                <w:sz w:val="20"/>
              </w:rPr>
              <w:t>&lt;0.001</w:t>
            </w:r>
          </w:p>
        </w:tc>
        <w:tc>
          <w:tcPr>
            <w:tcW w:w="893" w:type="dxa"/>
            <w:shd w:val="clear" w:color="auto" w:fill="FFFFFF"/>
            <w:vAlign w:val="center"/>
          </w:tcPr>
          <w:p w14:paraId="5A8A2DAC" w14:textId="77777777" w:rsidR="00B132A4" w:rsidRDefault="00000000">
            <w:pPr>
              <w:spacing w:after="0"/>
              <w:jc w:val="center"/>
            </w:pPr>
            <w:r>
              <w:rPr>
                <w:rFonts w:eastAsia="Times New Roman" w:cs="Times New Roman"/>
                <w:sz w:val="20"/>
              </w:rPr>
              <w:t>0.301</w:t>
            </w:r>
          </w:p>
        </w:tc>
        <w:tc>
          <w:tcPr>
            <w:tcW w:w="3326" w:type="dxa"/>
            <w:shd w:val="clear" w:color="auto" w:fill="FFFFFF"/>
            <w:vAlign w:val="center"/>
          </w:tcPr>
          <w:p w14:paraId="0206FC66" w14:textId="77777777" w:rsidR="00B132A4" w:rsidRDefault="00000000">
            <w:pPr>
              <w:spacing w:after="0"/>
              <w:jc w:val="center"/>
            </w:pPr>
            <w:r>
              <w:rPr>
                <w:rFonts w:eastAsia="Times New Roman" w:cs="Times New Roman"/>
                <w:sz w:val="20"/>
              </w:rPr>
              <w:t>−0.053 (−0.078 to −0.028)</w:t>
            </w:r>
          </w:p>
        </w:tc>
        <w:tc>
          <w:tcPr>
            <w:tcW w:w="792" w:type="dxa"/>
            <w:shd w:val="clear" w:color="auto" w:fill="FFFFFF"/>
            <w:vAlign w:val="center"/>
          </w:tcPr>
          <w:p w14:paraId="610D9185" w14:textId="77777777" w:rsidR="00B132A4" w:rsidRDefault="00000000">
            <w:pPr>
              <w:spacing w:after="0"/>
              <w:jc w:val="center"/>
            </w:pPr>
            <w:r>
              <w:rPr>
                <w:rFonts w:eastAsia="Times New Roman" w:cs="Times New Roman"/>
                <w:sz w:val="20"/>
              </w:rPr>
              <w:t>&lt;0.001</w:t>
            </w:r>
          </w:p>
        </w:tc>
      </w:tr>
      <w:tr w:rsidR="00B132A4" w14:paraId="7976F785" w14:textId="77777777">
        <w:trPr>
          <w:cantSplit/>
          <w:jc w:val="center"/>
        </w:trPr>
        <w:tc>
          <w:tcPr>
            <w:tcW w:w="3528" w:type="dxa"/>
            <w:shd w:val="clear" w:color="auto" w:fill="FFFFFF"/>
            <w:vAlign w:val="center"/>
          </w:tcPr>
          <w:p w14:paraId="3DBAE18A" w14:textId="77777777" w:rsidR="00B132A4" w:rsidRDefault="00000000">
            <w:pPr>
              <w:spacing w:after="0"/>
            </w:pPr>
            <w:r>
              <w:rPr>
                <w:rFonts w:eastAsia="Times New Roman" w:cs="Times New Roman"/>
                <w:sz w:val="20"/>
              </w:rPr>
              <w:t>PatchTST</w:t>
            </w:r>
          </w:p>
        </w:tc>
        <w:tc>
          <w:tcPr>
            <w:tcW w:w="893" w:type="dxa"/>
            <w:shd w:val="clear" w:color="auto" w:fill="FFFFFF"/>
            <w:vAlign w:val="center"/>
          </w:tcPr>
          <w:p w14:paraId="456B36E3" w14:textId="77777777" w:rsidR="00B132A4" w:rsidRDefault="00000000">
            <w:pPr>
              <w:spacing w:after="0"/>
              <w:jc w:val="center"/>
            </w:pPr>
            <w:r>
              <w:rPr>
                <w:rFonts w:eastAsia="Times New Roman" w:cs="Times New Roman"/>
                <w:sz w:val="20"/>
              </w:rPr>
              <w:t>0.461</w:t>
            </w:r>
          </w:p>
        </w:tc>
        <w:tc>
          <w:tcPr>
            <w:tcW w:w="3326" w:type="dxa"/>
            <w:shd w:val="clear" w:color="auto" w:fill="FFFFFF"/>
            <w:vAlign w:val="center"/>
          </w:tcPr>
          <w:p w14:paraId="3D256E71" w14:textId="77777777" w:rsidR="00B132A4" w:rsidRDefault="00000000">
            <w:pPr>
              <w:spacing w:after="0"/>
              <w:jc w:val="center"/>
            </w:pPr>
            <w:r>
              <w:rPr>
                <w:rFonts w:eastAsia="Times New Roman" w:cs="Times New Roman"/>
                <w:sz w:val="20"/>
              </w:rPr>
              <w:t>−0.117 (−0.162 to −0.074)</w:t>
            </w:r>
          </w:p>
        </w:tc>
        <w:tc>
          <w:tcPr>
            <w:tcW w:w="792" w:type="dxa"/>
            <w:shd w:val="clear" w:color="auto" w:fill="FFFFFF"/>
            <w:vAlign w:val="center"/>
          </w:tcPr>
          <w:p w14:paraId="600AC5EE" w14:textId="77777777" w:rsidR="00B132A4" w:rsidRDefault="00000000">
            <w:pPr>
              <w:spacing w:after="0"/>
              <w:jc w:val="center"/>
            </w:pPr>
            <w:r>
              <w:rPr>
                <w:rFonts w:eastAsia="Times New Roman" w:cs="Times New Roman"/>
                <w:sz w:val="20"/>
              </w:rPr>
              <w:t>&lt;0.001</w:t>
            </w:r>
          </w:p>
        </w:tc>
        <w:tc>
          <w:tcPr>
            <w:tcW w:w="893" w:type="dxa"/>
            <w:shd w:val="clear" w:color="auto" w:fill="FFFFFF"/>
            <w:vAlign w:val="center"/>
          </w:tcPr>
          <w:p w14:paraId="18583659" w14:textId="77777777" w:rsidR="00B132A4" w:rsidRDefault="00000000">
            <w:pPr>
              <w:spacing w:after="0"/>
              <w:jc w:val="center"/>
            </w:pPr>
            <w:r>
              <w:rPr>
                <w:rFonts w:eastAsia="Times New Roman" w:cs="Times New Roman"/>
                <w:sz w:val="20"/>
              </w:rPr>
              <w:t>0.298</w:t>
            </w:r>
          </w:p>
        </w:tc>
        <w:tc>
          <w:tcPr>
            <w:tcW w:w="3326" w:type="dxa"/>
            <w:shd w:val="clear" w:color="auto" w:fill="FFFFFF"/>
            <w:vAlign w:val="center"/>
          </w:tcPr>
          <w:p w14:paraId="0B29A39E" w14:textId="77777777" w:rsidR="00B132A4" w:rsidRDefault="00000000">
            <w:pPr>
              <w:spacing w:after="0"/>
              <w:jc w:val="center"/>
            </w:pPr>
            <w:r>
              <w:rPr>
                <w:rFonts w:eastAsia="Times New Roman" w:cs="Times New Roman"/>
                <w:sz w:val="20"/>
              </w:rPr>
              <w:t>−0.056 (−0.081 to −0.032)</w:t>
            </w:r>
          </w:p>
        </w:tc>
        <w:tc>
          <w:tcPr>
            <w:tcW w:w="792" w:type="dxa"/>
            <w:shd w:val="clear" w:color="auto" w:fill="FFFFFF"/>
            <w:vAlign w:val="center"/>
          </w:tcPr>
          <w:p w14:paraId="5776891D" w14:textId="77777777" w:rsidR="00B132A4" w:rsidRDefault="00000000">
            <w:pPr>
              <w:spacing w:after="0"/>
              <w:jc w:val="center"/>
            </w:pPr>
            <w:r>
              <w:rPr>
                <w:rFonts w:eastAsia="Times New Roman" w:cs="Times New Roman"/>
                <w:sz w:val="20"/>
              </w:rPr>
              <w:t>&lt;0.001</w:t>
            </w:r>
          </w:p>
        </w:tc>
      </w:tr>
    </w:tbl>
    <w:p w14:paraId="6402AF49" w14:textId="77777777" w:rsidR="00B132A4" w:rsidRDefault="00000000">
      <w:r>
        <w:rPr>
          <w:rFonts w:eastAsia="Times New Roman" w:cs="Times New Roman"/>
          <w:sz w:val="20"/>
        </w:rPr>
        <w:t>Values are reproduced from Tables S22–S24b. ΔAUPRC is comparator/control minus PatchFusion; negative differences favor PatchFusion. The 12-token reversal is the prespecified primary pathway contrast. Token-matched reversal is post hoc robustness. Both order controls retain 1,844,505 parameters; attention lengths are 12 versus 3 tokens in the primary contrast and 3 versus 3 in the token-matched contrast. MIMIC-IV values remain selected development estimates. All paired comparisons are exploratory, two-sided, and unadjusted for multiplicity; intervals condition on the evaluated scores.</w:t>
      </w:r>
    </w:p>
    <w:p w14:paraId="560B7B07" w14:textId="77777777" w:rsidR="00B132A4" w:rsidRDefault="00B132A4">
      <w:pPr>
        <w:sectPr w:rsidR="00B132A4">
          <w:pgSz w:w="16838" w:h="11906" w:orient="landscape"/>
          <w:pgMar w:top="936" w:right="936" w:bottom="936" w:left="936" w:header="360" w:footer="360" w:gutter="0"/>
          <w:cols w:space="720"/>
          <w:docGrid w:linePitch="360"/>
        </w:sectPr>
      </w:pPr>
    </w:p>
    <w:p w14:paraId="117BB0E2" w14:textId="77777777" w:rsidR="00B132A4" w:rsidRDefault="00000000">
      <w:r>
        <w:rPr>
          <w:rFonts w:eastAsia="Times New Roman" w:cs="Times New Roman"/>
        </w:rPr>
        <w:lastRenderedPageBreak/>
        <w:t>The pathway preference also persisted at patch/stride settings 3/3, 6/3, and 6/6 hours (Table S13b). Removing global attention yielded AUPRC 0.518; removing overlap, bidirectionality, RoPE, deltas, or masks reduced AUPRC by 0.054, 0.037, 0.027, 0.046, or 0.080 (Table S24). Capacity and token differences remain as documented. Representation descriptors are in Table S30. SHAP summaries identified neurologic, metabolic, renal, circulatory, and oxygenation inputs (Figure 4); these associations do not establish mechanisms.[59]</w:t>
      </w:r>
    </w:p>
    <w:p w14:paraId="513D92CF" w14:textId="77777777" w:rsidR="00B132A4" w:rsidRDefault="00000000">
      <w:pPr>
        <w:pStyle w:val="21"/>
        <w:keepLines w:val="0"/>
      </w:pPr>
      <w:r>
        <w:rPr>
          <w:rFonts w:ascii="Times New Roman" w:eastAsia="Times New Roman" w:hAnsi="Times New Roman" w:cs="Times New Roman"/>
        </w:rPr>
        <w:t>Patch encoder and temporal order comparisons</w:t>
      </w:r>
    </w:p>
    <w:p w14:paraId="4235FEB1" w14:textId="77777777" w:rsidR="00B132A4" w:rsidRDefault="00000000">
      <w:r>
        <w:rPr>
          <w:rFonts w:eastAsia="Times New Roman" w:cs="Times New Roman"/>
        </w:rPr>
        <w:t>Table 4 compares local encoders under retained patch settings and global attention. Within-patch shuffling reduced AUPRC by 0.042 in MIMIC-IV and 0.019 in eICU-CRD, with both intervals excluding zero. Linear projection and mean pooling also had lower AUPRC in both datasets. CNN differences included zero in both datasets; the external MLP difference also included zero. These results support temporally structured attention inputs while leaving open the choice of an effective temporal encoder. Five-seed summaries and exact modules are in Tables S29–S29b.</w:t>
      </w:r>
    </w:p>
    <w:p w14:paraId="2C78B0EE" w14:textId="77777777" w:rsidR="00B132A4" w:rsidRDefault="00B132A4">
      <w:pPr>
        <w:sectPr w:rsidR="00B132A4">
          <w:pgSz w:w="11906" w:h="16838"/>
          <w:pgMar w:top="1224" w:right="1440" w:bottom="1224" w:left="1440" w:header="360" w:footer="360" w:gutter="0"/>
          <w:cols w:space="720"/>
          <w:docGrid w:linePitch="360"/>
        </w:sectPr>
      </w:pPr>
    </w:p>
    <w:p w14:paraId="2D287221" w14:textId="77777777" w:rsidR="00B132A4" w:rsidRDefault="00000000">
      <w:pPr>
        <w:pStyle w:val="af0"/>
        <w:keepNext/>
      </w:pPr>
      <w:r>
        <w:rPr>
          <w:rFonts w:eastAsia="Times New Roman" w:cs="Times New Roman"/>
        </w:rPr>
        <w:lastRenderedPageBreak/>
        <w:t>Table 4. Patch encoder and within-patch order comparisons for the primary mortality horizon.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85" w:type="dxa"/>
          <w:bottom w:w="70" w:type="dxa"/>
          <w:right w:w="85" w:type="dxa"/>
        </w:tblCellMar>
        <w:tblLook w:val="04A0" w:firstRow="1" w:lastRow="0" w:firstColumn="1" w:lastColumn="0" w:noHBand="0" w:noVBand="1"/>
      </w:tblPr>
      <w:tblGrid>
        <w:gridCol w:w="3672"/>
        <w:gridCol w:w="1181"/>
        <w:gridCol w:w="4277"/>
        <w:gridCol w:w="1181"/>
        <w:gridCol w:w="4363"/>
      </w:tblGrid>
      <w:tr w:rsidR="00B132A4" w14:paraId="3832992D" w14:textId="77777777">
        <w:trPr>
          <w:cantSplit/>
          <w:tblHeader/>
          <w:jc w:val="center"/>
        </w:trPr>
        <w:tc>
          <w:tcPr>
            <w:tcW w:w="3672" w:type="dxa"/>
            <w:shd w:val="clear" w:color="auto" w:fill="E7E7E7"/>
            <w:tcMar>
              <w:top w:w="75" w:type="dxa"/>
              <w:left w:w="70" w:type="dxa"/>
              <w:bottom w:w="75" w:type="dxa"/>
              <w:right w:w="70" w:type="dxa"/>
            </w:tcMar>
            <w:vAlign w:val="center"/>
          </w:tcPr>
          <w:p w14:paraId="03AF2366" w14:textId="77777777" w:rsidR="00B132A4" w:rsidRDefault="00000000">
            <w:pPr>
              <w:spacing w:after="0"/>
            </w:pPr>
            <w:r>
              <w:rPr>
                <w:rFonts w:eastAsia="Times New Roman" w:cs="Times New Roman"/>
                <w:b/>
                <w:sz w:val="20"/>
              </w:rPr>
              <w:t>Patch encoder / variant</w:t>
            </w:r>
          </w:p>
        </w:tc>
        <w:tc>
          <w:tcPr>
            <w:tcW w:w="1181" w:type="dxa"/>
            <w:shd w:val="clear" w:color="auto" w:fill="E7E7E7"/>
            <w:tcMar>
              <w:top w:w="75" w:type="dxa"/>
              <w:left w:w="70" w:type="dxa"/>
              <w:bottom w:w="75" w:type="dxa"/>
              <w:right w:w="70" w:type="dxa"/>
            </w:tcMar>
            <w:vAlign w:val="center"/>
          </w:tcPr>
          <w:p w14:paraId="70EDB780" w14:textId="77777777" w:rsidR="00B132A4" w:rsidRDefault="00000000">
            <w:pPr>
              <w:spacing w:after="0"/>
              <w:jc w:val="center"/>
            </w:pPr>
            <w:r>
              <w:rPr>
                <w:rFonts w:eastAsia="Times New Roman" w:cs="Times New Roman"/>
                <w:b/>
                <w:sz w:val="20"/>
              </w:rPr>
              <w:t>MIMIC</w:t>
            </w:r>
            <w:r>
              <w:rPr>
                <w:rFonts w:eastAsia="Times New Roman" w:cs="Times New Roman"/>
                <w:b/>
                <w:sz w:val="20"/>
              </w:rPr>
              <w:br/>
              <w:t>AUPRC</w:t>
            </w:r>
          </w:p>
        </w:tc>
        <w:tc>
          <w:tcPr>
            <w:tcW w:w="4277" w:type="dxa"/>
            <w:shd w:val="clear" w:color="auto" w:fill="E7E7E7"/>
            <w:tcMar>
              <w:top w:w="75" w:type="dxa"/>
              <w:left w:w="70" w:type="dxa"/>
              <w:bottom w:w="75" w:type="dxa"/>
              <w:right w:w="70" w:type="dxa"/>
            </w:tcMar>
            <w:vAlign w:val="center"/>
          </w:tcPr>
          <w:p w14:paraId="6AA59339" w14:textId="77777777" w:rsidR="00B132A4" w:rsidRDefault="00000000">
            <w:pPr>
              <w:spacing w:after="0"/>
              <w:jc w:val="center"/>
            </w:pPr>
            <w:r>
              <w:rPr>
                <w:rFonts w:eastAsia="Times New Roman" w:cs="Times New Roman"/>
                <w:b/>
                <w:sz w:val="20"/>
              </w:rPr>
              <w:t>MIMIC-IV</w:t>
            </w:r>
            <w:r>
              <w:rPr>
                <w:rFonts w:eastAsia="Times New Roman" w:cs="Times New Roman"/>
                <w:b/>
                <w:sz w:val="20"/>
              </w:rPr>
              <w:br/>
              <w:t>ΔAUPRC (95% CI); P</w:t>
            </w:r>
          </w:p>
        </w:tc>
        <w:tc>
          <w:tcPr>
            <w:tcW w:w="1181" w:type="dxa"/>
            <w:shd w:val="clear" w:color="auto" w:fill="E7E7E7"/>
            <w:tcMar>
              <w:top w:w="75" w:type="dxa"/>
              <w:left w:w="70" w:type="dxa"/>
              <w:bottom w:w="75" w:type="dxa"/>
              <w:right w:w="70" w:type="dxa"/>
            </w:tcMar>
            <w:vAlign w:val="center"/>
          </w:tcPr>
          <w:p w14:paraId="6D0DD6EF" w14:textId="77777777" w:rsidR="00B132A4" w:rsidRDefault="00000000">
            <w:pPr>
              <w:spacing w:after="0"/>
              <w:jc w:val="center"/>
            </w:pPr>
            <w:r>
              <w:rPr>
                <w:rFonts w:eastAsia="Times New Roman" w:cs="Times New Roman"/>
                <w:b/>
                <w:sz w:val="20"/>
              </w:rPr>
              <w:t>eICU</w:t>
            </w:r>
            <w:r>
              <w:rPr>
                <w:rFonts w:eastAsia="Times New Roman" w:cs="Times New Roman"/>
                <w:b/>
                <w:sz w:val="20"/>
              </w:rPr>
              <w:br/>
              <w:t>AUPRC</w:t>
            </w:r>
          </w:p>
        </w:tc>
        <w:tc>
          <w:tcPr>
            <w:tcW w:w="4363" w:type="dxa"/>
            <w:shd w:val="clear" w:color="auto" w:fill="E7E7E7"/>
            <w:tcMar>
              <w:top w:w="75" w:type="dxa"/>
              <w:left w:w="70" w:type="dxa"/>
              <w:bottom w:w="75" w:type="dxa"/>
              <w:right w:w="70" w:type="dxa"/>
            </w:tcMar>
            <w:vAlign w:val="center"/>
          </w:tcPr>
          <w:p w14:paraId="46FB77E0" w14:textId="77777777" w:rsidR="00B132A4" w:rsidRDefault="00000000">
            <w:pPr>
              <w:spacing w:after="0"/>
              <w:jc w:val="center"/>
            </w:pPr>
            <w:r>
              <w:rPr>
                <w:rFonts w:eastAsia="Times New Roman" w:cs="Times New Roman"/>
                <w:b/>
                <w:sz w:val="20"/>
              </w:rPr>
              <w:t>Frozen eICU-CRD</w:t>
            </w:r>
            <w:r>
              <w:rPr>
                <w:rFonts w:eastAsia="Times New Roman" w:cs="Times New Roman"/>
                <w:b/>
                <w:sz w:val="20"/>
              </w:rPr>
              <w:br/>
              <w:t>ΔAUPRC (95% CI); P</w:t>
            </w:r>
          </w:p>
        </w:tc>
      </w:tr>
      <w:tr w:rsidR="00B132A4" w14:paraId="564A58BD" w14:textId="77777777">
        <w:trPr>
          <w:cantSplit/>
          <w:jc w:val="center"/>
        </w:trPr>
        <w:tc>
          <w:tcPr>
            <w:tcW w:w="3672" w:type="dxa"/>
            <w:shd w:val="clear" w:color="auto" w:fill="FFFFFF"/>
            <w:tcMar>
              <w:top w:w="75" w:type="dxa"/>
              <w:left w:w="70" w:type="dxa"/>
              <w:bottom w:w="75" w:type="dxa"/>
              <w:right w:w="70" w:type="dxa"/>
            </w:tcMar>
            <w:vAlign w:val="center"/>
          </w:tcPr>
          <w:p w14:paraId="082B3429" w14:textId="77777777" w:rsidR="00B132A4" w:rsidRDefault="00000000">
            <w:pPr>
              <w:spacing w:after="0"/>
            </w:pPr>
            <w:r>
              <w:rPr>
                <w:rFonts w:eastAsia="Times New Roman" w:cs="Times New Roman"/>
                <w:sz w:val="20"/>
              </w:rPr>
              <w:t>BiLSTM (reference)</w:t>
            </w:r>
          </w:p>
        </w:tc>
        <w:tc>
          <w:tcPr>
            <w:tcW w:w="1181" w:type="dxa"/>
            <w:shd w:val="clear" w:color="auto" w:fill="FFFFFF"/>
            <w:tcMar>
              <w:top w:w="75" w:type="dxa"/>
              <w:left w:w="70" w:type="dxa"/>
              <w:bottom w:w="75" w:type="dxa"/>
              <w:right w:w="70" w:type="dxa"/>
            </w:tcMar>
            <w:vAlign w:val="center"/>
          </w:tcPr>
          <w:p w14:paraId="7C7CB014" w14:textId="77777777" w:rsidR="00B132A4" w:rsidRDefault="00000000">
            <w:pPr>
              <w:spacing w:after="0"/>
              <w:jc w:val="center"/>
            </w:pPr>
            <w:r>
              <w:rPr>
                <w:rFonts w:eastAsia="Times New Roman" w:cs="Times New Roman"/>
                <w:sz w:val="20"/>
              </w:rPr>
              <w:t>0.578</w:t>
            </w:r>
          </w:p>
        </w:tc>
        <w:tc>
          <w:tcPr>
            <w:tcW w:w="4277" w:type="dxa"/>
            <w:shd w:val="clear" w:color="auto" w:fill="FFFFFF"/>
            <w:tcMar>
              <w:top w:w="75" w:type="dxa"/>
              <w:left w:w="70" w:type="dxa"/>
              <w:bottom w:w="75" w:type="dxa"/>
              <w:right w:w="70" w:type="dxa"/>
            </w:tcMar>
            <w:vAlign w:val="center"/>
          </w:tcPr>
          <w:p w14:paraId="567BEF64" w14:textId="77777777" w:rsidR="00B132A4" w:rsidRDefault="00000000">
            <w:pPr>
              <w:spacing w:after="0"/>
              <w:jc w:val="center"/>
            </w:pPr>
            <w:r>
              <w:rPr>
                <w:rFonts w:eastAsia="Times New Roman" w:cs="Times New Roman"/>
                <w:sz w:val="20"/>
              </w:rPr>
              <w:t>—</w:t>
            </w:r>
          </w:p>
        </w:tc>
        <w:tc>
          <w:tcPr>
            <w:tcW w:w="1181" w:type="dxa"/>
            <w:shd w:val="clear" w:color="auto" w:fill="FFFFFF"/>
            <w:tcMar>
              <w:top w:w="75" w:type="dxa"/>
              <w:left w:w="70" w:type="dxa"/>
              <w:bottom w:w="75" w:type="dxa"/>
              <w:right w:w="70" w:type="dxa"/>
            </w:tcMar>
            <w:vAlign w:val="center"/>
          </w:tcPr>
          <w:p w14:paraId="6B9BC065" w14:textId="77777777" w:rsidR="00B132A4" w:rsidRDefault="00000000">
            <w:pPr>
              <w:spacing w:after="0"/>
              <w:jc w:val="center"/>
            </w:pPr>
            <w:r>
              <w:rPr>
                <w:rFonts w:eastAsia="Times New Roman" w:cs="Times New Roman"/>
                <w:sz w:val="20"/>
              </w:rPr>
              <w:t>0.354</w:t>
            </w:r>
          </w:p>
        </w:tc>
        <w:tc>
          <w:tcPr>
            <w:tcW w:w="4363" w:type="dxa"/>
            <w:shd w:val="clear" w:color="auto" w:fill="FFFFFF"/>
            <w:tcMar>
              <w:top w:w="75" w:type="dxa"/>
              <w:left w:w="70" w:type="dxa"/>
              <w:bottom w:w="75" w:type="dxa"/>
              <w:right w:w="70" w:type="dxa"/>
            </w:tcMar>
            <w:vAlign w:val="center"/>
          </w:tcPr>
          <w:p w14:paraId="5130C034" w14:textId="77777777" w:rsidR="00B132A4" w:rsidRDefault="00000000">
            <w:pPr>
              <w:spacing w:after="0"/>
              <w:jc w:val="center"/>
            </w:pPr>
            <w:r>
              <w:rPr>
                <w:rFonts w:eastAsia="Times New Roman" w:cs="Times New Roman"/>
                <w:sz w:val="20"/>
              </w:rPr>
              <w:t>—</w:t>
            </w:r>
          </w:p>
        </w:tc>
      </w:tr>
      <w:tr w:rsidR="00B132A4" w14:paraId="7A6A05FE" w14:textId="77777777">
        <w:trPr>
          <w:cantSplit/>
          <w:jc w:val="center"/>
        </w:trPr>
        <w:tc>
          <w:tcPr>
            <w:tcW w:w="3672" w:type="dxa"/>
            <w:shd w:val="clear" w:color="auto" w:fill="FFFFFF"/>
            <w:tcMar>
              <w:top w:w="75" w:type="dxa"/>
              <w:left w:w="70" w:type="dxa"/>
              <w:bottom w:w="75" w:type="dxa"/>
              <w:right w:w="70" w:type="dxa"/>
            </w:tcMar>
            <w:vAlign w:val="center"/>
          </w:tcPr>
          <w:p w14:paraId="7D3B404B" w14:textId="77777777" w:rsidR="00B132A4" w:rsidRDefault="00000000">
            <w:pPr>
              <w:spacing w:after="0"/>
            </w:pPr>
            <w:r>
              <w:rPr>
                <w:rFonts w:eastAsia="Times New Roman" w:cs="Times New Roman"/>
                <w:sz w:val="20"/>
              </w:rPr>
              <w:t>CNN</w:t>
            </w:r>
          </w:p>
        </w:tc>
        <w:tc>
          <w:tcPr>
            <w:tcW w:w="1181" w:type="dxa"/>
            <w:shd w:val="clear" w:color="auto" w:fill="FFFFFF"/>
            <w:tcMar>
              <w:top w:w="75" w:type="dxa"/>
              <w:left w:w="70" w:type="dxa"/>
              <w:bottom w:w="75" w:type="dxa"/>
              <w:right w:w="70" w:type="dxa"/>
            </w:tcMar>
            <w:vAlign w:val="center"/>
          </w:tcPr>
          <w:p w14:paraId="651E8431" w14:textId="77777777" w:rsidR="00B132A4" w:rsidRDefault="00000000">
            <w:pPr>
              <w:spacing w:after="0"/>
              <w:jc w:val="center"/>
            </w:pPr>
            <w:r>
              <w:rPr>
                <w:rFonts w:eastAsia="Times New Roman" w:cs="Times New Roman"/>
                <w:sz w:val="20"/>
              </w:rPr>
              <w:t>0.565</w:t>
            </w:r>
          </w:p>
        </w:tc>
        <w:tc>
          <w:tcPr>
            <w:tcW w:w="4277" w:type="dxa"/>
            <w:shd w:val="clear" w:color="auto" w:fill="FFFFFF"/>
            <w:tcMar>
              <w:top w:w="75" w:type="dxa"/>
              <w:left w:w="70" w:type="dxa"/>
              <w:bottom w:w="75" w:type="dxa"/>
              <w:right w:w="70" w:type="dxa"/>
            </w:tcMar>
            <w:vAlign w:val="center"/>
          </w:tcPr>
          <w:p w14:paraId="5EC22AE2" w14:textId="77777777" w:rsidR="00B132A4" w:rsidRDefault="00000000">
            <w:pPr>
              <w:spacing w:after="0"/>
              <w:jc w:val="center"/>
            </w:pPr>
            <w:r>
              <w:rPr>
                <w:rFonts w:eastAsia="Times New Roman" w:cs="Times New Roman"/>
                <w:sz w:val="20"/>
              </w:rPr>
              <w:t>−0.013 (−0.034 to 0.008)</w:t>
            </w:r>
            <w:r>
              <w:rPr>
                <w:rFonts w:eastAsia="Times New Roman" w:cs="Times New Roman"/>
                <w:sz w:val="20"/>
              </w:rPr>
              <w:br/>
              <w:t>P=.22</w:t>
            </w:r>
          </w:p>
        </w:tc>
        <w:tc>
          <w:tcPr>
            <w:tcW w:w="1181" w:type="dxa"/>
            <w:shd w:val="clear" w:color="auto" w:fill="FFFFFF"/>
            <w:tcMar>
              <w:top w:w="75" w:type="dxa"/>
              <w:left w:w="70" w:type="dxa"/>
              <w:bottom w:w="75" w:type="dxa"/>
              <w:right w:w="70" w:type="dxa"/>
            </w:tcMar>
            <w:vAlign w:val="center"/>
          </w:tcPr>
          <w:p w14:paraId="59F40D32" w14:textId="77777777" w:rsidR="00B132A4" w:rsidRDefault="00000000">
            <w:pPr>
              <w:spacing w:after="0"/>
              <w:jc w:val="center"/>
            </w:pPr>
            <w:r>
              <w:rPr>
                <w:rFonts w:eastAsia="Times New Roman" w:cs="Times New Roman"/>
                <w:sz w:val="20"/>
              </w:rPr>
              <w:t>0.349</w:t>
            </w:r>
          </w:p>
        </w:tc>
        <w:tc>
          <w:tcPr>
            <w:tcW w:w="4363" w:type="dxa"/>
            <w:shd w:val="clear" w:color="auto" w:fill="FFFFFF"/>
            <w:tcMar>
              <w:top w:w="75" w:type="dxa"/>
              <w:left w:w="70" w:type="dxa"/>
              <w:bottom w:w="75" w:type="dxa"/>
              <w:right w:w="70" w:type="dxa"/>
            </w:tcMar>
            <w:vAlign w:val="center"/>
          </w:tcPr>
          <w:p w14:paraId="02AB22FD" w14:textId="77777777" w:rsidR="00B132A4" w:rsidRDefault="00000000">
            <w:pPr>
              <w:spacing w:after="0"/>
              <w:jc w:val="center"/>
            </w:pPr>
            <w:r>
              <w:rPr>
                <w:rFonts w:eastAsia="Times New Roman" w:cs="Times New Roman"/>
                <w:sz w:val="20"/>
              </w:rPr>
              <w:t>−0.005 (−0.016 to 0.006)</w:t>
            </w:r>
            <w:r>
              <w:rPr>
                <w:rFonts w:eastAsia="Times New Roman" w:cs="Times New Roman"/>
                <w:sz w:val="20"/>
              </w:rPr>
              <w:br/>
              <w:t>P=.35</w:t>
            </w:r>
          </w:p>
        </w:tc>
      </w:tr>
      <w:tr w:rsidR="00B132A4" w14:paraId="574C4550" w14:textId="77777777">
        <w:trPr>
          <w:cantSplit/>
          <w:jc w:val="center"/>
        </w:trPr>
        <w:tc>
          <w:tcPr>
            <w:tcW w:w="3672" w:type="dxa"/>
            <w:shd w:val="clear" w:color="auto" w:fill="FFFFFF"/>
            <w:tcMar>
              <w:top w:w="75" w:type="dxa"/>
              <w:left w:w="70" w:type="dxa"/>
              <w:bottom w:w="75" w:type="dxa"/>
              <w:right w:w="70" w:type="dxa"/>
            </w:tcMar>
            <w:vAlign w:val="center"/>
          </w:tcPr>
          <w:p w14:paraId="5074E96B" w14:textId="77777777" w:rsidR="00B132A4" w:rsidRDefault="00000000">
            <w:pPr>
              <w:spacing w:after="0"/>
            </w:pPr>
            <w:r>
              <w:rPr>
                <w:rFonts w:eastAsia="Times New Roman" w:cs="Times New Roman"/>
                <w:sz w:val="20"/>
              </w:rPr>
              <w:t>Within-patch MLP</w:t>
            </w:r>
          </w:p>
        </w:tc>
        <w:tc>
          <w:tcPr>
            <w:tcW w:w="1181" w:type="dxa"/>
            <w:shd w:val="clear" w:color="auto" w:fill="FFFFFF"/>
            <w:tcMar>
              <w:top w:w="75" w:type="dxa"/>
              <w:left w:w="70" w:type="dxa"/>
              <w:bottom w:w="75" w:type="dxa"/>
              <w:right w:w="70" w:type="dxa"/>
            </w:tcMar>
            <w:vAlign w:val="center"/>
          </w:tcPr>
          <w:p w14:paraId="302BA04A" w14:textId="77777777" w:rsidR="00B132A4" w:rsidRDefault="00000000">
            <w:pPr>
              <w:spacing w:after="0"/>
              <w:jc w:val="center"/>
            </w:pPr>
            <w:r>
              <w:rPr>
                <w:rFonts w:eastAsia="Times New Roman" w:cs="Times New Roman"/>
                <w:sz w:val="20"/>
              </w:rPr>
              <w:t>0.553</w:t>
            </w:r>
          </w:p>
        </w:tc>
        <w:tc>
          <w:tcPr>
            <w:tcW w:w="4277" w:type="dxa"/>
            <w:shd w:val="clear" w:color="auto" w:fill="FFFFFF"/>
            <w:tcMar>
              <w:top w:w="75" w:type="dxa"/>
              <w:left w:w="70" w:type="dxa"/>
              <w:bottom w:w="75" w:type="dxa"/>
              <w:right w:w="70" w:type="dxa"/>
            </w:tcMar>
            <w:vAlign w:val="center"/>
          </w:tcPr>
          <w:p w14:paraId="14B0F860" w14:textId="77777777" w:rsidR="00B132A4" w:rsidRDefault="00000000">
            <w:pPr>
              <w:spacing w:after="0"/>
              <w:jc w:val="center"/>
            </w:pPr>
            <w:r>
              <w:rPr>
                <w:rFonts w:eastAsia="Times New Roman" w:cs="Times New Roman"/>
                <w:sz w:val="20"/>
              </w:rPr>
              <w:t>−0.025 (−0.049 to −0.001)</w:t>
            </w:r>
            <w:r>
              <w:rPr>
                <w:rFonts w:eastAsia="Times New Roman" w:cs="Times New Roman"/>
                <w:sz w:val="20"/>
              </w:rPr>
              <w:br/>
              <w:t>P=.04</w:t>
            </w:r>
          </w:p>
        </w:tc>
        <w:tc>
          <w:tcPr>
            <w:tcW w:w="1181" w:type="dxa"/>
            <w:shd w:val="clear" w:color="auto" w:fill="FFFFFF"/>
            <w:tcMar>
              <w:top w:w="75" w:type="dxa"/>
              <w:left w:w="70" w:type="dxa"/>
              <w:bottom w:w="75" w:type="dxa"/>
              <w:right w:w="70" w:type="dxa"/>
            </w:tcMar>
            <w:vAlign w:val="center"/>
          </w:tcPr>
          <w:p w14:paraId="643524E8" w14:textId="77777777" w:rsidR="00B132A4" w:rsidRDefault="00000000">
            <w:pPr>
              <w:spacing w:after="0"/>
              <w:jc w:val="center"/>
            </w:pPr>
            <w:r>
              <w:rPr>
                <w:rFonts w:eastAsia="Times New Roman" w:cs="Times New Roman"/>
                <w:sz w:val="20"/>
              </w:rPr>
              <w:t>0.344</w:t>
            </w:r>
          </w:p>
        </w:tc>
        <w:tc>
          <w:tcPr>
            <w:tcW w:w="4363" w:type="dxa"/>
            <w:shd w:val="clear" w:color="auto" w:fill="FFFFFF"/>
            <w:tcMar>
              <w:top w:w="75" w:type="dxa"/>
              <w:left w:w="70" w:type="dxa"/>
              <w:bottom w:w="75" w:type="dxa"/>
              <w:right w:w="70" w:type="dxa"/>
            </w:tcMar>
            <w:vAlign w:val="center"/>
          </w:tcPr>
          <w:p w14:paraId="65D5D4A9" w14:textId="77777777" w:rsidR="00B132A4" w:rsidRDefault="00000000">
            <w:pPr>
              <w:spacing w:after="0"/>
              <w:jc w:val="center"/>
            </w:pPr>
            <w:r>
              <w:rPr>
                <w:rFonts w:eastAsia="Times New Roman" w:cs="Times New Roman"/>
                <w:sz w:val="20"/>
              </w:rPr>
              <w:t>−0.010 (−0.022 to 0.002)</w:t>
            </w:r>
            <w:r>
              <w:rPr>
                <w:rFonts w:eastAsia="Times New Roman" w:cs="Times New Roman"/>
                <w:sz w:val="20"/>
              </w:rPr>
              <w:br/>
              <w:t>P=.09</w:t>
            </w:r>
          </w:p>
        </w:tc>
      </w:tr>
      <w:tr w:rsidR="00B132A4" w14:paraId="5829C080" w14:textId="77777777">
        <w:trPr>
          <w:cantSplit/>
          <w:jc w:val="center"/>
        </w:trPr>
        <w:tc>
          <w:tcPr>
            <w:tcW w:w="3672" w:type="dxa"/>
            <w:shd w:val="clear" w:color="auto" w:fill="FFFFFF"/>
            <w:tcMar>
              <w:top w:w="75" w:type="dxa"/>
              <w:left w:w="70" w:type="dxa"/>
              <w:bottom w:w="75" w:type="dxa"/>
              <w:right w:w="70" w:type="dxa"/>
            </w:tcMar>
            <w:vAlign w:val="center"/>
          </w:tcPr>
          <w:p w14:paraId="240BF9D0" w14:textId="77777777" w:rsidR="00B132A4" w:rsidRDefault="00000000">
            <w:pPr>
              <w:spacing w:after="0"/>
            </w:pPr>
            <w:r>
              <w:rPr>
                <w:rFonts w:eastAsia="Times New Roman" w:cs="Times New Roman"/>
                <w:sz w:val="20"/>
              </w:rPr>
              <w:t>Linear projection</w:t>
            </w:r>
          </w:p>
        </w:tc>
        <w:tc>
          <w:tcPr>
            <w:tcW w:w="1181" w:type="dxa"/>
            <w:shd w:val="clear" w:color="auto" w:fill="FFFFFF"/>
            <w:tcMar>
              <w:top w:w="75" w:type="dxa"/>
              <w:left w:w="70" w:type="dxa"/>
              <w:bottom w:w="75" w:type="dxa"/>
              <w:right w:w="70" w:type="dxa"/>
            </w:tcMar>
            <w:vAlign w:val="center"/>
          </w:tcPr>
          <w:p w14:paraId="7A7B5BAD" w14:textId="77777777" w:rsidR="00B132A4" w:rsidRDefault="00000000">
            <w:pPr>
              <w:spacing w:after="0"/>
              <w:jc w:val="center"/>
            </w:pPr>
            <w:r>
              <w:rPr>
                <w:rFonts w:eastAsia="Times New Roman" w:cs="Times New Roman"/>
                <w:sz w:val="20"/>
              </w:rPr>
              <w:t>0.546</w:t>
            </w:r>
          </w:p>
        </w:tc>
        <w:tc>
          <w:tcPr>
            <w:tcW w:w="4277" w:type="dxa"/>
            <w:shd w:val="clear" w:color="auto" w:fill="FFFFFF"/>
            <w:tcMar>
              <w:top w:w="75" w:type="dxa"/>
              <w:left w:w="70" w:type="dxa"/>
              <w:bottom w:w="75" w:type="dxa"/>
              <w:right w:w="70" w:type="dxa"/>
            </w:tcMar>
            <w:vAlign w:val="center"/>
          </w:tcPr>
          <w:p w14:paraId="6979081C" w14:textId="77777777" w:rsidR="00B132A4" w:rsidRDefault="00000000">
            <w:pPr>
              <w:spacing w:after="0"/>
              <w:jc w:val="center"/>
            </w:pPr>
            <w:r>
              <w:rPr>
                <w:rFonts w:eastAsia="Times New Roman" w:cs="Times New Roman"/>
                <w:sz w:val="20"/>
              </w:rPr>
              <w:t>−0.032 (−0.056 to −0.008)</w:t>
            </w:r>
            <w:r>
              <w:rPr>
                <w:rFonts w:eastAsia="Times New Roman" w:cs="Times New Roman"/>
                <w:sz w:val="20"/>
              </w:rPr>
              <w:br/>
              <w:t>P=.01</w:t>
            </w:r>
          </w:p>
        </w:tc>
        <w:tc>
          <w:tcPr>
            <w:tcW w:w="1181" w:type="dxa"/>
            <w:shd w:val="clear" w:color="auto" w:fill="FFFFFF"/>
            <w:tcMar>
              <w:top w:w="75" w:type="dxa"/>
              <w:left w:w="70" w:type="dxa"/>
              <w:bottom w:w="75" w:type="dxa"/>
              <w:right w:w="70" w:type="dxa"/>
            </w:tcMar>
            <w:vAlign w:val="center"/>
          </w:tcPr>
          <w:p w14:paraId="63391B92" w14:textId="77777777" w:rsidR="00B132A4" w:rsidRDefault="00000000">
            <w:pPr>
              <w:spacing w:after="0"/>
              <w:jc w:val="center"/>
            </w:pPr>
            <w:r>
              <w:rPr>
                <w:rFonts w:eastAsia="Times New Roman" w:cs="Times New Roman"/>
                <w:sz w:val="20"/>
              </w:rPr>
              <w:t>0.339</w:t>
            </w:r>
          </w:p>
        </w:tc>
        <w:tc>
          <w:tcPr>
            <w:tcW w:w="4363" w:type="dxa"/>
            <w:shd w:val="clear" w:color="auto" w:fill="FFFFFF"/>
            <w:tcMar>
              <w:top w:w="75" w:type="dxa"/>
              <w:left w:w="70" w:type="dxa"/>
              <w:bottom w:w="75" w:type="dxa"/>
              <w:right w:w="70" w:type="dxa"/>
            </w:tcMar>
            <w:vAlign w:val="center"/>
          </w:tcPr>
          <w:p w14:paraId="20E3A47B" w14:textId="77777777" w:rsidR="00B132A4" w:rsidRDefault="00000000">
            <w:pPr>
              <w:spacing w:after="0"/>
              <w:jc w:val="center"/>
            </w:pPr>
            <w:r>
              <w:rPr>
                <w:rFonts w:eastAsia="Times New Roman" w:cs="Times New Roman"/>
                <w:sz w:val="20"/>
              </w:rPr>
              <w:t>−0.015 (−0.029 to −0.001)</w:t>
            </w:r>
            <w:r>
              <w:rPr>
                <w:rFonts w:eastAsia="Times New Roman" w:cs="Times New Roman"/>
                <w:sz w:val="20"/>
              </w:rPr>
              <w:br/>
              <w:t>P=.04</w:t>
            </w:r>
          </w:p>
        </w:tc>
      </w:tr>
      <w:tr w:rsidR="00B132A4" w14:paraId="561B83C7" w14:textId="77777777">
        <w:trPr>
          <w:cantSplit/>
          <w:jc w:val="center"/>
        </w:trPr>
        <w:tc>
          <w:tcPr>
            <w:tcW w:w="3672" w:type="dxa"/>
            <w:shd w:val="clear" w:color="auto" w:fill="FFFFFF"/>
            <w:tcMar>
              <w:top w:w="75" w:type="dxa"/>
              <w:left w:w="70" w:type="dxa"/>
              <w:bottom w:w="75" w:type="dxa"/>
              <w:right w:w="70" w:type="dxa"/>
            </w:tcMar>
            <w:vAlign w:val="center"/>
          </w:tcPr>
          <w:p w14:paraId="54CAC2B8" w14:textId="77777777" w:rsidR="00B132A4" w:rsidRDefault="00000000">
            <w:pPr>
              <w:spacing w:after="0"/>
            </w:pPr>
            <w:r>
              <w:rPr>
                <w:rFonts w:eastAsia="Times New Roman" w:cs="Times New Roman"/>
                <w:sz w:val="20"/>
              </w:rPr>
              <w:t>Within-patch order shuffling + BiLSTM</w:t>
            </w:r>
          </w:p>
        </w:tc>
        <w:tc>
          <w:tcPr>
            <w:tcW w:w="1181" w:type="dxa"/>
            <w:shd w:val="clear" w:color="auto" w:fill="FFFFFF"/>
            <w:tcMar>
              <w:top w:w="75" w:type="dxa"/>
              <w:left w:w="70" w:type="dxa"/>
              <w:bottom w:w="75" w:type="dxa"/>
              <w:right w:w="70" w:type="dxa"/>
            </w:tcMar>
            <w:vAlign w:val="center"/>
          </w:tcPr>
          <w:p w14:paraId="019CECFB" w14:textId="77777777" w:rsidR="00B132A4" w:rsidRDefault="00000000">
            <w:pPr>
              <w:spacing w:after="0"/>
              <w:jc w:val="center"/>
            </w:pPr>
            <w:r>
              <w:rPr>
                <w:rFonts w:eastAsia="Times New Roman" w:cs="Times New Roman"/>
                <w:sz w:val="20"/>
              </w:rPr>
              <w:t>0.536</w:t>
            </w:r>
          </w:p>
        </w:tc>
        <w:tc>
          <w:tcPr>
            <w:tcW w:w="4277" w:type="dxa"/>
            <w:shd w:val="clear" w:color="auto" w:fill="FFFFFF"/>
            <w:tcMar>
              <w:top w:w="75" w:type="dxa"/>
              <w:left w:w="70" w:type="dxa"/>
              <w:bottom w:w="75" w:type="dxa"/>
              <w:right w:w="70" w:type="dxa"/>
            </w:tcMar>
            <w:vAlign w:val="center"/>
          </w:tcPr>
          <w:p w14:paraId="7C3C0E61" w14:textId="77777777" w:rsidR="00B132A4" w:rsidRDefault="00000000">
            <w:pPr>
              <w:spacing w:after="0"/>
              <w:jc w:val="center"/>
            </w:pPr>
            <w:r>
              <w:rPr>
                <w:rFonts w:eastAsia="Times New Roman" w:cs="Times New Roman"/>
                <w:sz w:val="20"/>
              </w:rPr>
              <w:t>−0.042 (−0.069 to −0.015)</w:t>
            </w:r>
            <w:r>
              <w:rPr>
                <w:rFonts w:eastAsia="Times New Roman" w:cs="Times New Roman"/>
                <w:sz w:val="20"/>
              </w:rPr>
              <w:br/>
              <w:t>P=.002</w:t>
            </w:r>
          </w:p>
        </w:tc>
        <w:tc>
          <w:tcPr>
            <w:tcW w:w="1181" w:type="dxa"/>
            <w:shd w:val="clear" w:color="auto" w:fill="FFFFFF"/>
            <w:tcMar>
              <w:top w:w="75" w:type="dxa"/>
              <w:left w:w="70" w:type="dxa"/>
              <w:bottom w:w="75" w:type="dxa"/>
              <w:right w:w="70" w:type="dxa"/>
            </w:tcMar>
            <w:vAlign w:val="center"/>
          </w:tcPr>
          <w:p w14:paraId="27009E18" w14:textId="77777777" w:rsidR="00B132A4" w:rsidRDefault="00000000">
            <w:pPr>
              <w:spacing w:after="0"/>
              <w:jc w:val="center"/>
            </w:pPr>
            <w:r>
              <w:rPr>
                <w:rFonts w:eastAsia="Times New Roman" w:cs="Times New Roman"/>
                <w:sz w:val="20"/>
              </w:rPr>
              <w:t>0.335</w:t>
            </w:r>
          </w:p>
        </w:tc>
        <w:tc>
          <w:tcPr>
            <w:tcW w:w="4363" w:type="dxa"/>
            <w:shd w:val="clear" w:color="auto" w:fill="FFFFFF"/>
            <w:tcMar>
              <w:top w:w="75" w:type="dxa"/>
              <w:left w:w="70" w:type="dxa"/>
              <w:bottom w:w="75" w:type="dxa"/>
              <w:right w:w="70" w:type="dxa"/>
            </w:tcMar>
            <w:vAlign w:val="center"/>
          </w:tcPr>
          <w:p w14:paraId="5DBDD183" w14:textId="77777777" w:rsidR="00B132A4" w:rsidRDefault="00000000">
            <w:pPr>
              <w:spacing w:after="0"/>
              <w:jc w:val="center"/>
            </w:pPr>
            <w:r>
              <w:rPr>
                <w:rFonts w:eastAsia="Times New Roman" w:cs="Times New Roman"/>
                <w:sz w:val="20"/>
              </w:rPr>
              <w:t>−0.019 (−0.034 to −0.004)</w:t>
            </w:r>
            <w:r>
              <w:rPr>
                <w:rFonts w:eastAsia="Times New Roman" w:cs="Times New Roman"/>
                <w:sz w:val="20"/>
              </w:rPr>
              <w:br/>
              <w:t>P=.01</w:t>
            </w:r>
          </w:p>
        </w:tc>
      </w:tr>
      <w:tr w:rsidR="00B132A4" w14:paraId="2D5BFD42" w14:textId="77777777">
        <w:trPr>
          <w:cantSplit/>
          <w:jc w:val="center"/>
        </w:trPr>
        <w:tc>
          <w:tcPr>
            <w:tcW w:w="3672" w:type="dxa"/>
            <w:shd w:val="clear" w:color="auto" w:fill="FFFFFF"/>
            <w:tcMar>
              <w:top w:w="75" w:type="dxa"/>
              <w:left w:w="70" w:type="dxa"/>
              <w:bottom w:w="75" w:type="dxa"/>
              <w:right w:w="70" w:type="dxa"/>
            </w:tcMar>
            <w:vAlign w:val="center"/>
          </w:tcPr>
          <w:p w14:paraId="789B466D" w14:textId="77777777" w:rsidR="00B132A4" w:rsidRDefault="00000000">
            <w:pPr>
              <w:spacing w:after="0"/>
            </w:pPr>
            <w:r>
              <w:rPr>
                <w:rFonts w:eastAsia="Times New Roman" w:cs="Times New Roman"/>
                <w:sz w:val="20"/>
              </w:rPr>
              <w:t>Mean pooling</w:t>
            </w:r>
          </w:p>
        </w:tc>
        <w:tc>
          <w:tcPr>
            <w:tcW w:w="1181" w:type="dxa"/>
            <w:shd w:val="clear" w:color="auto" w:fill="FFFFFF"/>
            <w:tcMar>
              <w:top w:w="75" w:type="dxa"/>
              <w:left w:w="70" w:type="dxa"/>
              <w:bottom w:w="75" w:type="dxa"/>
              <w:right w:w="70" w:type="dxa"/>
            </w:tcMar>
            <w:vAlign w:val="center"/>
          </w:tcPr>
          <w:p w14:paraId="77E9BB54" w14:textId="77777777" w:rsidR="00B132A4" w:rsidRDefault="00000000">
            <w:pPr>
              <w:spacing w:after="0"/>
              <w:jc w:val="center"/>
            </w:pPr>
            <w:r>
              <w:rPr>
                <w:rFonts w:eastAsia="Times New Roman" w:cs="Times New Roman"/>
                <w:sz w:val="20"/>
              </w:rPr>
              <w:t>0.529</w:t>
            </w:r>
          </w:p>
        </w:tc>
        <w:tc>
          <w:tcPr>
            <w:tcW w:w="4277" w:type="dxa"/>
            <w:shd w:val="clear" w:color="auto" w:fill="FFFFFF"/>
            <w:tcMar>
              <w:top w:w="75" w:type="dxa"/>
              <w:left w:w="70" w:type="dxa"/>
              <w:bottom w:w="75" w:type="dxa"/>
              <w:right w:w="70" w:type="dxa"/>
            </w:tcMar>
            <w:vAlign w:val="center"/>
          </w:tcPr>
          <w:p w14:paraId="5CC48FC2" w14:textId="77777777" w:rsidR="00B132A4" w:rsidRDefault="00000000">
            <w:pPr>
              <w:spacing w:after="0"/>
              <w:jc w:val="center"/>
            </w:pPr>
            <w:r>
              <w:rPr>
                <w:rFonts w:eastAsia="Times New Roman" w:cs="Times New Roman"/>
                <w:sz w:val="20"/>
              </w:rPr>
              <w:t>−0.049 (−0.078 to −0.020)</w:t>
            </w:r>
            <w:r>
              <w:rPr>
                <w:rFonts w:eastAsia="Times New Roman" w:cs="Times New Roman"/>
                <w:sz w:val="20"/>
              </w:rPr>
              <w:br/>
              <w:t>P&lt;.001</w:t>
            </w:r>
          </w:p>
        </w:tc>
        <w:tc>
          <w:tcPr>
            <w:tcW w:w="1181" w:type="dxa"/>
            <w:shd w:val="clear" w:color="auto" w:fill="FFFFFF"/>
            <w:tcMar>
              <w:top w:w="75" w:type="dxa"/>
              <w:left w:w="70" w:type="dxa"/>
              <w:bottom w:w="75" w:type="dxa"/>
              <w:right w:w="70" w:type="dxa"/>
            </w:tcMar>
            <w:vAlign w:val="center"/>
          </w:tcPr>
          <w:p w14:paraId="7BCBE442" w14:textId="77777777" w:rsidR="00B132A4" w:rsidRDefault="00000000">
            <w:pPr>
              <w:spacing w:after="0"/>
              <w:jc w:val="center"/>
            </w:pPr>
            <w:r>
              <w:rPr>
                <w:rFonts w:eastAsia="Times New Roman" w:cs="Times New Roman"/>
                <w:sz w:val="20"/>
              </w:rPr>
              <w:t>0.331</w:t>
            </w:r>
          </w:p>
        </w:tc>
        <w:tc>
          <w:tcPr>
            <w:tcW w:w="4363" w:type="dxa"/>
            <w:shd w:val="clear" w:color="auto" w:fill="FFFFFF"/>
            <w:tcMar>
              <w:top w:w="75" w:type="dxa"/>
              <w:left w:w="70" w:type="dxa"/>
              <w:bottom w:w="75" w:type="dxa"/>
              <w:right w:w="70" w:type="dxa"/>
            </w:tcMar>
            <w:vAlign w:val="center"/>
          </w:tcPr>
          <w:p w14:paraId="5800AF90" w14:textId="77777777" w:rsidR="00B132A4" w:rsidRDefault="00000000">
            <w:pPr>
              <w:spacing w:after="0"/>
              <w:jc w:val="center"/>
            </w:pPr>
            <w:r>
              <w:rPr>
                <w:rFonts w:eastAsia="Times New Roman" w:cs="Times New Roman"/>
                <w:sz w:val="20"/>
              </w:rPr>
              <w:t>−0.023 (−0.040 to −0.006)</w:t>
            </w:r>
            <w:r>
              <w:rPr>
                <w:rFonts w:eastAsia="Times New Roman" w:cs="Times New Roman"/>
                <w:sz w:val="20"/>
              </w:rPr>
              <w:br/>
              <w:t>P=.008</w:t>
            </w:r>
          </w:p>
        </w:tc>
      </w:tr>
    </w:tbl>
    <w:p w14:paraId="3D0F8D91" w14:textId="77777777" w:rsidR="00B132A4" w:rsidRDefault="00000000">
      <w:r>
        <w:rPr>
          <w:rFonts w:eastAsia="Times New Roman" w:cs="Times New Roman"/>
          <w:sz w:val="20"/>
        </w:rPr>
        <w:t xml:space="preserve">ΔAUPRC = variant minus the BiLSTM reference; negative values favor the reference. P values are nominal and multiplicity-unadjusted. MIMIC-IV AUROC and five-seed AUPRC SDs are reported in Table S29. CNN contrasts included zero in both cohorts; these comparisons neither establish equivalence nor an exclusive requirement for BiLSTM. The within-patch </w:t>
      </w:r>
      <w:r>
        <w:rPr>
          <w:rFonts w:eastAsia="Times New Roman" w:cs="Times New Roman"/>
          <w:sz w:val="20"/>
        </w:rPr>
        <w:lastRenderedPageBreak/>
        <w:t>MLP here differs from the nonhierarchical MLP in Table S30. CNN and MLP have 1,859,073 and 1,846,449 total parameters, respectively (+0.790% and +0.105%); module counts and scoring details are in Table S29b. Order-shuffling metrics use the mean of ten probability predictions per patient, separately from the five training-seed repetitions.</w:t>
      </w:r>
    </w:p>
    <w:p w14:paraId="18B6BD2F" w14:textId="77777777" w:rsidR="00B132A4" w:rsidRDefault="00B132A4">
      <w:pPr>
        <w:sectPr w:rsidR="00B132A4">
          <w:pgSz w:w="16838" w:h="11906" w:orient="landscape"/>
          <w:pgMar w:top="936" w:right="936" w:bottom="936" w:left="936" w:header="360" w:footer="360" w:gutter="0"/>
          <w:cols w:space="720"/>
          <w:docGrid w:linePitch="360"/>
        </w:sectPr>
      </w:pPr>
    </w:p>
    <w:p w14:paraId="35846ED2" w14:textId="77777777" w:rsidR="00B132A4" w:rsidRDefault="00000000">
      <w:pPr>
        <w:pStyle w:val="21"/>
        <w:keepLines w:val="0"/>
      </w:pPr>
      <w:r>
        <w:rPr>
          <w:rFonts w:ascii="Times New Roman" w:eastAsia="Times New Roman" w:hAnsi="Times New Roman" w:cs="Times New Roman"/>
        </w:rPr>
        <w:lastRenderedPageBreak/>
        <w:t>Performance and probability accuracy in hospital records</w:t>
      </w:r>
    </w:p>
    <w:p w14:paraId="349C315A" w14:textId="77777777" w:rsidR="00B132A4" w:rsidRDefault="00000000">
      <w:r>
        <w:rPr>
          <w:rFonts w:eastAsia="Times New Roman" w:cs="Times New Roman"/>
        </w:rPr>
        <w:t>Hallym in-hospital AUPRC was 0.575 versus 0.480 for LSTM, 0.535 for Transformer, and 0.510 for TBAL. Paired gains were 0.095 (95% CI 0.052–0.137), 0.040 (0.009–0.071), and 0.065 (0.027–0.102), respectively (Table S5b). PatchFusion AUROC was 0.771; transported-threshold sensitivity/specificity were 0.881/0.570. Seven-day AUPRC was 0.318 versus 0.248, 0.271, and 0.285. The gain over LSTM excluded zero, while Transformer and TBAL intervals included zero. Seven-day AUROC was 0.838, with sensitivity/specificity 0.908/0.681 (Tables S10–S11).</w:t>
      </w:r>
    </w:p>
    <w:p w14:paraId="671E12F9" w14:textId="77777777" w:rsidR="00B132A4" w:rsidRDefault="00000000">
      <w:r>
        <w:rPr>
          <w:rFonts w:eastAsia="Times New Roman" w:cs="Times New Roman"/>
        </w:rPr>
        <w:t>Seven-day AUPRC exceeded qSOFA (0.092) and SOFA-2 (0.116). The locked cutpoint flagged 389 stays: 59 deaths and 330 survivors (positive predictive value 0.152; 35.4 flags per 100 stays). However, Brier score was 0.055, close to the prevalence-only null of 0.0556 and higher than TBAL 0.044, Transformer 0.047, and LSTM 0.049. Calibration intercept/slope were 0.02/1.65 for seven-day and −0.37/0.88 for in-hospital mortality (Table S15). Decision-curve net benefit was negative at probability thresholds 0.20 and 0.30 (Table S26B). These thresholds differ from the transported Youden cutpoint.</w:t>
      </w:r>
    </w:p>
    <w:p w14:paraId="07CACD07" w14:textId="77777777" w:rsidR="00B132A4" w:rsidRDefault="00000000">
      <w:pPr>
        <w:pStyle w:val="21"/>
        <w:keepLines w:val="0"/>
      </w:pPr>
      <w:r>
        <w:rPr>
          <w:rFonts w:ascii="Times New Roman" w:eastAsia="Times New Roman" w:hAnsi="Times New Roman" w:cs="Times New Roman"/>
        </w:rPr>
        <w:t>Prospective scoring and additional analyses</w:t>
      </w:r>
    </w:p>
    <w:p w14:paraId="0A282E9B" w14:textId="77777777" w:rsidR="00B132A4" w:rsidRDefault="00000000">
      <w:r>
        <w:rPr>
          <w:rFonts w:eastAsia="Times New Roman" w:cs="Times New Roman"/>
        </w:rPr>
        <w:t>Prospective-only AUROC/AUPRC were 0.821/0.295 for seven-day mortality and 0.701/0.548 for in-hospital mortality (279 scored stays; Table S11c). The calendar-period analysis yielded later-minus-earlier differences of −0.041 for AUROC (95% CI −0.118 to 0.036) and −0.042 for AUPRC (−0.248 to 0.164); with 21 later-period events, both increases and decreases remained plausible. Across hospitals, seven-day AUROC ranged from 0.771 to 0.891 and AUPRC from 0.241 to 0.372 (Tables S17–S18).</w:t>
      </w:r>
    </w:p>
    <w:p w14:paraId="4290B877" w14:textId="77777777" w:rsidR="00B132A4" w:rsidRDefault="00000000">
      <w:r>
        <w:rPr>
          <w:rFonts w:eastAsia="Times New Roman" w:cs="Times New Roman"/>
        </w:rPr>
        <w:t xml:space="preserve">At matched MIMIC-IV sensitivity 0.701, PatchFusion required 3.58 flags per 100 stays versus 14.5 for PatchTST. At 4.94 flags per 100, sensitivities were 0.850 versus 0.654 (Table </w:t>
      </w:r>
      <w:r>
        <w:rPr>
          <w:rFonts w:eastAsia="Times New Roman" w:cs="Times New Roman"/>
        </w:rPr>
        <w:lastRenderedPageBreak/>
        <w:t>S28). These are selected development operating comparisons. Hallym net-benefit difference versus PatchTST at 0.20 was 0.0130 (95% CI 0.000–0.026); other tabulated intervals included zero. Additional decision-curve and operating analyses are in Tables S26–S28.</w:t>
      </w:r>
    </w:p>
    <w:p w14:paraId="450183FF" w14:textId="77777777" w:rsidR="00B132A4" w:rsidRDefault="00000000">
      <w:r>
        <w:rPr>
          <w:rFonts w:eastAsia="Times New Roman" w:cs="Times New Roman"/>
        </w:rPr>
        <w:t>Five-seed PatchFusion mean AUROC/AUPRC were 0.978/0.576 (SD 0.002/0.004). Pooled out-of-fold and final-model score scales had concordance 0.972 (95% CI 0.968–0.975). The 1.84-million-parameter model required 6.2 hours for training; inference of 12.4 ms/stay is batch-throughput wall-clock divided by 300 on an NVIDIA L40S, not batch-1 latency (Tables S19–S21). Exploratory influenza-subcohort retraining is reported in Table S8.</w:t>
      </w:r>
    </w:p>
    <w:p w14:paraId="6631B483" w14:textId="77777777" w:rsidR="00B132A4" w:rsidRDefault="00000000">
      <w:pPr>
        <w:pStyle w:val="1"/>
        <w:keepLines w:val="0"/>
      </w:pPr>
      <w:r>
        <w:rPr>
          <w:rFonts w:ascii="Times New Roman" w:eastAsia="Times New Roman" w:hAnsi="Times New Roman" w:cs="Times New Roman"/>
        </w:rPr>
        <w:t>DISCUSSION</w:t>
      </w:r>
    </w:p>
    <w:p w14:paraId="1BE6EE7E" w14:textId="77777777" w:rsidR="00B132A4" w:rsidRDefault="00000000">
      <w:pPr>
        <w:pStyle w:val="21"/>
        <w:keepLines w:val="0"/>
      </w:pPr>
      <w:r>
        <w:rPr>
          <w:rFonts w:ascii="Times New Roman" w:eastAsia="Times New Roman" w:hAnsi="Times New Roman" w:cs="Times New Roman"/>
        </w:rPr>
        <w:t>Representation design and external performance</w:t>
      </w:r>
    </w:p>
    <w:p w14:paraId="055816A4" w14:textId="77777777" w:rsidR="00B132A4" w:rsidRDefault="00000000">
      <w:r>
        <w:rPr>
          <w:rFonts w:eastAsia="Times New Roman" w:cs="Times New Roman"/>
        </w:rPr>
        <w:t>The study links a defined representation design to frozen external testing and evaluation in routine hospital records. PatchFusion forms recurrent states independently within each patch, using shared weights, then supplies the resulting multivariate trajectory tokens to global attention. This specifies the local computation boundaries and the information available for global interaction. Frozen eICU-CRD gains over hierarchical benchmarks and matched reversals support the evaluated pathway; Hallym in-hospital gains provide complementary hospital evidence for separately fitted secondary-endpoint models. Parameter matching constrains a capacity explanation, token matching examines attention length, and additional patch settings assess segmentation dependence.</w:t>
      </w:r>
    </w:p>
    <w:p w14:paraId="1F695444" w14:textId="77777777" w:rsidR="00B132A4" w:rsidRDefault="00000000">
      <w:r>
        <w:rPr>
          <w:rFonts w:eastAsia="Times New Roman" w:cs="Times New Roman"/>
        </w:rPr>
        <w:t xml:space="preserve">Encoder comparisons further examine the content supplied to attention. Lower performance with shuffling, linear projection, and mean pooling supports representations that retain within-patch temporal structure. CNN differences remained uncertain, so the evidence does not establish BiLSTM as uniquely necessary. Reversals also change token formation and context injection; they therefore do not isolate processing order as the cause of the gains. </w:t>
      </w:r>
      <w:r>
        <w:rPr>
          <w:rFonts w:eastAsia="Times New Roman" w:cs="Times New Roman"/>
        </w:rPr>
        <w:lastRenderedPageBreak/>
        <w:t>Fixed patches are computational intervals rather than annotated clinical episodes. Clinician reasoning and agreement between attention weights and clinical judgments were not measured.</w:t>
      </w:r>
    </w:p>
    <w:p w14:paraId="26D28182" w14:textId="77777777" w:rsidR="00B132A4" w:rsidRDefault="00000000">
      <w:pPr>
        <w:pStyle w:val="21"/>
        <w:keepLines w:val="0"/>
      </w:pPr>
      <w:r>
        <w:rPr>
          <w:rFonts w:ascii="Times New Roman" w:eastAsia="Times New Roman" w:hAnsi="Times New Roman" w:cs="Times New Roman"/>
        </w:rPr>
        <w:t>What hospital evaluation adds</w:t>
      </w:r>
    </w:p>
    <w:p w14:paraId="74BF12AB" w14:textId="77777777" w:rsidR="00B132A4" w:rsidRDefault="00000000">
      <w:r>
        <w:rPr>
          <w:rFonts w:eastAsia="Times New Roman" w:cs="Times New Roman"/>
        </w:rPr>
        <w:t>Hallym extends the evidence to routine EHR capture through separately fitted, frozen endpoint models. In-hospital AUPRC was 0.575 versus 0.535 for Transformer and 0.510 for TBAL; paired gains of 0.040 and 0.065 had intervals excluding zero, as did the LSTM gain of 0.095 (Table S5b). These comparisons demonstrate a ranking advantage under the same transfer and missing-feature conditions. Seven-day AUPRC also had the highest point estimate, although its Transformer and TBAL differences were imprecise. The hospital assessment establishes how endpoint-specific prediction behaves when input availability and data capture depart from the development setting. It complements the primary-endpoint reversal comparisons in MIMIC-IV and eICU-CRD, which were not repeated at Hallym.</w:t>
      </w:r>
    </w:p>
    <w:p w14:paraId="613C1E09" w14:textId="77777777" w:rsidR="00B132A4" w:rsidRDefault="00000000">
      <w:r>
        <w:rPr>
          <w:rFonts w:eastAsia="Times New Roman" w:cs="Times New Roman"/>
        </w:rPr>
        <w:t xml:space="preserve">The hospital evaluation distinguished mortality ranking from probability accuracy and the operating consequences of a transported threshold. Hallym seven-day AUPRC of 0.318 coexisted with Brier score 0.055 versus a prevalence-only reference of 0.0556, calibration slope 1.65, and a lower TBAL Brier score of 0.044 (Table S15). The source-selected Youden rule flagged 389 stays, comprising 59 seven-day deaths and 330 seven-day survivors: 35.4 flags per 100 stays, with positive predictive value 0.152. This quantifies the potential reassessment burden associated with the transported rule; it does not measure clinician workload or establish that survivor reviews would be unnecessary. Net-benefit point estimates were negative at probability thresholds 0.20 and 0.30, while the PatchFusion-minus-PatchTST difference at 0.20 was 0.0130 (95% CI 0.000–0.026; P=.05), with the reported lower bound at zero. The other tabulated difference intervals included zero (Table </w:t>
      </w:r>
      <w:r>
        <w:rPr>
          <w:rFonts w:eastAsia="Times New Roman" w:cs="Times New Roman"/>
        </w:rPr>
        <w:lastRenderedPageBreak/>
        <w:t>S26B). These findings identify probability calibration and a threshold aligned with local review capacity as decisions that cannot be resolved by AUPRC ranking alone. The negative net-benefit estimates apply to the tested thresholds, rather than every possible review policy. Recalibration or threshold reselection would create an adapted system requiring assessment in subsequent patients.</w:t>
      </w:r>
    </w:p>
    <w:p w14:paraId="5A59191B" w14:textId="77777777" w:rsidR="00B132A4" w:rsidRDefault="00000000">
      <w:r>
        <w:rPr>
          <w:rFonts w:eastAsia="Times New Roman" w:cs="Times New Roman"/>
        </w:rPr>
        <w:t>Hospital transfer combined incomplete input availability, different case mix, and routine capture practices. Seven of 22 source channels were unavailable; Hallym patients were older, recurrent stays were allowed, and in-hospital mortality prevalence differed. Seven-day AUPRC decreased from 0.542 in MIMIC-IV to 0.318 in Hallym despite similar prevalence (6.0% versus 5.9%). These observations do not separate the effects of missing channels, case mix, and capture. Prospective score availability of 279/323 eligible admissions further identifies a recording condition that benchmark discrimination does not measure.</w:t>
      </w:r>
    </w:p>
    <w:p w14:paraId="272518D8" w14:textId="77777777" w:rsidR="00B132A4" w:rsidRDefault="00000000">
      <w:pPr>
        <w:pStyle w:val="21"/>
        <w:keepLines w:val="0"/>
      </w:pPr>
      <w:r>
        <w:rPr>
          <w:rFonts w:ascii="Times New Roman" w:eastAsia="Times New Roman" w:hAnsi="Times New Roman" w:cs="Times New Roman"/>
        </w:rPr>
        <w:t>Limitations and next evaluation</w:t>
      </w:r>
    </w:p>
    <w:p w14:paraId="5536EFDB" w14:textId="77777777" w:rsidR="00B132A4" w:rsidRDefault="00000000">
      <w:r>
        <w:rPr>
          <w:rFonts w:eastAsia="Times New Roman" w:cs="Times New Roman"/>
        </w:rPr>
        <w:t xml:space="preserve">The study evaluates a clinically motivated representation architecture within the reported ICU prediction setting. Its contribution is patch-confined recurrent state formation and sequence-derived attention inputs; the comparisons support performance of the complete pathway. Clinician reasoning and the alignment of attention weights with clinical judgments were not measured, and fixed patches are computational intervals rather than annotated clinical episodes. Reversal controls change token representation and the placement of global interaction; token matching retains different token formation and context injection, so the comparisons identify a preferred complete pathway rather than the isolated effect of processing order. Hi-Patch and LGTRL-DE use common-input adaptations that change the published irregular-observation or demographic/static conditions. Their performance applies to the evaluated implementations. MIMIC-IV uses a shared configuration selected during </w:t>
      </w:r>
      <w:r>
        <w:rPr>
          <w:rFonts w:eastAsia="Times New Roman" w:cs="Times New Roman"/>
        </w:rPr>
        <w:lastRenderedPageBreak/>
        <w:t>development, so its estimates are not fully nested and may be optimistic. Comparisons are exploratory and multiplicity-unadjusted; bootstrap intervals condition on evaluated predictions. Frozen eICU-CRD results strengthen transfer evidence, with reported reversal difference intervals excluding zero. Hallym evaluates separate secondary endpoints, with uncertain seven-day differences against Transformer and TBAL. CNN and MLP have near-matched parameter counts but different operators and aggregation, and non-significant CNN differences do not establish equivalence. The order-shuffling comparison evaluates a variant trained and evaluated with fresh within-window permutations and ten-draw probability averaging at final evaluation. It does not measure a test-only perturbation of the normally trained model, and other input channels may retain temporal information (Table S29b).</w:t>
      </w:r>
    </w:p>
    <w:p w14:paraId="379C9926" w14:textId="77777777" w:rsidR="00B132A4" w:rsidRDefault="00000000">
      <w:r>
        <w:rPr>
          <w:rFonts w:eastAsia="Times New Roman" w:cs="Times New Roman"/>
        </w:rPr>
        <w:t>The operating analyses identify local probability assessment and review-policy selection as implementation questions. Source-selected Youden thresholds do not encode clinical costs, and same-cohort matched-threshold analyses are descriptive. Hallym silent scoring documented both ranking performance and an operational recording gap: timestamped scores were available for 279/323 eligible admissions (86.4%), while the remaining 44 could not be distinguished as non-generation versus non-retention/export. This finding identifies score generation, retention, and export as separate processes to audit before evaluating a score-guided clinical workflow. Scores were withheld from clinicians, so the recorded classifications do not measure clinician responses or changes in patient outcomes. Outcome-ascertainment exclusions may select the analytic cohort. Applicability is restricted to adults aged 18–80 years alive in the ICU at hour 12, and the short score-to-death intervals reported in the development lead-time analysis make response time an essential implementation outcome. Detailed outcome and bedside-score mapping sensitivities are reported in Supplementary Methods.</w:t>
      </w:r>
    </w:p>
    <w:p w14:paraId="0DAC1290" w14:textId="77777777" w:rsidR="00B132A4" w:rsidRDefault="00000000">
      <w:r>
        <w:rPr>
          <w:rFonts w:eastAsia="Times New Roman" w:cs="Times New Roman"/>
        </w:rPr>
        <w:lastRenderedPageBreak/>
        <w:t>The findings specify the next evaluation: assess local calibration and, if needed, reserve local data for recalibration; select a reassessment threshold that reflects review capacity and clinical costs; and audit score generation, retention, and export to resolve the observed coverage gap. The resulting policy should then be assessed in subsequent patients, with prespecified measures of response time, reassessment appropriateness, overrides, workload, unintended consequences, and patient outcomes. This would test whether the observed ranking gains translate into clinical benefit under a defined, operationally reliable review workflow.</w:t>
      </w:r>
    </w:p>
    <w:p w14:paraId="1D50C3EE" w14:textId="77777777" w:rsidR="00B132A4" w:rsidRDefault="00000000">
      <w:pPr>
        <w:pStyle w:val="1"/>
        <w:keepLines w:val="0"/>
      </w:pPr>
      <w:r>
        <w:rPr>
          <w:rFonts w:ascii="Times New Roman" w:eastAsia="Times New Roman" w:hAnsi="Times New Roman" w:cs="Times New Roman"/>
        </w:rPr>
        <w:t>CONCLUSION</w:t>
      </w:r>
    </w:p>
    <w:p w14:paraId="3E793BFB" w14:textId="77777777" w:rsidR="00B132A4" w:rsidRDefault="00000000">
      <w:r>
        <w:rPr>
          <w:rFonts w:eastAsia="Times New Roman" w:cs="Times New Roman"/>
        </w:rPr>
        <w:t>Independently formed recurrent patch summaries improved ICU mortality prediction under the evaluated conditions, with retained gains in frozen eICU-CRD testing and complementary in-hospital ranking gains at four Hallym hospitals. The evidence supports the complete representation pathway without assigning the gains to processing order alone or establishing an exclusive need for BiLSTM. Hospital evaluation further showed that ranking gains can coexist with a seven-day Brier score near the prevalence-only reference, 35.4 flagged stays per 100, and prospective recorded score coverage of 86.4%. These findings identify local calibration assessment, threshold selection aligned with review capacity, and score-capture audits as concrete priorities for prospective evaluation of clinical benefit.</w:t>
      </w:r>
    </w:p>
    <w:p w14:paraId="4BFEE0B4" w14:textId="77777777" w:rsidR="00B132A4" w:rsidRDefault="00000000">
      <w:pPr>
        <w:pStyle w:val="1"/>
        <w:keepNext w:val="0"/>
        <w:keepLines w:val="0"/>
      </w:pPr>
      <w:r>
        <w:rPr>
          <w:rFonts w:ascii="Times New Roman" w:eastAsia="Times New Roman" w:hAnsi="Times New Roman" w:cs="Times New Roman"/>
        </w:rPr>
        <w:t>ACKNOWLEDGMENTS</w:t>
      </w:r>
    </w:p>
    <w:p w14:paraId="0BFF2F0A" w14:textId="1B5E42E0" w:rsidR="00B132A4" w:rsidRDefault="00000000">
      <w:pPr>
        <w:rPr>
          <w:lang w:eastAsia="ko-KR"/>
        </w:rPr>
      </w:pPr>
      <w:r>
        <w:rPr>
          <w:rFonts w:eastAsia="Times New Roman" w:cs="Times New Roman"/>
        </w:rPr>
        <w:t>The authors thank Yongseop Lee, MD, for facilitating the acquisition of the Hallym University Medical Center cohort, providing clinical expertise in the interpretation of intensive care unit variables and mortality outcomes, and reviewing the clinical plausibility and relevance of the study findings</w:t>
      </w:r>
      <w:r w:rsidR="00D1615F">
        <w:rPr>
          <w:rFonts w:eastAsia="Times New Roman" w:cs="Times New Roman" w:hint="eastAsia"/>
          <w:lang w:eastAsia="ko-KR"/>
        </w:rPr>
        <w:t>.</w:t>
      </w:r>
    </w:p>
    <w:p w14:paraId="57BC3759" w14:textId="77777777" w:rsidR="00B132A4" w:rsidRDefault="00000000">
      <w:pPr>
        <w:pStyle w:val="1"/>
        <w:keepNext w:val="0"/>
        <w:keepLines w:val="0"/>
      </w:pPr>
      <w:r>
        <w:rPr>
          <w:rFonts w:ascii="Times New Roman" w:eastAsia="Times New Roman" w:hAnsi="Times New Roman" w:cs="Times New Roman"/>
        </w:rPr>
        <w:t>COMPETING INTERESTS</w:t>
      </w:r>
    </w:p>
    <w:p w14:paraId="6AA42B52" w14:textId="77777777" w:rsidR="00B132A4" w:rsidRDefault="00000000">
      <w:r>
        <w:rPr>
          <w:rFonts w:eastAsia="Times New Roman" w:cs="Times New Roman"/>
        </w:rPr>
        <w:lastRenderedPageBreak/>
        <w:t>The authors declare that they have no known competing financial interests or personal relationships that could have appeared to influence the work reported in this paper.</w:t>
      </w:r>
    </w:p>
    <w:p w14:paraId="371EC866" w14:textId="77777777" w:rsidR="00B132A4" w:rsidRDefault="00000000">
      <w:pPr>
        <w:pStyle w:val="1"/>
        <w:keepNext w:val="0"/>
        <w:keepLines w:val="0"/>
      </w:pPr>
      <w:r>
        <w:rPr>
          <w:rFonts w:ascii="Times New Roman" w:eastAsia="Times New Roman" w:hAnsi="Times New Roman" w:cs="Times New Roman"/>
        </w:rPr>
        <w:t>FUNDING</w:t>
      </w:r>
    </w:p>
    <w:p w14:paraId="32FAC234" w14:textId="77777777" w:rsidR="00B132A4" w:rsidRDefault="00000000">
      <w:r>
        <w:rPr>
          <w:rFonts w:eastAsia="Times New Roman" w:cs="Times New Roman"/>
        </w:rPr>
        <w:t>This research was supported by a grant from the project ‘Research and Development for Enhancing Infectious Disease Response Capacity in Medical &amp; Healthcare Settings,’ funded by the Korea Disease Control and Prevention Agency and the Ministry of Health &amp; Welfare, Republic of Korea (grant number RS-2025-02310471). The funders had no role in the design and conduct of the study; collection, management, analysis, and interpretation of the data; preparation, review, or approval of the manuscript; or the decision to submit the manuscript for publication.</w:t>
      </w:r>
    </w:p>
    <w:p w14:paraId="58F913DD" w14:textId="77777777" w:rsidR="00B132A4" w:rsidRDefault="00000000">
      <w:pPr>
        <w:pStyle w:val="1"/>
        <w:keepNext w:val="0"/>
        <w:keepLines w:val="0"/>
      </w:pPr>
      <w:r>
        <w:rPr>
          <w:rFonts w:ascii="Times New Roman" w:eastAsia="Times New Roman" w:hAnsi="Times New Roman" w:cs="Times New Roman"/>
        </w:rPr>
        <w:t>AUTHOR CONTRIBUTIONS</w:t>
      </w:r>
    </w:p>
    <w:p w14:paraId="667BF05B" w14:textId="77777777" w:rsidR="00B132A4" w:rsidRDefault="00000000">
      <w:r>
        <w:rPr>
          <w:rFonts w:eastAsia="Times New Roman" w:cs="Times New Roman"/>
        </w:rPr>
        <w:t>Jaehong Kim: Conceptualization, Data curation, Formal analysis, Investigation, Writing – original draft.</w:t>
      </w:r>
    </w:p>
    <w:p w14:paraId="3BC0C28D" w14:textId="77777777" w:rsidR="00B132A4" w:rsidRDefault="00000000">
      <w:r>
        <w:rPr>
          <w:rFonts w:eastAsia="Times New Roman" w:cs="Times New Roman"/>
        </w:rPr>
        <w:t>Seohyeon Yoo: Investigation, Writing – review and editing.</w:t>
      </w:r>
    </w:p>
    <w:p w14:paraId="6CF47FD9" w14:textId="77777777" w:rsidR="00B132A4" w:rsidRDefault="00000000">
      <w:r>
        <w:rPr>
          <w:rFonts w:eastAsia="Times New Roman" w:cs="Times New Roman"/>
        </w:rPr>
        <w:t>Jaehyuk Cho: Conceptualization, Investigation, Supervision, Writing – review and editing.</w:t>
      </w:r>
    </w:p>
    <w:p w14:paraId="7AD9A5DC" w14:textId="77777777" w:rsidR="00B132A4" w:rsidRDefault="00000000">
      <w:pPr>
        <w:pStyle w:val="1"/>
        <w:keepNext w:val="0"/>
        <w:keepLines w:val="0"/>
      </w:pPr>
      <w:r>
        <w:rPr>
          <w:rFonts w:ascii="Times New Roman" w:eastAsia="Times New Roman" w:hAnsi="Times New Roman" w:cs="Times New Roman"/>
        </w:rPr>
        <w:t>DATA AVAILABILITY</w:t>
      </w:r>
    </w:p>
    <w:p w14:paraId="0ABCD6B2" w14:textId="77777777" w:rsidR="00B132A4" w:rsidRDefault="00000000">
      <w:r>
        <w:rPr>
          <w:rFonts w:eastAsia="Times New Roman" w:cs="Times New Roman"/>
        </w:rPr>
        <w:t>MIMIC-IV version 3.1 (https://physionet.org/content/mimiciv/3.1/) and eICU-CRD (https://physionet.org/content/eicu-crd/2.0/) are available through PhysioNet subject to credentialing and data use agreements. Hallym patient-level data are restricted by institutional data-sharing requirements. The implementation and public development notebook will be made publicly available upon publication.</w:t>
      </w:r>
    </w:p>
    <w:p w14:paraId="09852231" w14:textId="77777777" w:rsidR="00B132A4" w:rsidRDefault="00000000">
      <w:pPr>
        <w:pStyle w:val="1"/>
        <w:keepNext w:val="0"/>
        <w:keepLines w:val="0"/>
      </w:pPr>
      <w:r>
        <w:rPr>
          <w:rFonts w:ascii="Times New Roman" w:eastAsia="Times New Roman" w:hAnsi="Times New Roman" w:cs="Times New Roman"/>
        </w:rPr>
        <w:t>SUPPLEMENTARY MATERIAL</w:t>
      </w:r>
    </w:p>
    <w:p w14:paraId="537D55C4" w14:textId="77777777" w:rsidR="00B132A4" w:rsidRDefault="00000000">
      <w:r>
        <w:rPr>
          <w:rFonts w:eastAsia="Times New Roman" w:cs="Times New Roman"/>
        </w:rPr>
        <w:lastRenderedPageBreak/>
        <w:t>Supplementary Methods, Tables S1–S30 (including letter-suffixed tables), and Figures S1–S6 are supplied in a separate document. Table S30 was relocated from the main-text representation comparison table; its values are unchanged.</w:t>
      </w:r>
    </w:p>
    <w:p w14:paraId="0A50213D" w14:textId="77777777" w:rsidR="00B132A4" w:rsidRDefault="00000000">
      <w:r>
        <w:br w:type="page"/>
      </w:r>
    </w:p>
    <w:p w14:paraId="3F17DD41" w14:textId="77777777" w:rsidR="00B132A4" w:rsidRDefault="00000000">
      <w:pPr>
        <w:pStyle w:val="1"/>
        <w:keepNext w:val="0"/>
        <w:keepLines w:val="0"/>
      </w:pPr>
      <w:r>
        <w:rPr>
          <w:rFonts w:ascii="Times New Roman" w:eastAsia="Times New Roman" w:hAnsi="Times New Roman" w:cs="Times New Roman"/>
        </w:rPr>
        <w:lastRenderedPageBreak/>
        <w:t>REFERENCES</w:t>
      </w:r>
    </w:p>
    <w:p w14:paraId="118FD404" w14:textId="77777777" w:rsidR="00B132A4" w:rsidRDefault="00000000">
      <w:r>
        <w:rPr>
          <w:rFonts w:eastAsia="Times New Roman" w:cs="Times New Roman"/>
          <w:sz w:val="22"/>
        </w:rPr>
        <w:t xml:space="preserve">1 Churpek MM, Adhikari R, Edelson DP. The value of vital sign trends for detecting clinical deterioration on the wards. </w:t>
      </w:r>
      <w:r>
        <w:rPr>
          <w:rFonts w:eastAsia="Times New Roman" w:cs="Times New Roman"/>
          <w:i/>
          <w:sz w:val="22"/>
        </w:rPr>
        <w:t>Resuscitation</w:t>
      </w:r>
      <w:r>
        <w:rPr>
          <w:rFonts w:eastAsia="Times New Roman" w:cs="Times New Roman"/>
          <w:sz w:val="22"/>
        </w:rPr>
        <w:t xml:space="preserve"> 2016;102:1-5. doi:10.1016/j.resuscitation.2016.02.005.</w:t>
      </w:r>
    </w:p>
    <w:p w14:paraId="55C56948" w14:textId="77777777" w:rsidR="00B132A4" w:rsidRDefault="00000000">
      <w:r>
        <w:rPr>
          <w:rFonts w:eastAsia="Times New Roman" w:cs="Times New Roman"/>
          <w:sz w:val="22"/>
        </w:rPr>
        <w:t xml:space="preserve">2 Hyland SL, Faltys M, Hüser M, et al. Early prediction of circulatory failure in the intensive care unit using machine learning. </w:t>
      </w:r>
      <w:r>
        <w:rPr>
          <w:rFonts w:eastAsia="Times New Roman" w:cs="Times New Roman"/>
          <w:i/>
          <w:sz w:val="22"/>
        </w:rPr>
        <w:t>Nat Med</w:t>
      </w:r>
      <w:r>
        <w:rPr>
          <w:rFonts w:eastAsia="Times New Roman" w:cs="Times New Roman"/>
          <w:sz w:val="22"/>
        </w:rPr>
        <w:t xml:space="preserve"> 2020;26(3):364-373. doi:10.1038/s41591-020-0789-4.</w:t>
      </w:r>
    </w:p>
    <w:p w14:paraId="1164C21B" w14:textId="77777777" w:rsidR="00B132A4" w:rsidRDefault="00000000">
      <w:r>
        <w:rPr>
          <w:rFonts w:eastAsia="Times New Roman" w:cs="Times New Roman"/>
          <w:sz w:val="22"/>
        </w:rPr>
        <w:t xml:space="preserve">3 Tsai CL, Lu TC, Wang CH, et al. Trajectories of vital signs and risk of in-hospital cardiac arrest. </w:t>
      </w:r>
      <w:r>
        <w:rPr>
          <w:rFonts w:eastAsia="Times New Roman" w:cs="Times New Roman"/>
          <w:i/>
          <w:sz w:val="22"/>
        </w:rPr>
        <w:t>Front Med (Lausanne)</w:t>
      </w:r>
      <w:r>
        <w:rPr>
          <w:rFonts w:eastAsia="Times New Roman" w:cs="Times New Roman"/>
          <w:sz w:val="22"/>
        </w:rPr>
        <w:t xml:space="preserve"> 2022;8:800943. doi:10.3389/fmed.2021.800943.</w:t>
      </w:r>
    </w:p>
    <w:p w14:paraId="61773C34" w14:textId="77777777" w:rsidR="00B132A4" w:rsidRDefault="00000000">
      <w:r>
        <w:rPr>
          <w:rFonts w:eastAsia="Times New Roman" w:cs="Times New Roman"/>
          <w:sz w:val="22"/>
        </w:rPr>
        <w:t xml:space="preserve">4 da Silva DB, Schmidt D, da Costa CA, et al. DeepSigns: A predictive model based on Deep Learning for the early detection of patient health deterioration. </w:t>
      </w:r>
      <w:r>
        <w:rPr>
          <w:rFonts w:eastAsia="Times New Roman" w:cs="Times New Roman"/>
          <w:i/>
          <w:sz w:val="22"/>
        </w:rPr>
        <w:t>Expert Syst Appl</w:t>
      </w:r>
      <w:r>
        <w:rPr>
          <w:rFonts w:eastAsia="Times New Roman" w:cs="Times New Roman"/>
          <w:sz w:val="22"/>
        </w:rPr>
        <w:t xml:space="preserve"> 2021;165:113905. doi:10.1016/j.eswa.2020.113905.</w:t>
      </w:r>
    </w:p>
    <w:p w14:paraId="364D9226" w14:textId="77777777" w:rsidR="00B132A4" w:rsidRDefault="00000000">
      <w:r>
        <w:rPr>
          <w:rFonts w:eastAsia="Times New Roman" w:cs="Times New Roman"/>
          <w:sz w:val="22"/>
        </w:rPr>
        <w:t xml:space="preserve">5 Sarkar R, Martin C, Mattie H, et al. Performance of intensive care unit severity scoring systems across different ethnicities in the USA: a retrospective observational study. </w:t>
      </w:r>
      <w:r>
        <w:rPr>
          <w:rFonts w:eastAsia="Times New Roman" w:cs="Times New Roman"/>
          <w:i/>
          <w:sz w:val="22"/>
        </w:rPr>
        <w:t>Lancet Digit Health</w:t>
      </w:r>
      <w:r>
        <w:rPr>
          <w:rFonts w:eastAsia="Times New Roman" w:cs="Times New Roman"/>
          <w:sz w:val="22"/>
        </w:rPr>
        <w:t xml:space="preserve"> 2021;3(4):e241-e249. doi:10.1016/S2589-7500(21)00022-4.</w:t>
      </w:r>
    </w:p>
    <w:p w14:paraId="58EC8DED" w14:textId="77777777" w:rsidR="00B132A4" w:rsidRDefault="00000000">
      <w:r>
        <w:rPr>
          <w:rFonts w:eastAsia="Times New Roman" w:cs="Times New Roman"/>
          <w:sz w:val="22"/>
        </w:rPr>
        <w:t xml:space="preserve">6 Knaus WA, Draper EA, Wagner DP, et al. APACHE II: a severity of disease classification system. </w:t>
      </w:r>
      <w:r>
        <w:rPr>
          <w:rFonts w:eastAsia="Times New Roman" w:cs="Times New Roman"/>
          <w:i/>
          <w:sz w:val="22"/>
        </w:rPr>
        <w:t>Crit Care Med</w:t>
      </w:r>
      <w:r>
        <w:rPr>
          <w:rFonts w:eastAsia="Times New Roman" w:cs="Times New Roman"/>
          <w:sz w:val="22"/>
        </w:rPr>
        <w:t xml:space="preserve"> 1985;13(10):818-829. doi:10.1097/00003246-198510000-00009.</w:t>
      </w:r>
    </w:p>
    <w:p w14:paraId="060D99F0" w14:textId="77777777" w:rsidR="00B132A4" w:rsidRDefault="00000000">
      <w:r>
        <w:rPr>
          <w:rFonts w:eastAsia="Times New Roman" w:cs="Times New Roman"/>
          <w:sz w:val="22"/>
        </w:rPr>
        <w:t xml:space="preserve">7 Vincent JL, Moreno R, Takala J, et al. The SOFA (Sepsis-related Organ Failure Assessment) score to describe organ dysfunction/failure. </w:t>
      </w:r>
      <w:r>
        <w:rPr>
          <w:rFonts w:eastAsia="Times New Roman" w:cs="Times New Roman"/>
          <w:i/>
          <w:sz w:val="22"/>
        </w:rPr>
        <w:t>Intensive Care Med</w:t>
      </w:r>
      <w:r>
        <w:rPr>
          <w:rFonts w:eastAsia="Times New Roman" w:cs="Times New Roman"/>
          <w:sz w:val="22"/>
        </w:rPr>
        <w:t xml:space="preserve"> 1996;22(7):707-710. doi:10.1007/BF01709751.</w:t>
      </w:r>
    </w:p>
    <w:p w14:paraId="52D741AF" w14:textId="77777777" w:rsidR="00B132A4" w:rsidRDefault="00000000">
      <w:r>
        <w:rPr>
          <w:rFonts w:eastAsia="Times New Roman" w:cs="Times New Roman"/>
          <w:sz w:val="22"/>
        </w:rPr>
        <w:t xml:space="preserve">8 Singer M, Deutschman CS, Seymour CW, et al. The Third International Consensus Definitions for Sepsis and Septic Shock (Sepsis-3). </w:t>
      </w:r>
      <w:r>
        <w:rPr>
          <w:rFonts w:eastAsia="Times New Roman" w:cs="Times New Roman"/>
          <w:i/>
          <w:sz w:val="22"/>
        </w:rPr>
        <w:t>JAMA</w:t>
      </w:r>
      <w:r>
        <w:rPr>
          <w:rFonts w:eastAsia="Times New Roman" w:cs="Times New Roman"/>
          <w:sz w:val="22"/>
        </w:rPr>
        <w:t xml:space="preserve"> 2016;315(8):801-810. doi:10.1001/jama.2016.0287.</w:t>
      </w:r>
    </w:p>
    <w:p w14:paraId="26FFCAF1" w14:textId="77777777" w:rsidR="00B132A4" w:rsidRDefault="00000000">
      <w:r>
        <w:rPr>
          <w:rFonts w:eastAsia="Times New Roman" w:cs="Times New Roman"/>
          <w:sz w:val="22"/>
        </w:rPr>
        <w:t xml:space="preserve">9 Rajkomar A, Oren E, Chen K, et al. Scalable and accurate deep learning with electronic health records. </w:t>
      </w:r>
      <w:r>
        <w:rPr>
          <w:rFonts w:eastAsia="Times New Roman" w:cs="Times New Roman"/>
          <w:i/>
          <w:sz w:val="22"/>
        </w:rPr>
        <w:t>NPJ Digit Med</w:t>
      </w:r>
      <w:r>
        <w:rPr>
          <w:rFonts w:eastAsia="Times New Roman" w:cs="Times New Roman"/>
          <w:sz w:val="22"/>
        </w:rPr>
        <w:t xml:space="preserve"> 2018;1:18. doi:10.1038/s41746-018-0029-1.</w:t>
      </w:r>
    </w:p>
    <w:p w14:paraId="3E193666" w14:textId="77777777" w:rsidR="00B132A4" w:rsidRDefault="00000000">
      <w:r>
        <w:rPr>
          <w:rFonts w:eastAsia="Times New Roman" w:cs="Times New Roman"/>
          <w:sz w:val="22"/>
        </w:rPr>
        <w:t xml:space="preserve">10 Caicedo-Torres W, Gutiérrez J. ISeeU2: Visually interpretable mortality prediction inside the ICU using deep learning and free-text medical notes. </w:t>
      </w:r>
      <w:r>
        <w:rPr>
          <w:rFonts w:eastAsia="Times New Roman" w:cs="Times New Roman"/>
          <w:i/>
          <w:sz w:val="22"/>
        </w:rPr>
        <w:t>Expert Syst Appl</w:t>
      </w:r>
      <w:r>
        <w:rPr>
          <w:rFonts w:eastAsia="Times New Roman" w:cs="Times New Roman"/>
          <w:sz w:val="22"/>
        </w:rPr>
        <w:t xml:space="preserve"> 2022;202:117190. doi:10.1016/j.eswa.2022.117190.</w:t>
      </w:r>
    </w:p>
    <w:p w14:paraId="6848BF65" w14:textId="77777777" w:rsidR="00B132A4" w:rsidRDefault="00000000">
      <w:r>
        <w:rPr>
          <w:rFonts w:eastAsia="Times New Roman" w:cs="Times New Roman"/>
          <w:sz w:val="22"/>
        </w:rPr>
        <w:lastRenderedPageBreak/>
        <w:t xml:space="preserve">11 Wu Y, Rocha BM, Kaimakamis E, et al. A deep learning method for predicting the COVID-19 ICU patient outcome fusing X-rays, respiratory sounds, and ICU parameters. </w:t>
      </w:r>
      <w:r>
        <w:rPr>
          <w:rFonts w:eastAsia="Times New Roman" w:cs="Times New Roman"/>
          <w:i/>
          <w:sz w:val="22"/>
        </w:rPr>
        <w:t>Expert Syst Appl</w:t>
      </w:r>
      <w:r>
        <w:rPr>
          <w:rFonts w:eastAsia="Times New Roman" w:cs="Times New Roman"/>
          <w:sz w:val="22"/>
        </w:rPr>
        <w:t xml:space="preserve"> 2024;235:121089. doi:10.1016/j.eswa.2023.121089.</w:t>
      </w:r>
    </w:p>
    <w:p w14:paraId="49E36573" w14:textId="77777777" w:rsidR="00B132A4" w:rsidRDefault="00000000">
      <w:r>
        <w:rPr>
          <w:rFonts w:eastAsia="Times New Roman" w:cs="Times New Roman"/>
          <w:sz w:val="22"/>
        </w:rPr>
        <w:t xml:space="preserve">12 Deasy J, Liò P, Ercole A. Dynamic survival prediction in intensive care units from heterogeneous time series without the need for variable selection or curation. </w:t>
      </w:r>
      <w:r>
        <w:rPr>
          <w:rFonts w:eastAsia="Times New Roman" w:cs="Times New Roman"/>
          <w:i/>
          <w:sz w:val="22"/>
        </w:rPr>
        <w:t>Sci Rep</w:t>
      </w:r>
      <w:r>
        <w:rPr>
          <w:rFonts w:eastAsia="Times New Roman" w:cs="Times New Roman"/>
          <w:sz w:val="22"/>
        </w:rPr>
        <w:t xml:space="preserve"> 2020;10:22129. doi:10.1038/s41598-020-79142-z.</w:t>
      </w:r>
    </w:p>
    <w:p w14:paraId="33B7CBDD" w14:textId="77777777" w:rsidR="00B132A4" w:rsidRDefault="00000000">
      <w:r>
        <w:rPr>
          <w:rFonts w:eastAsia="Times New Roman" w:cs="Times New Roman"/>
          <w:sz w:val="22"/>
        </w:rPr>
        <w:t xml:space="preserve">13 Lee Y, Jun E, Choi J, et al. Multi-view integrative attention-based deep representation learning for irregular clinical time-series data. </w:t>
      </w:r>
      <w:r>
        <w:rPr>
          <w:rFonts w:eastAsia="Times New Roman" w:cs="Times New Roman"/>
          <w:i/>
          <w:sz w:val="22"/>
        </w:rPr>
        <w:t>IEEE J Biomed Health Inform</w:t>
      </w:r>
      <w:r>
        <w:rPr>
          <w:rFonts w:eastAsia="Times New Roman" w:cs="Times New Roman"/>
          <w:sz w:val="22"/>
        </w:rPr>
        <w:t xml:space="preserve"> 2022;26(8):4270-4280. doi:10.1109/JBHI.2022.3172549.</w:t>
      </w:r>
    </w:p>
    <w:p w14:paraId="2D14A405" w14:textId="77777777" w:rsidR="00B132A4" w:rsidRDefault="00000000">
      <w:r>
        <w:rPr>
          <w:rFonts w:eastAsia="Times New Roman" w:cs="Times New Roman"/>
          <w:sz w:val="22"/>
        </w:rPr>
        <w:t xml:space="preserve">14 Huang J, Yang B, Yin K, et al. DNA-T: deformable neighborhood attention transformer for irregular medical time series. </w:t>
      </w:r>
      <w:r>
        <w:rPr>
          <w:rFonts w:eastAsia="Times New Roman" w:cs="Times New Roman"/>
          <w:i/>
          <w:sz w:val="22"/>
        </w:rPr>
        <w:t>IEEE J Biomed Health Inform</w:t>
      </w:r>
      <w:r>
        <w:rPr>
          <w:rFonts w:eastAsia="Times New Roman" w:cs="Times New Roman"/>
          <w:sz w:val="22"/>
        </w:rPr>
        <w:t xml:space="preserve"> 2024;28(7):4224-4237. doi:10.1109/JBHI.2024.3395446.</w:t>
      </w:r>
    </w:p>
    <w:p w14:paraId="0BE51947" w14:textId="77777777" w:rsidR="00B132A4" w:rsidRDefault="00000000">
      <w:r>
        <w:rPr>
          <w:rFonts w:eastAsia="Times New Roman" w:cs="Times New Roman"/>
          <w:sz w:val="22"/>
        </w:rPr>
        <w:t xml:space="preserve">15 Shickel B, Tighe PJ, Bihorac A, et al. Deep EHR: a survey of recent advances in deep learning techniques for electronic health record analysis. </w:t>
      </w:r>
      <w:r>
        <w:rPr>
          <w:rFonts w:eastAsia="Times New Roman" w:cs="Times New Roman"/>
          <w:i/>
          <w:sz w:val="22"/>
        </w:rPr>
        <w:t>IEEE J Biomed Health Inform</w:t>
      </w:r>
      <w:r>
        <w:rPr>
          <w:rFonts w:eastAsia="Times New Roman" w:cs="Times New Roman"/>
          <w:sz w:val="22"/>
        </w:rPr>
        <w:t xml:space="preserve"> 2018;22(5):1589-1604. doi:10.1109/JBHI.2017.2767063.</w:t>
      </w:r>
    </w:p>
    <w:p w14:paraId="6F077AE1" w14:textId="77777777" w:rsidR="00B132A4" w:rsidRDefault="00000000">
      <w:r>
        <w:rPr>
          <w:rFonts w:eastAsia="Times New Roman" w:cs="Times New Roman"/>
          <w:sz w:val="22"/>
        </w:rPr>
        <w:t xml:space="preserve">16 Che Z, Purushotham S, Cho K, et al. Recurrent neural networks for multivariate time series with missing values. </w:t>
      </w:r>
      <w:r>
        <w:rPr>
          <w:rFonts w:eastAsia="Times New Roman" w:cs="Times New Roman"/>
          <w:i/>
          <w:sz w:val="22"/>
        </w:rPr>
        <w:t>Sci Rep</w:t>
      </w:r>
      <w:r>
        <w:rPr>
          <w:rFonts w:eastAsia="Times New Roman" w:cs="Times New Roman"/>
          <w:sz w:val="22"/>
        </w:rPr>
        <w:t xml:space="preserve"> 2018;8(1):6085. doi:10.1038/s41598-018-24271-9.</w:t>
      </w:r>
    </w:p>
    <w:p w14:paraId="0D01EB86" w14:textId="77777777" w:rsidR="00B132A4" w:rsidRDefault="00000000">
      <w:r>
        <w:rPr>
          <w:rFonts w:eastAsia="Times New Roman" w:cs="Times New Roman"/>
          <w:sz w:val="22"/>
        </w:rPr>
        <w:t xml:space="preserve">17 Du W, Côté D, Liu Y. SAITS: Self-attention-based imputation for time series. </w:t>
      </w:r>
      <w:r>
        <w:rPr>
          <w:rFonts w:eastAsia="Times New Roman" w:cs="Times New Roman"/>
          <w:i/>
          <w:sz w:val="22"/>
        </w:rPr>
        <w:t>Expert Syst Appl</w:t>
      </w:r>
      <w:r>
        <w:rPr>
          <w:rFonts w:eastAsia="Times New Roman" w:cs="Times New Roman"/>
          <w:sz w:val="22"/>
        </w:rPr>
        <w:t xml:space="preserve"> 2023;219:119619. doi:10.1016/j.eswa.2023.119619.</w:t>
      </w:r>
    </w:p>
    <w:p w14:paraId="1DB528CE" w14:textId="77777777" w:rsidR="00B132A4" w:rsidRDefault="00000000">
      <w:r>
        <w:rPr>
          <w:rFonts w:eastAsia="Times New Roman" w:cs="Times New Roman"/>
          <w:sz w:val="22"/>
        </w:rPr>
        <w:t xml:space="preserve">18 Purushotham S, Meng C, Che Z, et al. Benchmarking deep learning models on large healthcare datasets. </w:t>
      </w:r>
      <w:r>
        <w:rPr>
          <w:rFonts w:eastAsia="Times New Roman" w:cs="Times New Roman"/>
          <w:i/>
          <w:sz w:val="22"/>
        </w:rPr>
        <w:t>J Biomed Inform</w:t>
      </w:r>
      <w:r>
        <w:rPr>
          <w:rFonts w:eastAsia="Times New Roman" w:cs="Times New Roman"/>
          <w:sz w:val="22"/>
        </w:rPr>
        <w:t xml:space="preserve"> 2018;83:112-134. doi:10.1016/j.jbi.2018.04.007.</w:t>
      </w:r>
    </w:p>
    <w:p w14:paraId="49EB385C" w14:textId="77777777" w:rsidR="00B132A4" w:rsidRDefault="00000000">
      <w:r>
        <w:rPr>
          <w:rFonts w:eastAsia="Times New Roman" w:cs="Times New Roman"/>
          <w:sz w:val="22"/>
        </w:rPr>
        <w:t xml:space="preserve">19 Harutyunyan H, Khachatrian H, Kale DC, et al. Multitask learning and benchmarking with clinical time series data. </w:t>
      </w:r>
      <w:r>
        <w:rPr>
          <w:rFonts w:eastAsia="Times New Roman" w:cs="Times New Roman"/>
          <w:i/>
          <w:sz w:val="22"/>
        </w:rPr>
        <w:t>Sci Data</w:t>
      </w:r>
      <w:r>
        <w:rPr>
          <w:rFonts w:eastAsia="Times New Roman" w:cs="Times New Roman"/>
          <w:sz w:val="22"/>
        </w:rPr>
        <w:t xml:space="preserve"> 2019;6(1):96. doi:10.1038/s41597-019-0103-9.</w:t>
      </w:r>
    </w:p>
    <w:p w14:paraId="5FDDECE0" w14:textId="77777777" w:rsidR="00B132A4" w:rsidRDefault="00000000">
      <w:r>
        <w:rPr>
          <w:rFonts w:eastAsia="Times New Roman" w:cs="Times New Roman"/>
          <w:sz w:val="22"/>
        </w:rPr>
        <w:t xml:space="preserve">20 Xie P, Hu Y, Li J, et al. Unlocking the potential of real-time ICU mortality prediction: redefining risk assessment with continuous data recovery. </w:t>
      </w:r>
      <w:r>
        <w:rPr>
          <w:rFonts w:eastAsia="Times New Roman" w:cs="Times New Roman"/>
          <w:i/>
          <w:sz w:val="22"/>
        </w:rPr>
        <w:t>NPJ Digit Med</w:t>
      </w:r>
      <w:r>
        <w:rPr>
          <w:rFonts w:eastAsia="Times New Roman" w:cs="Times New Roman"/>
          <w:sz w:val="22"/>
        </w:rPr>
        <w:t xml:space="preserve"> 2025;8:733. doi:10.1038/s41746-025-02114-y.</w:t>
      </w:r>
    </w:p>
    <w:p w14:paraId="5FD523D7" w14:textId="77777777" w:rsidR="00B132A4" w:rsidRDefault="00000000">
      <w:r>
        <w:rPr>
          <w:rFonts w:eastAsia="Times New Roman" w:cs="Times New Roman"/>
          <w:sz w:val="22"/>
        </w:rPr>
        <w:lastRenderedPageBreak/>
        <w:t xml:space="preserve">21 Yeh YC, Kuo YT, Kuo KC, et al. Early prediction of mortality upon intensive care unit admission. </w:t>
      </w:r>
      <w:r>
        <w:rPr>
          <w:rFonts w:eastAsia="Times New Roman" w:cs="Times New Roman"/>
          <w:i/>
          <w:sz w:val="22"/>
        </w:rPr>
        <w:t>BMC Med Inform Decis Mak</w:t>
      </w:r>
      <w:r>
        <w:rPr>
          <w:rFonts w:eastAsia="Times New Roman" w:cs="Times New Roman"/>
          <w:sz w:val="22"/>
        </w:rPr>
        <w:t xml:space="preserve"> 2024;24:394. doi:10.1186/s12911-024-02807-6.</w:t>
      </w:r>
    </w:p>
    <w:p w14:paraId="0ECCE07A" w14:textId="77777777" w:rsidR="00B132A4" w:rsidRDefault="00000000">
      <w:r>
        <w:rPr>
          <w:rFonts w:eastAsia="Times New Roman" w:cs="Times New Roman"/>
          <w:sz w:val="22"/>
        </w:rPr>
        <w:t xml:space="preserve">22 Luo Y, Zhang B, Liu Z, et al. Hi-Patch: Hierarchical Patch GNN for Irregular Multivariate Time Series. </w:t>
      </w:r>
      <w:r>
        <w:rPr>
          <w:rFonts w:eastAsia="Times New Roman" w:cs="Times New Roman"/>
          <w:i/>
          <w:sz w:val="22"/>
        </w:rPr>
        <w:t>Proceedings of the 42nd International Conference on Machine Learning (ICML)</w:t>
      </w:r>
      <w:r>
        <w:rPr>
          <w:rFonts w:eastAsia="Times New Roman" w:cs="Times New Roman"/>
          <w:sz w:val="22"/>
        </w:rPr>
        <w:t xml:space="preserve"> 2025.</w:t>
      </w:r>
    </w:p>
    <w:p w14:paraId="64CC54FA" w14:textId="77777777" w:rsidR="00B132A4" w:rsidRDefault="00000000">
      <w:r>
        <w:rPr>
          <w:rFonts w:eastAsia="Times New Roman" w:cs="Times New Roman"/>
          <w:sz w:val="22"/>
        </w:rPr>
        <w:t xml:space="preserve">23 Zou M, An Y, Kuang H, et al. LGTRL-DE: Local and Global Temporal Representation Learning with Demographic Embedding for in-hospital mortality prediction. </w:t>
      </w:r>
      <w:r>
        <w:rPr>
          <w:rFonts w:eastAsia="Times New Roman" w:cs="Times New Roman"/>
          <w:i/>
          <w:sz w:val="22"/>
        </w:rPr>
        <w:t>J Biomed Inform</w:t>
      </w:r>
      <w:r>
        <w:rPr>
          <w:rFonts w:eastAsia="Times New Roman" w:cs="Times New Roman"/>
          <w:sz w:val="22"/>
        </w:rPr>
        <w:t xml:space="preserve"> 2023;143:104408. doi:10.1016/j.jbi.2023.104408.</w:t>
      </w:r>
    </w:p>
    <w:p w14:paraId="0DE4DE8E" w14:textId="77777777" w:rsidR="00B132A4" w:rsidRDefault="00000000">
      <w:r>
        <w:rPr>
          <w:rFonts w:eastAsia="Times New Roman" w:cs="Times New Roman"/>
          <w:sz w:val="22"/>
        </w:rPr>
        <w:t xml:space="preserve">24 Vaswani A, Shazeer N, Parmar N, et al. Attention is all you need. </w:t>
      </w:r>
      <w:r>
        <w:rPr>
          <w:rFonts w:eastAsia="Times New Roman" w:cs="Times New Roman"/>
          <w:i/>
          <w:sz w:val="22"/>
        </w:rPr>
        <w:t>Advances in Neural Information Processing Systems</w:t>
      </w:r>
      <w:r>
        <w:rPr>
          <w:rFonts w:eastAsia="Times New Roman" w:cs="Times New Roman"/>
          <w:sz w:val="22"/>
        </w:rPr>
        <w:t xml:space="preserve"> 2017;30:5998-6008.</w:t>
      </w:r>
    </w:p>
    <w:p w14:paraId="203A97FF" w14:textId="77777777" w:rsidR="00B132A4" w:rsidRDefault="00000000">
      <w:r>
        <w:rPr>
          <w:rFonts w:eastAsia="Times New Roman" w:cs="Times New Roman"/>
          <w:sz w:val="22"/>
        </w:rPr>
        <w:t xml:space="preserve">25 Tipirneni S, Reddy CK. Self-supervised Transformer for sparse and irregularly sampled multivariate clinical time-series. </w:t>
      </w:r>
      <w:r>
        <w:rPr>
          <w:rFonts w:eastAsia="Times New Roman" w:cs="Times New Roman"/>
          <w:i/>
          <w:sz w:val="22"/>
        </w:rPr>
        <w:t>ACM Trans Knowl Discov Data</w:t>
      </w:r>
      <w:r>
        <w:rPr>
          <w:rFonts w:eastAsia="Times New Roman" w:cs="Times New Roman"/>
          <w:sz w:val="22"/>
        </w:rPr>
        <w:t xml:space="preserve"> 2022;16(6):105. doi:10.1145/3516367.</w:t>
      </w:r>
    </w:p>
    <w:p w14:paraId="02E5E423" w14:textId="77777777" w:rsidR="00B132A4" w:rsidRDefault="00000000">
      <w:r>
        <w:rPr>
          <w:rFonts w:eastAsia="Times New Roman" w:cs="Times New Roman"/>
          <w:sz w:val="22"/>
        </w:rPr>
        <w:t xml:space="preserve">26 Choi E, Bahadori MT, Sun J, et al. RETAIN: An interpretable predictive model for healthcare using reverse time attention mechanism. </w:t>
      </w:r>
      <w:r>
        <w:rPr>
          <w:rFonts w:eastAsia="Times New Roman" w:cs="Times New Roman"/>
          <w:i/>
          <w:sz w:val="22"/>
        </w:rPr>
        <w:t>Advances in Neural Information Processing Systems</w:t>
      </w:r>
      <w:r>
        <w:rPr>
          <w:rFonts w:eastAsia="Times New Roman" w:cs="Times New Roman"/>
          <w:sz w:val="22"/>
        </w:rPr>
        <w:t xml:space="preserve"> 2016;29:3504-3512.</w:t>
      </w:r>
    </w:p>
    <w:p w14:paraId="486DC5AA" w14:textId="77777777" w:rsidR="00B132A4" w:rsidRDefault="00000000">
      <w:r>
        <w:rPr>
          <w:rFonts w:eastAsia="Times New Roman" w:cs="Times New Roman"/>
          <w:sz w:val="22"/>
        </w:rPr>
        <w:t xml:space="preserve">27 Tomašev N, Glorot X, Rae JW, et al. A clinically applicable approach to continuous prediction of future acute kidney injury. </w:t>
      </w:r>
      <w:r>
        <w:rPr>
          <w:rFonts w:eastAsia="Times New Roman" w:cs="Times New Roman"/>
          <w:i/>
          <w:sz w:val="22"/>
        </w:rPr>
        <w:t>Nature</w:t>
      </w:r>
      <w:r>
        <w:rPr>
          <w:rFonts w:eastAsia="Times New Roman" w:cs="Times New Roman"/>
          <w:sz w:val="22"/>
        </w:rPr>
        <w:t xml:space="preserve"> 2019;572(7767):116-119. doi:10.1038/s41586-019-1390-1.</w:t>
      </w:r>
    </w:p>
    <w:p w14:paraId="3644F862" w14:textId="77777777" w:rsidR="00B132A4" w:rsidRDefault="00000000">
      <w:r>
        <w:rPr>
          <w:rFonts w:eastAsia="Times New Roman" w:cs="Times New Roman"/>
          <w:sz w:val="22"/>
        </w:rPr>
        <w:t xml:space="preserve">28 Hu CA, Chen CM, Fang YC, et al. Using a machine learning approach to predict mortality in critically ill influenza patients: a cross-sectional retrospective multicentre study in Taiwan. </w:t>
      </w:r>
      <w:r>
        <w:rPr>
          <w:rFonts w:eastAsia="Times New Roman" w:cs="Times New Roman"/>
          <w:i/>
          <w:sz w:val="22"/>
        </w:rPr>
        <w:t>BMJ Open</w:t>
      </w:r>
      <w:r>
        <w:rPr>
          <w:rFonts w:eastAsia="Times New Roman" w:cs="Times New Roman"/>
          <w:sz w:val="22"/>
        </w:rPr>
        <w:t xml:space="preserve"> 2020;10(2):e033898. doi:10.1136/bmjopen-2019-033898.</w:t>
      </w:r>
    </w:p>
    <w:p w14:paraId="0EF9881E" w14:textId="77777777" w:rsidR="00B132A4" w:rsidRDefault="00000000">
      <w:r>
        <w:rPr>
          <w:rFonts w:eastAsia="Times New Roman" w:cs="Times New Roman"/>
          <w:sz w:val="22"/>
        </w:rPr>
        <w:t xml:space="preserve">29 Mamandipoor B, Shen I, Hsu CN, et al. Engineering biomarker representations of vital signs data enhances deep learning mortality prediction. </w:t>
      </w:r>
      <w:r>
        <w:rPr>
          <w:rFonts w:eastAsia="Times New Roman" w:cs="Times New Roman"/>
          <w:i/>
          <w:sz w:val="22"/>
        </w:rPr>
        <w:t>J Am Med Inform Assoc</w:t>
      </w:r>
      <w:r>
        <w:rPr>
          <w:rFonts w:eastAsia="Times New Roman" w:cs="Times New Roman"/>
          <w:sz w:val="22"/>
        </w:rPr>
        <w:t xml:space="preserve"> 2026;33(7):1381-1386. doi:10.1093/jamia/ocag066.</w:t>
      </w:r>
    </w:p>
    <w:p w14:paraId="15E7A970" w14:textId="77777777" w:rsidR="00B132A4" w:rsidRDefault="00000000">
      <w:r>
        <w:rPr>
          <w:rFonts w:eastAsia="Times New Roman" w:cs="Times New Roman"/>
          <w:sz w:val="22"/>
        </w:rPr>
        <w:t xml:space="preserve">30 Tonekaboni S, Joshi S, McCradden MD, et al. What clinicians want: Contextualizing explainable machine learning for clinical end use. </w:t>
      </w:r>
      <w:r>
        <w:rPr>
          <w:rFonts w:eastAsia="Times New Roman" w:cs="Times New Roman"/>
          <w:i/>
          <w:sz w:val="22"/>
        </w:rPr>
        <w:t>Proceedings of Machine Learning Research</w:t>
      </w:r>
      <w:r>
        <w:rPr>
          <w:rFonts w:eastAsia="Times New Roman" w:cs="Times New Roman"/>
          <w:sz w:val="22"/>
        </w:rPr>
        <w:t xml:space="preserve"> 2019;106:359-380.</w:t>
      </w:r>
    </w:p>
    <w:p w14:paraId="735BEC8D" w14:textId="77777777" w:rsidR="00B132A4" w:rsidRDefault="00000000">
      <w:r>
        <w:rPr>
          <w:rFonts w:eastAsia="Times New Roman" w:cs="Times New Roman"/>
          <w:sz w:val="22"/>
        </w:rPr>
        <w:lastRenderedPageBreak/>
        <w:t xml:space="preserve">31 Sendak MP, Gao M, Brajer N, et al. Presenting machine learning model information to clinical end users with model facts labels. </w:t>
      </w:r>
      <w:r>
        <w:rPr>
          <w:rFonts w:eastAsia="Times New Roman" w:cs="Times New Roman"/>
          <w:i/>
          <w:sz w:val="22"/>
        </w:rPr>
        <w:t>NPJ Digit Med</w:t>
      </w:r>
      <w:r>
        <w:rPr>
          <w:rFonts w:eastAsia="Times New Roman" w:cs="Times New Roman"/>
          <w:sz w:val="22"/>
        </w:rPr>
        <w:t xml:space="preserve"> 2020;3:41. doi:10.1038/s41746-020-0253-3.</w:t>
      </w:r>
    </w:p>
    <w:p w14:paraId="288EC646" w14:textId="77777777" w:rsidR="00B132A4" w:rsidRDefault="00000000">
      <w:r>
        <w:rPr>
          <w:rFonts w:eastAsia="Times New Roman" w:cs="Times New Roman"/>
          <w:sz w:val="22"/>
        </w:rPr>
        <w:t xml:space="preserve">32 Saeb S, Lonini L, Jayaraman A, et al. The need to approximate the use-case in clinical machine learning. </w:t>
      </w:r>
      <w:r>
        <w:rPr>
          <w:rFonts w:eastAsia="Times New Roman" w:cs="Times New Roman"/>
          <w:i/>
          <w:sz w:val="22"/>
        </w:rPr>
        <w:t>GigaScience</w:t>
      </w:r>
      <w:r>
        <w:rPr>
          <w:rFonts w:eastAsia="Times New Roman" w:cs="Times New Roman"/>
          <w:sz w:val="22"/>
        </w:rPr>
        <w:t xml:space="preserve"> 2017;6(5):1-9. doi:10.1093/gigascience/gix019.</w:t>
      </w:r>
    </w:p>
    <w:p w14:paraId="0859383C" w14:textId="77777777" w:rsidR="00B132A4" w:rsidRDefault="00000000">
      <w:r>
        <w:rPr>
          <w:rFonts w:eastAsia="Times New Roman" w:cs="Times New Roman"/>
          <w:sz w:val="22"/>
        </w:rPr>
        <w:t xml:space="preserve">33 Johnson AEW, Bulgarelli L, Shen L, et al. MIMIC-IV, a freely accessible electronic health record dataset. </w:t>
      </w:r>
      <w:r>
        <w:rPr>
          <w:rFonts w:eastAsia="Times New Roman" w:cs="Times New Roman"/>
          <w:i/>
          <w:sz w:val="22"/>
        </w:rPr>
        <w:t>Sci Data</w:t>
      </w:r>
      <w:r>
        <w:rPr>
          <w:rFonts w:eastAsia="Times New Roman" w:cs="Times New Roman"/>
          <w:sz w:val="22"/>
        </w:rPr>
        <w:t xml:space="preserve"> 2023;10(1):1. doi:10.1038/s41597-022-01899-x.</w:t>
      </w:r>
    </w:p>
    <w:p w14:paraId="61CF103D" w14:textId="77777777" w:rsidR="00B132A4" w:rsidRDefault="00000000">
      <w:r>
        <w:rPr>
          <w:rFonts w:eastAsia="Times New Roman" w:cs="Times New Roman"/>
          <w:sz w:val="22"/>
        </w:rPr>
        <w:t xml:space="preserve">34 Johnson A, Bulgarelli L, Pollard T, et al. MIMIC-IV (version 3.1). </w:t>
      </w:r>
      <w:r>
        <w:rPr>
          <w:rFonts w:eastAsia="Times New Roman" w:cs="Times New Roman"/>
          <w:i/>
          <w:sz w:val="22"/>
        </w:rPr>
        <w:t>PhysioNet</w:t>
      </w:r>
      <w:r>
        <w:rPr>
          <w:rFonts w:eastAsia="Times New Roman" w:cs="Times New Roman"/>
          <w:sz w:val="22"/>
        </w:rPr>
        <w:t xml:space="preserve"> 2024. doi:10.13026/kpb9-mt58.</w:t>
      </w:r>
    </w:p>
    <w:p w14:paraId="5FAEE813" w14:textId="77777777" w:rsidR="00B132A4" w:rsidRDefault="00000000">
      <w:r>
        <w:rPr>
          <w:rFonts w:eastAsia="Times New Roman" w:cs="Times New Roman"/>
          <w:sz w:val="22"/>
        </w:rPr>
        <w:t xml:space="preserve">35 Pollard TJ, Johnson AEW, Raffa JD, et al. The eICU Collaborative Research Database, a freely available multi-center database for critical care research. </w:t>
      </w:r>
      <w:r>
        <w:rPr>
          <w:rFonts w:eastAsia="Times New Roman" w:cs="Times New Roman"/>
          <w:i/>
          <w:sz w:val="22"/>
        </w:rPr>
        <w:t>Sci Data</w:t>
      </w:r>
      <w:r>
        <w:rPr>
          <w:rFonts w:eastAsia="Times New Roman" w:cs="Times New Roman"/>
          <w:sz w:val="22"/>
        </w:rPr>
        <w:t xml:space="preserve"> 2018;5:180178. doi:10.1038/sdata.2018.178.</w:t>
      </w:r>
    </w:p>
    <w:p w14:paraId="5409FAAA" w14:textId="77777777" w:rsidR="00B132A4" w:rsidRDefault="00000000">
      <w:r>
        <w:rPr>
          <w:rFonts w:eastAsia="Times New Roman" w:cs="Times New Roman"/>
          <w:sz w:val="22"/>
        </w:rPr>
        <w:t xml:space="preserve">36 Pollard T, Johnson A, Raffa J, et al. eICU Collaborative Research Database (version 2.0). </w:t>
      </w:r>
      <w:r>
        <w:rPr>
          <w:rFonts w:eastAsia="Times New Roman" w:cs="Times New Roman"/>
          <w:i/>
          <w:sz w:val="22"/>
        </w:rPr>
        <w:t>PhysioNet</w:t>
      </w:r>
      <w:r>
        <w:rPr>
          <w:rFonts w:eastAsia="Times New Roman" w:cs="Times New Roman"/>
          <w:sz w:val="22"/>
        </w:rPr>
        <w:t xml:space="preserve"> 2019. doi:10.13026/C2WM1R.</w:t>
      </w:r>
    </w:p>
    <w:p w14:paraId="1DE23CD4" w14:textId="77777777" w:rsidR="00B132A4" w:rsidRDefault="00000000">
      <w:r>
        <w:rPr>
          <w:rFonts w:eastAsia="Times New Roman" w:cs="Times New Roman"/>
          <w:sz w:val="22"/>
        </w:rPr>
        <w:t xml:space="preserve">37 Hochreiter S, Schmidhuber J. Long short-term memory. </w:t>
      </w:r>
      <w:r>
        <w:rPr>
          <w:rFonts w:eastAsia="Times New Roman" w:cs="Times New Roman"/>
          <w:i/>
          <w:sz w:val="22"/>
        </w:rPr>
        <w:t>Neural Comput</w:t>
      </w:r>
      <w:r>
        <w:rPr>
          <w:rFonts w:eastAsia="Times New Roman" w:cs="Times New Roman"/>
          <w:sz w:val="22"/>
        </w:rPr>
        <w:t xml:space="preserve"> 1997;9(8):1735-1780. doi:10.1162/neco.1997.9.8.1735.</w:t>
      </w:r>
    </w:p>
    <w:p w14:paraId="0B44482B" w14:textId="77777777" w:rsidR="00B132A4" w:rsidRDefault="00000000">
      <w:r>
        <w:rPr>
          <w:rFonts w:eastAsia="Times New Roman" w:cs="Times New Roman"/>
          <w:sz w:val="22"/>
        </w:rPr>
        <w:t xml:space="preserve">38 Su J, Ahmed M, Lu Y, et al. RoFormer: Enhanced transformer with Rotary Position Embedding. </w:t>
      </w:r>
      <w:r>
        <w:rPr>
          <w:rFonts w:eastAsia="Times New Roman" w:cs="Times New Roman"/>
          <w:i/>
          <w:sz w:val="22"/>
        </w:rPr>
        <w:t>Neurocomputing</w:t>
      </w:r>
      <w:r>
        <w:rPr>
          <w:rFonts w:eastAsia="Times New Roman" w:cs="Times New Roman"/>
          <w:sz w:val="22"/>
        </w:rPr>
        <w:t xml:space="preserve"> 2024;568:127063. doi:10.1016/j.neucom.2023.127063.</w:t>
      </w:r>
    </w:p>
    <w:p w14:paraId="5591411B" w14:textId="77777777" w:rsidR="00B132A4" w:rsidRDefault="00000000">
      <w:r>
        <w:rPr>
          <w:rFonts w:eastAsia="Times New Roman" w:cs="Times New Roman"/>
          <w:sz w:val="22"/>
        </w:rPr>
        <w:t xml:space="preserve">39 Zheng Z, Luo J, Zhu Y, et al. Development and validation of a dynamic real-time risk prediction model for intensive care units patients based on longitudinal irregular data: multicenter retrospective study. </w:t>
      </w:r>
      <w:r>
        <w:rPr>
          <w:rFonts w:eastAsia="Times New Roman" w:cs="Times New Roman"/>
          <w:i/>
          <w:sz w:val="22"/>
        </w:rPr>
        <w:t>J Med Internet Res</w:t>
      </w:r>
      <w:r>
        <w:rPr>
          <w:rFonts w:eastAsia="Times New Roman" w:cs="Times New Roman"/>
          <w:sz w:val="22"/>
        </w:rPr>
        <w:t xml:space="preserve"> 2025;27:e69293. doi:10.2196/69293.</w:t>
      </w:r>
    </w:p>
    <w:p w14:paraId="407B9E72" w14:textId="77777777" w:rsidR="00B132A4" w:rsidRDefault="00000000">
      <w:r>
        <w:rPr>
          <w:rFonts w:eastAsia="Times New Roman" w:cs="Times New Roman"/>
          <w:sz w:val="22"/>
        </w:rPr>
        <w:t xml:space="preserve">40 Nie Y, Nguyen NH, Sinthong P, et al. A time series is worth 64 words: long-term forecasting with transformers. </w:t>
      </w:r>
      <w:r>
        <w:rPr>
          <w:rFonts w:eastAsia="Times New Roman" w:cs="Times New Roman"/>
          <w:i/>
          <w:sz w:val="22"/>
        </w:rPr>
        <w:t>International Conference on Learning Representations</w:t>
      </w:r>
      <w:r>
        <w:rPr>
          <w:rFonts w:eastAsia="Times New Roman" w:cs="Times New Roman"/>
          <w:sz w:val="22"/>
        </w:rPr>
        <w:t xml:space="preserve"> 2023.</w:t>
      </w:r>
    </w:p>
    <w:p w14:paraId="617A5BFF" w14:textId="77777777" w:rsidR="00B132A4" w:rsidRDefault="00000000">
      <w:r>
        <w:rPr>
          <w:rFonts w:eastAsia="Times New Roman" w:cs="Times New Roman"/>
          <w:sz w:val="22"/>
        </w:rPr>
        <w:t xml:space="preserve">41 Zhang X, Zeman M, Tsiligkaridis T, et al. Graph-guided network for irregularly sampled multivariate time series. </w:t>
      </w:r>
      <w:r>
        <w:rPr>
          <w:rFonts w:eastAsia="Times New Roman" w:cs="Times New Roman"/>
          <w:i/>
          <w:sz w:val="22"/>
        </w:rPr>
        <w:t>International Conference on Learning Representations</w:t>
      </w:r>
      <w:r>
        <w:rPr>
          <w:rFonts w:eastAsia="Times New Roman" w:cs="Times New Roman"/>
          <w:sz w:val="22"/>
        </w:rPr>
        <w:t xml:space="preserve"> 2022.</w:t>
      </w:r>
    </w:p>
    <w:p w14:paraId="2E2824A6" w14:textId="77777777" w:rsidR="00B132A4" w:rsidRDefault="00000000">
      <w:r>
        <w:rPr>
          <w:rFonts w:eastAsia="Times New Roman" w:cs="Times New Roman"/>
          <w:sz w:val="22"/>
        </w:rPr>
        <w:lastRenderedPageBreak/>
        <w:t xml:space="preserve">42 Ke G, Meng Q, Finley T, et al. LightGBM: a highly efficient gradient boosting decision tree. </w:t>
      </w:r>
      <w:r>
        <w:rPr>
          <w:rFonts w:eastAsia="Times New Roman" w:cs="Times New Roman"/>
          <w:i/>
          <w:sz w:val="22"/>
        </w:rPr>
        <w:t>Advances in Neural Information Processing Systems</w:t>
      </w:r>
      <w:r>
        <w:rPr>
          <w:rFonts w:eastAsia="Times New Roman" w:cs="Times New Roman"/>
          <w:sz w:val="22"/>
        </w:rPr>
        <w:t xml:space="preserve"> 2017;30:3146-3154.</w:t>
      </w:r>
    </w:p>
    <w:p w14:paraId="5512B411" w14:textId="77777777" w:rsidR="00B132A4" w:rsidRDefault="00000000">
      <w:r>
        <w:rPr>
          <w:rFonts w:eastAsia="Times New Roman" w:cs="Times New Roman"/>
          <w:sz w:val="22"/>
        </w:rPr>
        <w:t xml:space="preserve">43 Lin TY, Goyal P, Girshick R, et al. Focal loss for dense object detection. </w:t>
      </w:r>
      <w:r>
        <w:rPr>
          <w:rFonts w:eastAsia="Times New Roman" w:cs="Times New Roman"/>
          <w:i/>
          <w:sz w:val="22"/>
        </w:rPr>
        <w:t>2017 IEEE International Conference on Computer Vision (ICCV)</w:t>
      </w:r>
      <w:r>
        <w:rPr>
          <w:rFonts w:eastAsia="Times New Roman" w:cs="Times New Roman"/>
          <w:sz w:val="22"/>
        </w:rPr>
        <w:t xml:space="preserve"> 2017;2999-3007. doi:10.1109/ICCV.2017.324.</w:t>
      </w:r>
    </w:p>
    <w:p w14:paraId="4992E01E" w14:textId="77777777" w:rsidR="00B132A4" w:rsidRDefault="00000000">
      <w:r>
        <w:rPr>
          <w:rFonts w:eastAsia="Times New Roman" w:cs="Times New Roman"/>
          <w:sz w:val="22"/>
        </w:rPr>
        <w:t xml:space="preserve">44 Seymour CW, Liu VX, Iwashyna TJ, et al. Assessment of clinical criteria for sepsis: for the Third International Consensus Definitions for Sepsis and Septic Shock (Sepsis-3). </w:t>
      </w:r>
      <w:r>
        <w:rPr>
          <w:rFonts w:eastAsia="Times New Roman" w:cs="Times New Roman"/>
          <w:i/>
          <w:sz w:val="22"/>
        </w:rPr>
        <w:t>JAMA</w:t>
      </w:r>
      <w:r>
        <w:rPr>
          <w:rFonts w:eastAsia="Times New Roman" w:cs="Times New Roman"/>
          <w:sz w:val="22"/>
        </w:rPr>
        <w:t xml:space="preserve"> 2016;315(8):762-774. doi:10.1001/jama.2016.0288.</w:t>
      </w:r>
    </w:p>
    <w:p w14:paraId="22ACC6FA" w14:textId="77777777" w:rsidR="00B132A4" w:rsidRDefault="00000000">
      <w:r>
        <w:rPr>
          <w:rFonts w:eastAsia="Times New Roman" w:cs="Times New Roman"/>
          <w:sz w:val="22"/>
        </w:rPr>
        <w:t xml:space="preserve">45 Ranzani OT, Singer M, Salluh JIF, et al. Development and validation of the Sequential Organ Failure Assessment (SOFA)-2 score. </w:t>
      </w:r>
      <w:r>
        <w:rPr>
          <w:rFonts w:eastAsia="Times New Roman" w:cs="Times New Roman"/>
          <w:i/>
          <w:sz w:val="22"/>
        </w:rPr>
        <w:t>JAMA</w:t>
      </w:r>
      <w:r>
        <w:rPr>
          <w:rFonts w:eastAsia="Times New Roman" w:cs="Times New Roman"/>
          <w:sz w:val="22"/>
        </w:rPr>
        <w:t xml:space="preserve"> 2025;334(23):2090-2103. doi:10.1001/jama.2025.20516.</w:t>
      </w:r>
    </w:p>
    <w:p w14:paraId="595A23C2" w14:textId="77777777" w:rsidR="00B132A4" w:rsidRDefault="00000000">
      <w:r>
        <w:rPr>
          <w:rFonts w:eastAsia="Times New Roman" w:cs="Times New Roman"/>
          <w:sz w:val="22"/>
        </w:rPr>
        <w:t xml:space="preserve">46 de Hond AAH, Steyerberg EW, van Calster B. Interpreting area under the receiver operating characteristic curve. </w:t>
      </w:r>
      <w:r>
        <w:rPr>
          <w:rFonts w:eastAsia="Times New Roman" w:cs="Times New Roman"/>
          <w:i/>
          <w:sz w:val="22"/>
        </w:rPr>
        <w:t>Lancet Digit Health</w:t>
      </w:r>
      <w:r>
        <w:rPr>
          <w:rFonts w:eastAsia="Times New Roman" w:cs="Times New Roman"/>
          <w:sz w:val="22"/>
        </w:rPr>
        <w:t xml:space="preserve"> 2022;4(12):e853-e855. doi:10.1016/S2589-7500(22)00188-1.</w:t>
      </w:r>
    </w:p>
    <w:p w14:paraId="721AB97E" w14:textId="77777777" w:rsidR="00B132A4" w:rsidRDefault="00000000">
      <w:r>
        <w:rPr>
          <w:rFonts w:eastAsia="Times New Roman" w:cs="Times New Roman"/>
          <w:sz w:val="22"/>
        </w:rPr>
        <w:t xml:space="preserve">47 Martin B, Bennett TD, DeWitt PE, et al. Use of the area under the precision-recall curve to evaluate prediction models of rare critical illness events. </w:t>
      </w:r>
      <w:r>
        <w:rPr>
          <w:rFonts w:eastAsia="Times New Roman" w:cs="Times New Roman"/>
          <w:i/>
          <w:sz w:val="22"/>
        </w:rPr>
        <w:t>Pediatr Crit Care Med</w:t>
      </w:r>
      <w:r>
        <w:rPr>
          <w:rFonts w:eastAsia="Times New Roman" w:cs="Times New Roman"/>
          <w:sz w:val="22"/>
        </w:rPr>
        <w:t xml:space="preserve"> 2025;26(6):e855-e859. doi:10.1097/PCC.0000000000003752.</w:t>
      </w:r>
    </w:p>
    <w:p w14:paraId="064B05D2" w14:textId="77777777" w:rsidR="00B132A4" w:rsidRDefault="00000000">
      <w:r>
        <w:rPr>
          <w:rFonts w:eastAsia="Times New Roman" w:cs="Times New Roman"/>
          <w:sz w:val="22"/>
        </w:rPr>
        <w:t xml:space="preserve">48 Brier GW. Verification of forecasts expressed in terms of probability. </w:t>
      </w:r>
      <w:r>
        <w:rPr>
          <w:rFonts w:eastAsia="Times New Roman" w:cs="Times New Roman"/>
          <w:i/>
          <w:sz w:val="22"/>
        </w:rPr>
        <w:t>Mon Weather Rev</w:t>
      </w:r>
      <w:r>
        <w:rPr>
          <w:rFonts w:eastAsia="Times New Roman" w:cs="Times New Roman"/>
          <w:sz w:val="22"/>
        </w:rPr>
        <w:t xml:space="preserve"> 1950;78(1):1-3. doi:10.1175/1520-0493(1950)078&lt;0001:VOFEIT&gt;2.0.CO;2.</w:t>
      </w:r>
    </w:p>
    <w:p w14:paraId="072B041D" w14:textId="77777777" w:rsidR="00B132A4" w:rsidRDefault="00000000">
      <w:r>
        <w:rPr>
          <w:rFonts w:eastAsia="Times New Roman" w:cs="Times New Roman"/>
          <w:sz w:val="22"/>
        </w:rPr>
        <w:t xml:space="preserve">49 van Calster B, McLernon DJ, van Smeden M, et al. Calibration: the Achilles heel of predictive analytics. </w:t>
      </w:r>
      <w:r>
        <w:rPr>
          <w:rFonts w:eastAsia="Times New Roman" w:cs="Times New Roman"/>
          <w:i/>
          <w:sz w:val="22"/>
        </w:rPr>
        <w:t>BMC Med</w:t>
      </w:r>
      <w:r>
        <w:rPr>
          <w:rFonts w:eastAsia="Times New Roman" w:cs="Times New Roman"/>
          <w:sz w:val="22"/>
        </w:rPr>
        <w:t xml:space="preserve"> 2019;17:230. doi:10.1186/s12916-019-1466-7.</w:t>
      </w:r>
    </w:p>
    <w:p w14:paraId="18497034" w14:textId="77777777" w:rsidR="00B132A4" w:rsidRDefault="00000000">
      <w:r>
        <w:rPr>
          <w:rFonts w:eastAsia="Times New Roman" w:cs="Times New Roman"/>
          <w:sz w:val="22"/>
        </w:rPr>
        <w:t xml:space="preserve">50 Austin PC, Steyerberg EW. Graphical assessment of internal and external calibration of logistic regression models by using loess smoothers. </w:t>
      </w:r>
      <w:r>
        <w:rPr>
          <w:rFonts w:eastAsia="Times New Roman" w:cs="Times New Roman"/>
          <w:i/>
          <w:sz w:val="22"/>
        </w:rPr>
        <w:t>Stat Med</w:t>
      </w:r>
      <w:r>
        <w:rPr>
          <w:rFonts w:eastAsia="Times New Roman" w:cs="Times New Roman"/>
          <w:sz w:val="22"/>
        </w:rPr>
        <w:t xml:space="preserve"> 2014;33(3):517-535. doi:10.1002/sim.5941.</w:t>
      </w:r>
    </w:p>
    <w:p w14:paraId="5462400C" w14:textId="77777777" w:rsidR="00B132A4" w:rsidRDefault="00000000">
      <w:r>
        <w:rPr>
          <w:rFonts w:eastAsia="Times New Roman" w:cs="Times New Roman"/>
          <w:sz w:val="22"/>
        </w:rPr>
        <w:t>51 Efron B, Tibshirani RJ. An Introduction to the Bootstrap. New York, NY: Chapman &amp; Hall/CRC 1994. ISBN: 978-0-412-04231-7</w:t>
      </w:r>
    </w:p>
    <w:p w14:paraId="583FFF4C" w14:textId="77777777" w:rsidR="00B132A4" w:rsidRDefault="00000000">
      <w:r>
        <w:rPr>
          <w:rFonts w:eastAsia="Times New Roman" w:cs="Times New Roman"/>
          <w:sz w:val="22"/>
        </w:rPr>
        <w:t xml:space="preserve">52 DeLong ER, DeLong DM, Clarke-Pearson DL. Comparing the areas under two or more correlated receiver operating characteristic curves: a nonparametric approach. </w:t>
      </w:r>
      <w:r>
        <w:rPr>
          <w:rFonts w:eastAsia="Times New Roman" w:cs="Times New Roman"/>
          <w:i/>
          <w:sz w:val="22"/>
        </w:rPr>
        <w:t>Biometrics</w:t>
      </w:r>
      <w:r>
        <w:rPr>
          <w:rFonts w:eastAsia="Times New Roman" w:cs="Times New Roman"/>
          <w:sz w:val="22"/>
        </w:rPr>
        <w:t xml:space="preserve"> 1988;44(3):837-845. doi:10.2307/2531595.</w:t>
      </w:r>
    </w:p>
    <w:p w14:paraId="2A31F8E0" w14:textId="77777777" w:rsidR="00B132A4" w:rsidRDefault="00000000">
      <w:r>
        <w:rPr>
          <w:rFonts w:eastAsia="Times New Roman" w:cs="Times New Roman"/>
          <w:sz w:val="22"/>
        </w:rPr>
        <w:lastRenderedPageBreak/>
        <w:t xml:space="preserve">53 Collins GS, Moons KGM, Dhiman P, et al. TRIPOD+AI statement: updated guidance for reporting clinical prediction models that use regression or machine learning methods. </w:t>
      </w:r>
      <w:r>
        <w:rPr>
          <w:rFonts w:eastAsia="Times New Roman" w:cs="Times New Roman"/>
          <w:i/>
          <w:sz w:val="22"/>
        </w:rPr>
        <w:t>BMJ</w:t>
      </w:r>
      <w:r>
        <w:rPr>
          <w:rFonts w:eastAsia="Times New Roman" w:cs="Times New Roman"/>
          <w:sz w:val="22"/>
        </w:rPr>
        <w:t xml:space="preserve"> 2024;385:e078378. doi:10.1136/bmj-2023-078378.</w:t>
      </w:r>
    </w:p>
    <w:p w14:paraId="5A25834A" w14:textId="77777777" w:rsidR="00B132A4" w:rsidRDefault="00000000">
      <w:r>
        <w:rPr>
          <w:rFonts w:eastAsia="Times New Roman" w:cs="Times New Roman"/>
          <w:sz w:val="22"/>
        </w:rPr>
        <w:t xml:space="preserve">54 von Elm E, Altman DG, Egger M, et al. The Strengthening the Reporting of Observational Studies in Epidemiology (STROBE) statement: guidelines for reporting observational studies. </w:t>
      </w:r>
      <w:r>
        <w:rPr>
          <w:rFonts w:eastAsia="Times New Roman" w:cs="Times New Roman"/>
          <w:i/>
          <w:sz w:val="22"/>
        </w:rPr>
        <w:t>Lancet</w:t>
      </w:r>
      <w:r>
        <w:rPr>
          <w:rFonts w:eastAsia="Times New Roman" w:cs="Times New Roman"/>
          <w:sz w:val="22"/>
        </w:rPr>
        <w:t xml:space="preserve"> 2007;370(9596):1453-1457. doi:10.1016/S0140-6736(07)61602-X.</w:t>
      </w:r>
    </w:p>
    <w:p w14:paraId="6C2A8685" w14:textId="77777777" w:rsidR="00B132A4" w:rsidRDefault="00000000">
      <w:r>
        <w:rPr>
          <w:rFonts w:eastAsia="Times New Roman" w:cs="Times New Roman"/>
          <w:sz w:val="22"/>
        </w:rPr>
        <w:t xml:space="preserve">55 Lin LI. A concordance correlation coefficient to evaluate reproducibility. </w:t>
      </w:r>
      <w:r>
        <w:rPr>
          <w:rFonts w:eastAsia="Times New Roman" w:cs="Times New Roman"/>
          <w:i/>
          <w:sz w:val="22"/>
        </w:rPr>
        <w:t>Biometrics</w:t>
      </w:r>
      <w:r>
        <w:rPr>
          <w:rFonts w:eastAsia="Times New Roman" w:cs="Times New Roman"/>
          <w:sz w:val="22"/>
        </w:rPr>
        <w:t xml:space="preserve"> 1989;45(1):255-268. doi:10.2307/2532051.</w:t>
      </w:r>
    </w:p>
    <w:p w14:paraId="367797F3" w14:textId="77777777" w:rsidR="00B132A4" w:rsidRDefault="00000000">
      <w:r>
        <w:rPr>
          <w:rFonts w:eastAsia="Times New Roman" w:cs="Times New Roman"/>
          <w:sz w:val="22"/>
        </w:rPr>
        <w:t xml:space="preserve">56 Vickers AJ, Elkin EB. Decision curve analysis: a novel method for evaluating prediction models. </w:t>
      </w:r>
      <w:r>
        <w:rPr>
          <w:rFonts w:eastAsia="Times New Roman" w:cs="Times New Roman"/>
          <w:i/>
          <w:sz w:val="22"/>
        </w:rPr>
        <w:t>Med Decis Making</w:t>
      </w:r>
      <w:r>
        <w:rPr>
          <w:rFonts w:eastAsia="Times New Roman" w:cs="Times New Roman"/>
          <w:sz w:val="22"/>
        </w:rPr>
        <w:t xml:space="preserve"> 2006;26(6):565-574. doi:10.1177/0272989X06295361.</w:t>
      </w:r>
    </w:p>
    <w:p w14:paraId="250D13E1" w14:textId="77777777" w:rsidR="00B132A4" w:rsidRDefault="00000000">
      <w:r>
        <w:rPr>
          <w:rFonts w:eastAsia="Times New Roman" w:cs="Times New Roman"/>
          <w:sz w:val="22"/>
        </w:rPr>
        <w:t xml:space="preserve">57 Goldberger AL, Amaral LAN, Glass L, et al. PhysioBank, PhysioToolkit, and PhysioNet: components of a new research resource for complex physiologic signals. </w:t>
      </w:r>
      <w:r>
        <w:rPr>
          <w:rFonts w:eastAsia="Times New Roman" w:cs="Times New Roman"/>
          <w:i/>
          <w:sz w:val="22"/>
        </w:rPr>
        <w:t>Circulation</w:t>
      </w:r>
      <w:r>
        <w:rPr>
          <w:rFonts w:eastAsia="Times New Roman" w:cs="Times New Roman"/>
          <w:sz w:val="22"/>
        </w:rPr>
        <w:t xml:space="preserve"> 2000;101(23):e215-e220. doi:10.1161/01.CIR.101.23.e215.</w:t>
      </w:r>
    </w:p>
    <w:p w14:paraId="01C066F9" w14:textId="77777777" w:rsidR="00B132A4" w:rsidRDefault="00000000">
      <w:r>
        <w:rPr>
          <w:rFonts w:eastAsia="Times New Roman" w:cs="Times New Roman"/>
          <w:sz w:val="22"/>
        </w:rPr>
        <w:t xml:space="preserve">58 Pollard T, Moody BE, Lehman L, et al. PhysioNet as a global platform for biomedical research. </w:t>
      </w:r>
      <w:r>
        <w:rPr>
          <w:rFonts w:eastAsia="Times New Roman" w:cs="Times New Roman"/>
          <w:i/>
          <w:sz w:val="22"/>
        </w:rPr>
        <w:t>Nature Health</w:t>
      </w:r>
      <w:r>
        <w:rPr>
          <w:rFonts w:eastAsia="Times New Roman" w:cs="Times New Roman"/>
          <w:sz w:val="22"/>
        </w:rPr>
        <w:t xml:space="preserve"> 2026;1(8):792-795. doi:10.1038/s44360-026-00096-z.</w:t>
      </w:r>
    </w:p>
    <w:p w14:paraId="4D3B15D4" w14:textId="77777777" w:rsidR="00B132A4" w:rsidRDefault="00000000">
      <w:r>
        <w:rPr>
          <w:rFonts w:eastAsia="Times New Roman" w:cs="Times New Roman"/>
          <w:sz w:val="22"/>
        </w:rPr>
        <w:t xml:space="preserve">59 Lundberg SM, Lee SI. A unified approach to interpreting model predictions. </w:t>
      </w:r>
      <w:r>
        <w:rPr>
          <w:rFonts w:eastAsia="Times New Roman" w:cs="Times New Roman"/>
          <w:i/>
          <w:sz w:val="22"/>
        </w:rPr>
        <w:t>Advances in Neural Information Processing Systems</w:t>
      </w:r>
      <w:r>
        <w:rPr>
          <w:rFonts w:eastAsia="Times New Roman" w:cs="Times New Roman"/>
          <w:sz w:val="22"/>
        </w:rPr>
        <w:t xml:space="preserve"> 2017;30:4765-4774.</w:t>
      </w:r>
    </w:p>
    <w:p w14:paraId="6EC148C5" w14:textId="77777777" w:rsidR="00B132A4" w:rsidRDefault="00000000">
      <w:r>
        <w:br w:type="page"/>
      </w:r>
    </w:p>
    <w:p w14:paraId="0811ADD9" w14:textId="77777777" w:rsidR="00B132A4" w:rsidRDefault="00000000">
      <w:pPr>
        <w:pStyle w:val="1"/>
        <w:keepNext w:val="0"/>
        <w:keepLines w:val="0"/>
      </w:pPr>
      <w:r>
        <w:rPr>
          <w:rFonts w:ascii="Times New Roman" w:eastAsia="Times New Roman" w:hAnsi="Times New Roman" w:cs="Times New Roman"/>
        </w:rPr>
        <w:lastRenderedPageBreak/>
        <w:t>FIGURE LEGENDS</w:t>
      </w:r>
    </w:p>
    <w:p w14:paraId="2947101C" w14:textId="77777777" w:rsidR="00B132A4" w:rsidRDefault="00000000">
      <w:r>
        <w:rPr>
          <w:rFonts w:eastAsia="Times New Roman" w:cs="Times New Roman"/>
        </w:rPr>
        <w:t>Figure 1. Recurrent patch trajectories as the inputs to global attention. (A) Three overlapping six-hour sequences are extracted from the completed first 12 ICU hours. A shared BiLSTM forms recurrent states independently in each patch, without carrying states across boundaries; projected terminal states become trajectory tokens for global attention with RoPE relative patch position. Attended tokens are mean-pooled for an endpoint-specific scalar head. (B) The prespecified reversal retains identical trainable modules and 1,844,505 parameters while supplying global hourly context before recurrent patch encoding. Post hoc analyses match attention length at three tokens and compare alternative patch settings. These contrasts evaluate complete pathways; tensor flows and remaining differences are specified in Tables S4b and S24b.</w:t>
      </w:r>
    </w:p>
    <w:p w14:paraId="2641D771" w14:textId="77777777" w:rsidR="00B132A4" w:rsidRDefault="00000000">
      <w:r>
        <w:rPr>
          <w:rFonts w:eastAsia="Times New Roman" w:cs="Times New Roman"/>
        </w:rPr>
        <w:t>Alt text: Two-panel architecture diagram. Panel A shows first-12-hour inputs divided into three overlapping six-hour patches, independently encoded by a shared BiLSTM, projected to trajectory tokens, integrated by two RoPE Transformer layers, and pooled for an endpoint-specific prediction. Panel B contrasts this pathway with parameter-matched and token-matched reversed pathways.</w:t>
      </w:r>
    </w:p>
    <w:p w14:paraId="46F2D8A7" w14:textId="77777777" w:rsidR="00B132A4" w:rsidRDefault="00000000">
      <w:r>
        <w:rPr>
          <w:rFonts w:eastAsia="Times New Roman" w:cs="Times New Roman"/>
        </w:rPr>
        <w:t>Figure 2. Cohort construction and evaluation roles. Panel A, MIMIC-IV development funnel (94,458 → 71,204 → 58,912 → 54,103 → 52,868) with patient-level GroupKFold after age, first-eligible-stay, hour-12 alive-in-ICU, and incomplete-grid/unknown-death-time filters. Panel B, eICU-CRD external validation funnel (200,859 → 148,662 → 131,448 → 122,905 → 118,021) using frozen MIMIC-IV models. eICU-CRD was not used for model training or threshold selection. Stepwise exclusion counts match Supplementary Methods. Each panel is read top-to-bottom from screening (initial ICU stays) to the final analysis cohort; successive boxes show narrowing n after each exclusion.</w:t>
      </w:r>
    </w:p>
    <w:p w14:paraId="6D6E46E5" w14:textId="77777777" w:rsidR="00B132A4" w:rsidRDefault="00000000">
      <w:r>
        <w:rPr>
          <w:rFonts w:eastAsia="Times New Roman" w:cs="Times New Roman"/>
        </w:rPr>
        <w:lastRenderedPageBreak/>
        <w:t>Alt text: Two cohort-flow diagrams show MIMIC-IV narrowing from 94,458 screened ICU stays to 52,868 analyzed stays, and eICU-CRD from 200,859 to 118,021, after age, first-eligible-stay, hour-12 risk-set, and observation-grid or death-time filters. eICU-CRD is evaluated using frozen MIMIC-IV models.</w:t>
      </w:r>
    </w:p>
    <w:p w14:paraId="3AA2C34A" w14:textId="77777777" w:rsidR="00B132A4" w:rsidRDefault="00000000">
      <w:r>
        <w:rPr>
          <w:rFonts w:eastAsia="Times New Roman" w:cs="Times New Roman"/>
        </w:rPr>
        <w:t>Figure 3. Primary-endpoint AUPRC in MIMIC-IV development and frozen eICU-CRD evaluation. Bars show point estimates. Labels show comparator-minus-PatchFusion differences; negative values favor PatchFusion. Hi-Patch and LGTRL-DE use common-input adaptations. Confidence intervals are reported in Table 3. The panels use different AUPRC axis ranges.</w:t>
      </w:r>
    </w:p>
    <w:p w14:paraId="112AD0B7" w14:textId="77777777" w:rsidR="00B132A4" w:rsidRDefault="00000000">
      <w:r>
        <w:rPr>
          <w:rFonts w:eastAsia="Times New Roman" w:cs="Times New Roman"/>
        </w:rPr>
        <w:t>Alt text: Two horizontal bar charts compare primary-endpoint AUPRC in MIMIC-IV and frozen eICU-CRD. PatchFusion has the highest point estimates, 0.578 and 0.354. Benchmark and reversed-pathway differences favor PatchFusion. The panels use different axis ranges; confidence intervals are in Table 3.</w:t>
      </w:r>
    </w:p>
    <w:p w14:paraId="3295C65C" w14:textId="77777777" w:rsidR="00B132A4" w:rsidRDefault="00000000">
      <w:r>
        <w:rPr>
          <w:rFonts w:eastAsia="Times New Roman" w:cs="Times New Roman"/>
        </w:rPr>
        <w:t>Figure 4. SHAP-based interpretation of PatchFusion. Panel A, sample-level SHAP distributions. Panel B, mean absolute SHAP rankings.</w:t>
      </w:r>
    </w:p>
    <w:p w14:paraId="36E79502" w14:textId="77777777" w:rsidR="00B132A4" w:rsidRDefault="00000000">
      <w:r>
        <w:rPr>
          <w:rFonts w:eastAsia="Times New Roman" w:cs="Times New Roman"/>
        </w:rPr>
        <w:t>Alt text: SHAP displays summarize model associations with input variables. Panel A shows sample-level SHAP distributions, and Panel B ranks mean absolute SHAP values. Neurologic, metabolic, renal, circulatory, and oxygenation inputs contribute to the reported associations; these are not causal effects.</w:t>
      </w:r>
    </w:p>
    <w:sectPr w:rsidR="00B132A4" w:rsidSect="00034616">
      <w:pgSz w:w="11906" w:h="16838"/>
      <w:pgMar w:top="1224" w:right="1440" w:bottom="1224"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362AD" w14:textId="77777777" w:rsidR="0044072C" w:rsidRDefault="0044072C">
      <w:pPr>
        <w:spacing w:after="0" w:line="240" w:lineRule="auto"/>
      </w:pPr>
      <w:r>
        <w:separator/>
      </w:r>
    </w:p>
  </w:endnote>
  <w:endnote w:type="continuationSeparator" w:id="0">
    <w:p w14:paraId="03FE042A" w14:textId="77777777" w:rsidR="0044072C" w:rsidRDefault="00440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6259A" w14:textId="77777777" w:rsidR="00576C7E"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4CA85" w14:textId="77777777" w:rsidR="0044072C" w:rsidRDefault="0044072C">
      <w:pPr>
        <w:spacing w:after="0" w:line="240" w:lineRule="auto"/>
      </w:pPr>
      <w:r>
        <w:separator/>
      </w:r>
    </w:p>
  </w:footnote>
  <w:footnote w:type="continuationSeparator" w:id="0">
    <w:p w14:paraId="55929B0E" w14:textId="77777777" w:rsidR="0044072C" w:rsidRDefault="00440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05EEA" w14:textId="77777777" w:rsidR="00576C7E"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0015907">
    <w:abstractNumId w:val="8"/>
  </w:num>
  <w:num w:numId="2" w16cid:durableId="311763882">
    <w:abstractNumId w:val="6"/>
  </w:num>
  <w:num w:numId="3" w16cid:durableId="536042823">
    <w:abstractNumId w:val="5"/>
  </w:num>
  <w:num w:numId="4" w16cid:durableId="1906839955">
    <w:abstractNumId w:val="4"/>
  </w:num>
  <w:num w:numId="5" w16cid:durableId="1687512209">
    <w:abstractNumId w:val="7"/>
  </w:num>
  <w:num w:numId="6" w16cid:durableId="487870723">
    <w:abstractNumId w:val="3"/>
  </w:num>
  <w:num w:numId="7" w16cid:durableId="1026756092">
    <w:abstractNumId w:val="2"/>
  </w:num>
  <w:num w:numId="8" w16cid:durableId="2062972014">
    <w:abstractNumId w:val="1"/>
  </w:num>
  <w:num w:numId="9" w16cid:durableId="1070928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72C"/>
    <w:rsid w:val="00576C7E"/>
    <w:rsid w:val="00A30A90"/>
    <w:rsid w:val="00A514B7"/>
    <w:rsid w:val="00AA1D8D"/>
    <w:rsid w:val="00B132A4"/>
    <w:rsid w:val="00B47730"/>
    <w:rsid w:val="00CB0664"/>
    <w:rsid w:val="00D1615F"/>
    <w:rsid w:val="00FB05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2E002"/>
  <w14:defaultImageDpi w14:val="300"/>
  <w15:docId w15:val="{AB7EA66F-18A3-CB47-8E6B-3D6A34942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480" w:lineRule="auto"/>
    </w:pPr>
    <w:rPr>
      <w:rFonts w:ascii="Times New Roman" w:hAnsi="Times New Roman"/>
      <w:color w:val="000000"/>
      <w:sz w:val="24"/>
    </w:rPr>
  </w:style>
  <w:style w:type="paragraph" w:styleId="1">
    <w:name w:val="heading 1"/>
    <w:basedOn w:val="a1"/>
    <w:next w:val="a1"/>
    <w:link w:val="1Char"/>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Char"/>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contextualSpacing/>
    </w:pPr>
    <w:rPr>
      <w:rFonts w:asciiTheme="majorHAnsi" w:eastAsiaTheme="majorEastAsia" w:hAnsiTheme="majorHAnsi" w:cstheme="majorBidi"/>
      <w:b/>
      <w:spacing w:val="5"/>
      <w:kern w:val="28"/>
      <w:sz w:val="2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7864</Words>
  <Characters>44825</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Capturing Temporal Patterns for ICU Mortality Prediction with Recurrent Patch Representation and External Evaluation</dc:title>
  <dc:subject>JAMIA Research and Applications submission</dc:subject>
  <dc:creator>Jaehong Kim; Seohyeon Yoo; Jaehyuk Cho</dc:creator>
  <cp:keywords/>
  <dc:description>generated by python-docx</dc:description>
  <cp:lastModifiedBy>김재홍</cp:lastModifiedBy>
  <cp:revision>3</cp:revision>
  <dcterms:created xsi:type="dcterms:W3CDTF">2013-12-23T23:15:00Z</dcterms:created>
  <dcterms:modified xsi:type="dcterms:W3CDTF">2026-10-08T08:57:00Z</dcterms:modified>
  <cp:category/>
</cp:coreProperties>
</file>