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jpe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3ABB" w14:textId="77777777" w:rsidR="006303DE" w:rsidRDefault="00000000">
      <w:pPr>
        <w:pStyle w:val="Title"/>
        <w:keepNext/>
        <w:keepLines w:val="0"/>
        <w:widowControl/>
        <w:spacing w:after="80" w:line="480" w:lineRule="auto" w:before="0"/>
        <w:ind w:left="0" w:right="0" w:firstLine="0"/>
      </w:pPr>
      <w:r>
        <w:rPr>
          <w:rFonts w:ascii="Times New Roman" w:hAnsi="Times New Roman" w:eastAsia="Times New Roman" w:cs="Times New Roman"/>
          <w:b/>
          <w:vanish w:val="0"/>
          <w:color w:val="000000"/>
          <w:sz w:val="28"/>
        </w:rPr>
        <w:t>PatchFusion Supplementary Methods and Analyses for JAMIA</w:t>
      </w:r>
    </w:p>
    <w:p w14:paraId="6864C8C9" w14:textId="77777777" w:rsidR="006303DE"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This supplement accompanies "Capturing Temporal Patterns for ICU Mortality Prediction with Recurrent Patch Representation and External Evaluation". It specifies the construction of global attention units from recurrently encoded overlapping multivariate patches. MIMIC-IV comparisons evaluate the complete representation pathway against hierarchical benchmarks and matched reversals; frozen eICU-CRD testing evaluates retention on the primary endpoint; Hallym assesses separately fitted endpoint models under routine EHR capture. Tables S1–S30, including letter-suffixed tables, and Figures S1–S6 report implementation details and results. The parameter-matched 12-token reversal is prespecified, while token matching and patch-setting comparisons are post hoc. P values are exploratory, two-sided, and multiplicity-unadjusted.</w:t>
      </w:r>
    </w:p>
    <w:p w14:paraId="7D77B157"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 Class Distribution Across Datasets and Prediction Horizons (Including In-Hospital Mortality)</w:t>
      </w:r>
    </w:p>
    <w:p w14:paraId="73DB4D24"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S2. Clinical Features Used for Model Training (Base Channels Plus Matched Hourly Temporal Deltas)</w:t>
      </w:r>
    </w:p>
    <w:p w14:paraId="3F2B458E" w14:textId="77777777" w:rsidR="006303DE"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Table S3. Characteristics of the Hallym 4-Hospital Intensive Care Unit Cohort (Secondary-Endpoint Real-World Transport (Routinely Collected EHR); Retrospective Replay and Prospective Silent Scoring from August 28, 2025; October 20, 2022–June 1, 2026)</w:t>
      </w:r>
    </w:p>
    <w:p w14:paraId="7A182C94"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S4. Model Configuration and Comparative Experimental Settings</w:t>
      </w:r>
    </w:p>
    <w:p w14:paraId="0C731B5C"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S5. Pairwise Comparisons of AUROC (DeLong) and AUPRC (Bootstrap) With 95% CIs and P Values (MIMIC-IV, Including In-Hospital Mortality)</w:t>
      </w:r>
    </w:p>
    <w:p w14:paraId="36ED59FC"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S5b. Pairwise Comparisons of AUROC (DeLong) and AUPRC (Patient-Cluster Bootstrap) in the Hallym Cohort</w:t>
      </w:r>
    </w:p>
    <w:p w14:paraId="4AA1EFEA"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S6. Performance of Mortality Prediction Models on eICU-CRD (Locked MIMIC-IV–Trained Models, Including In-Hospital Mortality)</w:t>
      </w:r>
    </w:p>
    <w:p w14:paraId="417DB5E8"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S7. Ablation Study Results on MIMIC-IV</w:t>
      </w:r>
    </w:p>
    <w:p w14:paraId="0EB84D37"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S8. Influenza Subcohort Performance</w:t>
      </w:r>
    </w:p>
    <w:p w14:paraId="4F76F8D8"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S9. MIMIC-IV Model Input Variables Applied to the Hallym Cohort (Intersection Used, Unavailable Features and Their Temporal Deltas Masked)</w:t>
      </w:r>
    </w:p>
    <w:p w14:paraId="22354359" w14:textId="77777777" w:rsidR="0081392D"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S9b. Hallym Variables Not Used as PatchFusion Model Inputs (Including SOFA-2 Oxygen Fields)</w:t>
      </w:r>
    </w:p>
    <w:p w14:paraId="70656EBE"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S9c. Hallym Oxygen-Therapy Fields and Mapping to FiO₂ / Advanced Support for SOFA-2</w:t>
      </w:r>
    </w:p>
    <w:p w14:paraId="7E565ED0"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S9d. Pre-specified Glasgow Coma Scale Equivalence Map for qSOFA Altered Mentation (Hallym)</w:t>
      </w:r>
    </w:p>
    <w:p w14:paraId="52805210"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S10. In-hospital Mortality Performance in the Hallym Cohort (Frozen MIMIC-IV In-Hospital Models: PatchFusion, LSTM, Transformer, TBAL)</w:t>
      </w:r>
    </w:p>
    <w:p w14:paraId="1FD91D6F"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S11. Seven-Day Mortality Performance in the Hallym Cohort (Frozen MIMIC-IV 7-Day Models: PatchFusion, LSTM, Transformer, TBAL)</w:t>
      </w:r>
    </w:p>
    <w:p w14:paraId="674AFB32"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b/>
          <w:vanish w:val="0"/>
          <w:color w:val="000000"/>
          <w:sz w:val="22"/>
        </w:rPr>
        <w:t>Table S11c. Prospective Silent-Scoring Discrimination in Hallym (PatchFusion; n=279 stays from August 28, 2025)</w:t>
      </w:r>
    </w:p>
    <w:p w14:paraId="2EE568ED"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b/>
          <w:vanish w:val="0"/>
          <w:color w:val="000000"/>
          <w:sz w:val="22"/>
        </w:rPr>
        <w:t>Table S4b. Locked PatchFusion Module Shapes and Parameter Counts (sum = 1.84M)</w:t>
      </w:r>
    </w:p>
    <w:p w14:paraId="31F71155"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b/>
          <w:vanish w:val="0"/>
          <w:color w:val="000000"/>
          <w:sz w:val="22"/>
        </w:rPr>
        <w:t>Table S4c. Locked Comparator Module Shapes and Parameter Counts</w:t>
      </w:r>
    </w:p>
    <w:p w14:paraId="268D19D8"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S12. qSOFA and SOFA-2 Discrimination on MIMIC-IV (Youden Cutpoint Selection Cohort)</w:t>
      </w:r>
    </w:p>
    <w:p w14:paraId="0E2529B8" w14:textId="77777777" w:rsidR="0081392D"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lastRenderedPageBreak/>
        <w:t>Table S12b. qSOFA, SOFA-2 Total Score, and PatchFusion Discrimination in the Hallym Cohort (Pooled Out-of-Fold Youden for PatchFusion; Pooled-OOF Integer Youden for qSOFA/SOFA-2)</w:t>
      </w:r>
    </w:p>
    <w:p w14:paraId="42BE3ECD"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S12c. Exploratory Post Hoc Discordance Between PatchFusion and SOFA-2 at Locked Youden Cutpoints for 7-Day Mortality in the Hallym Cohort (Pooled-OOF Youden Threshold for PatchFusion)</w:t>
      </w:r>
    </w:p>
    <w:p w14:paraId="177C18D7"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S13. Patch-Size and Stride Sensitivity Analysis on MIMIC-IV (≈12–24-Hour Mortality Window)</w:t>
      </w:r>
    </w:p>
    <w:p>
      <w:pPr>
        <w:keepNext w:val="0"/>
        <w:keepLines w:val="0"/>
        <w:widowControl/>
        <w:spacing w:line="480" w:lineRule="auto" w:before="0" w:after="80"/>
        <w:ind w:left="0" w:right="0" w:firstLine="0"/>
      </w:pPr>
      <w:r>
        <w:rPr>
          <w:rFonts w:ascii="Times New Roman" w:hAnsi="Times New Roman" w:eastAsia="Times New Roman" w:cs="Times New Roman"/>
          <w:b/>
          <w:vanish w:val="0"/>
          <w:color w:val="000000"/>
          <w:sz w:val="22"/>
        </w:rPr>
        <w:t>Table S13b. Pathway Comparison Across Patch Settings (Local→Global vs Global→Local; Post Hoc Robustness)</w:t>
      </w:r>
    </w:p>
    <w:p w14:paraId="0ED1A5D5"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S14. Locked PatchFusion Final-Model Score Distributions on External Cohorts</w:t>
      </w:r>
    </w:p>
    <w:p w14:paraId="1BD398EC"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S15. Calibration of Deep Learning Models for Primary ≈12–24-Hour Mortality and Hallym Secondary Endpoints (Intercept, Slope, and Brier)</w:t>
      </w:r>
    </w:p>
    <w:p w14:paraId="1F9E6696"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Tables S16A–S16B. Pooled-OOF Primary Operating Characteristics and Separate Apparent Full-Cohort Development Re-evaluations</w:t>
      </w:r>
    </w:p>
    <w:p w14:paraId="1AD23B99"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S17. Hallym 7-Day Mortality by Calendar Period (Frozen PatchFusion)</w:t>
      </w:r>
    </w:p>
    <w:p w14:paraId="0E450B6A"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S18. Hospital-Stratified Hallym 7-Day Mortality (Frozen PatchFusion)</w:t>
      </w:r>
    </w:p>
    <w:p w14:paraId="09D3A925"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S19. Pooled OOF versus Final Full-Cohort Score-Scale Concordance (MIMIC-IV ≈12–24-Hour Mortality)</w:t>
      </w:r>
    </w:p>
    <w:p w14:paraId="180C966F"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S20. Random-Seed Robustness and Vanilla Transformer Comparison (MIMIC-IV ≈12–24-Hour Mortality)</w:t>
      </w:r>
    </w:p>
    <w:p w14:paraId="35F3D753"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S21. Model Size and Computational Burden (NVIDIA L40S)</w:t>
      </w:r>
    </w:p>
    <w:p w14:paraId="66984B10"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S22. Extended Comparator Performance on MIMIC-IV (≈12–24-Hour Mortality)</w:t>
      </w:r>
    </w:p>
    <w:p w14:paraId="7B84A2B0"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S23. Frozen eICU-CRD Transport of Extended Comparators (≈12–24-Hour Mortality)</w:t>
      </w:r>
    </w:p>
    <w:p>
      <w:pPr>
        <w:keepNext w:val="0"/>
        <w:keepLines w:val="0"/>
        <w:widowControl/>
        <w:spacing w:line="480" w:lineRule="auto" w:before="0" w:after="80"/>
        <w:ind w:left="0" w:right="0" w:firstLine="0"/>
      </w:pPr>
      <w:r>
        <w:rPr>
          <w:rFonts w:ascii="Times New Roman" w:hAnsi="Times New Roman" w:eastAsia="Times New Roman" w:cs="Times New Roman"/>
          <w:b/>
          <w:vanish w:val="0"/>
          <w:color w:val="000000"/>
          <w:sz w:val="22"/>
        </w:rPr>
        <w:t xml:space="preserve">Table S23b. Frozen external computation-order contrasts (prespecified 12-token and post hoc token-matched controls)</w:t>
      </w:r>
    </w:p>
    <w:p w14:paraId="2A624023"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S24. One-at-a-Time Ablation of PatchFusion (MIMIC-IV ≈12–24-Hour Mortality)</w:t>
      </w:r>
    </w:p>
    <w:p>
      <w:pPr>
        <w:keepNext w:val="0"/>
        <w:keepLines w:val="0"/>
        <w:widowControl/>
        <w:spacing w:line="480" w:lineRule="auto" w:before="0" w:after="80"/>
        <w:ind w:left="0" w:right="0" w:firstLine="0"/>
      </w:pPr>
      <w:r>
        <w:rPr>
          <w:rFonts w:ascii="Times New Roman" w:hAnsi="Times New Roman" w:eastAsia="Times New Roman" w:cs="Times New Roman"/>
          <w:b/>
          <w:vanish w:val="0"/>
          <w:color w:val="000000"/>
          <w:sz w:val="22"/>
        </w:rPr>
        <w:t>Table S24b. Token-Matched and Parameter-Matched Order Control (MIMIC-IV ≈12–24-Hour Mortality; Post Hoc Robustness)</w:t>
      </w:r>
    </w:p>
    <w:p w14:paraId="16433E7B"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S25. Model Size and Computational Burden (Extended Comparators)</w:t>
      </w:r>
    </w:p>
    <w:p w14:paraId="2CC0BE44"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S26. Decision-Curve Net Benefit (PatchFusion vs Extended Comparators)</w:t>
      </w:r>
    </w:p>
    <w:p w14:paraId="794FF869"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S27. Iso-Sensitivity Operating Characteristics</w:t>
      </w:r>
    </w:p>
    <w:p w14:paraId="0BF9DFD0"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S28. Iso-Alert-Rate Operating Characteristics</w:t>
      </w:r>
    </w:p>
    <w:p>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S29. Patch Encoder and Within-Patch Order Comparisons</w:t>
      </w:r>
    </w:p>
    <w:p>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S29b. Patch Encoder Implementation and Parameter Counts</w:t>
      </w:r>
    </w:p>
    <w:p>
      <w:pPr>
        <w:keepNext w:val="0"/>
        <w:keepLines w:val="0"/>
        <w:widowControl/>
        <w:spacing w:line="480" w:lineRule="auto" w:before="0" w:after="80"/>
        <w:ind w:left="0" w:right="0" w:firstLine="0"/>
      </w:pPr>
      <w:r>
        <w:rPr>
          <w:rFonts w:ascii="Times New Roman" w:hAnsi="Times New Roman" w:eastAsia="Times New Roman" w:cs="Times New Roman"/>
          <w:b/>
          <w:vanish w:val="0"/>
          <w:color w:val="000000"/>
          <w:sz w:val="22"/>
        </w:rPr>
        <w:t>Table S30. Local representation formation and global interaction</w:t>
      </w:r>
    </w:p>
    <w:p w14:paraId="0C0BF838"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Figure S1. Seven-Day Mortality Prediction Curves on MIMIC-IV</w:t>
      </w:r>
    </w:p>
    <w:p w14:paraId="423E4506" w14:textId="77777777" w:rsidR="006303DE"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Figure S2. Seven-Day Mortality Discrimination Summary on eICU-CRD</w:t>
      </w:r>
    </w:p>
    <w:p w14:paraId="69EAD85C"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Figure S3. ROC and Precision–Recall Curves in the Influenza Subcohort</w:t>
      </w:r>
    </w:p>
    <w:p w14:paraId="1E32E416" w14:textId="77777777" w:rsidR="006303DE"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Figure S4. Training and Validation Stability of PatchFusion in the Influenza Subcohort</w:t>
      </w:r>
    </w:p>
    <w:p w14:paraId="2164ECA5"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t>Figure S5. Reliability Diagrams for Primary ≈12–24-Hour Mortality and Hallym Secondary Endpoints</w:t>
      </w:r>
    </w:p>
    <w:p w14:paraId="37D748D0"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b/>
          <w:vanish w:val="0"/>
          <w:color w:val="000000"/>
          <w:sz w:val="22"/>
        </w:rPr>
        <w:lastRenderedPageBreak/>
        <w:t>Figure S6. Decision-Curve Analysis for PatchFusion and Extended Comparators</w:t>
      </w:r>
    </w:p>
    <w:p w14:paraId="5911295B" w14:textId="77777777" w:rsidR="0081392D" w:rsidRDefault="00000000">
      <w:pPr>
        <w:keepNext w:val="0"/>
        <w:keepLines w:val="0"/>
        <w:widowControl/>
        <w:spacing w:before="0" w:after="80" w:line="480" w:lineRule="auto"/>
        <w:ind w:left="0" w:right="0" w:firstLine="0"/>
      </w:pPr>
      <w:r>
        <w:rPr>
          <w:rFonts w:eastAsia="Times New Roman" w:cs="Times New Roman" w:ascii="Times New Roman" w:hAnsi="Times New Roman"/>
          <w:b/>
          <w:vanish w:val="0"/>
          <w:color w:val="000000"/>
          <w:sz w:val="22"/>
        </w:rPr>
        <w:t>Supplementary Methods</w:t>
      </w:r>
    </w:p>
    <w:p w14:paraId="026C6114" w14:textId="77777777" w:rsidR="0081392D" w:rsidRDefault="00000000">
      <w:pPr>
        <w:keepNext w:val="0"/>
        <w:keepLines w:val="0"/>
        <w:widowControl/>
        <w:spacing w:after="80" w:line="480" w:lineRule="auto" w:before="0"/>
        <w:ind w:left="0" w:right="0" w:firstLine="0"/>
      </w:pPr>
      <w:r>
        <w:rPr>
          <w:rFonts w:eastAsia="Times New Roman" w:cs="Times New Roman" w:ascii="Times New Roman" w:hAnsi="Times New Roman"/>
          <w:b/>
          <w:vanish w:val="0"/>
          <w:color w:val="000000"/>
          <w:sz w:val="22"/>
        </w:rPr>
        <w:t>PatchFusion Architecture</w:t>
      </w:r>
    </w:p>
    <w:p w14:paraId="12D4E7A7"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PatchFusion constructs global attention units from explicitly delimited local trajectories. The first 12 hourly states are divided into overlapping six-hour patches with a three-hour stride. The same BiLSTM is applied separately to each patch, limiting local recurrent computation to its six ordered steps. Terminal states are projected to one trajectory token per patch before any global attention. This implements the clinically motivated principle of representing local evolution before integrating the wider course.</w:t>
      </w:r>
    </w:p>
    <w:p w14:paraId="0CC7ABAB"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Concatenated terminal forward and backward BiLSTM states summarize the ordered sequence within each patch and are projected to the Transformer width. The encoder shares weights across patch positions. Both directions operate within the completed first-12-hour observation window. These learned summaries are the inputs to the global stage; they do not identify annotated clinical events or guarantee lossless preservation of every hourly measurement.</w:t>
      </w:r>
    </w:p>
    <w:p w14:paraId="631179DD"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Global attention operates on three recurrent patch-trajectory tokens. RoPE applies query/key rotation to represent relative patch displacement. Thus the local stage determines the representation of each bounded trajectory, and the global stage learns relationships among those representations. Shared observations occur in adjacent overlapping contexts. The reversed controls specify alternative construction and placement of global context through their executable flows below.</w:t>
      </w:r>
    </w:p>
    <w:p w14:paraId="307CFCB6"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Explicit patch scope, recurrent token formation, and relative-position attention jointly define the evaluated architecture. Removing overlap or RoPE changes the corresponding configuration and reduced MIMIC-IV primary-horizon AUPRC in Table S24. The segmentation comparisons in Table S13b examine additional patch settings. These analyses describe configuration-specific effects with the stated token and parameter differences; all inputs remain within the completed observation window.</w:t>
      </w:r>
    </w:p>
    <w:p w14:paraId="45F79B66"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Executable PatchFusion tensor and head specification. For a batch of B stays, the input has shape [B,12,66]. Unfolding with patch length 6 and stride 3 gives [B,3,6,66]. The shared hourly projection Linear(66,256,bias=True) gives [B,3,6,256]. Each patch is passed through a one-layer bidirectional LSTM with input_size=256 and hidden_size=189 per direction; concatenating the terminal forward/backward states gives [B,3,378], followed by Linear(378,256,bias=True) to form three episode tokens [B,3,256]. RoPE is applied to query/key vectors only. The global encoder is two pre-norm TransformerEncoderLayer blocks with d_model=256, nhead=8, dim_feedforward=512, GELU activation, dropout=0.2, batch_first=True, and attention/FFN biases enabled. Token-axis mean pooling maps [B,3,256] to [B,256]. The final classification head is Dropout(0.2) followed by Linear(256,1,bias=True), producing logits [B,1]; sigmoid is applied only when probabilities are exported. Thus “hidden size” is 189 per BiLSTM direction, whereas 256 is the projected episode/Transformer width; PatchFusion FFN width is 512. The standalone Transformer comparator separately uses d_model=256 and FFN width 1024 (Table S4c).</w:t>
      </w:r>
    </w:p>
    <w:p w14:paraId="47116442"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The comparators address distinct representation questions. PatchTST supplies projected channel-wise patch tokens; Hi-Patch encodes observations through intra-patch graphs and uses inter-patch graph processing; LGTRL-DE supplies a recurrent local/global reference. PatchFusion forms recurrent states independently within overlapping patches and supplies their projected terminal-state trajectory tokens to relative-position attention; recurrent states are not carried between patches. Under common inputs and splits, AUPRC was 0.578 versus 0.461 for PatchTST in MIMIC-IV and 0.354 versus 0.298 under frozen eICU-CRD testing. Their parameters were 1.84 versus 2.12 million and throughput-based inference estimates 12.4 versus 15.1 ms per stay (Tables S22–S25). Paired reversals compare complete pathways using the same trainable inventory. Hi-Patch and LGTRL-DE are adaptations to the common hourly dynamic-input protocol rather than evaluations of all published configurations.</w:t>
      </w:r>
    </w:p>
    <w:p w14:paraId="1068C294" w14:textId="77777777" w:rsidR="006E4139" w:rsidRDefault="00000000">
      <w:pPr>
        <w:keepNext w:val="0"/>
        <w:keepLines w:val="0"/>
        <w:widowControl/>
        <w:spacing w:before="0" w:after="80" w:line="480" w:lineRule="auto"/>
        <w:ind w:left="0" w:right="0" w:firstLine="0"/>
      </w:pPr>
      <w:r>
        <w:rPr>
          <w:rFonts w:eastAsia="Times New Roman" w:cs="Times New Roman" w:ascii="Times New Roman" w:hAnsi="Times New Roman"/>
          <w:b/>
          <w:vanish w:val="0"/>
          <w:color w:val="000000"/>
          <w:sz w:val="22"/>
        </w:rPr>
        <w:lastRenderedPageBreak/>
        <w:t>Intended Clinical Use</w:t>
      </w:r>
    </w:p>
    <w:p w14:paraId="1DFD582C" w14:textId="77777777" w:rsidR="006E4139"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 xml:space="preserve">PatchFusion produces one score per eligible stay at hour 12 using the preceding physiologic record. The primary outcome is death in (12,24] hours after ICU admission. The proposed workflow uses the score to prioritize clinician reassessment; the current evaluation measures prediction and operating behavior, with scores withheld from clinicians during silent operation.</w:t>
      </w:r>
    </w:p>
    <w:p w14:paraId="1B2C5C00"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Exploratory primary-endpoint lead-time audit. Among 615 deaths in the (12,24]-hour interval, the score-to-death median was 6.3 hours (IQR 3.4–9.1); 71 deaths (11.5%) occurred within 2 hours after scoring. Excluding those 71 stays left N=52,797 with 544 events and yielded PatchFusion AUROC 0.974 (95% CI 0.960–0.986) and AUPRC 0.552 (0.495–0.607).</w:t>
      </w:r>
    </w:p>
    <w:p w14:paraId="0FD23D30" w14:textId="77777777" w:rsidR="006E4139"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Primary cohort eligibility followed Figure 2 with explicit hour-12 risk-set filtering. MIMIC-IV screened 94,458 ICU stays; 71,204 were aged 18–80 years; 58,912 were the first eligible stay per patient; 54,103 remained alive in the ICU through hour 12; 1,235 were excluded for unknown death timing or an incomplete first-12-hour observation grid after preprocessing; the analysis cohort was 52,868 stays. eICU-CRD screened 200,859 stays; 148,662 were aged 18–80 years; 131,448 were first eligible stays; 122,905 remained alive in the ICU through hour 12; 4,884 were excluded for unknown death timing or incomplete grids; the analysis cohort was 118,021 stays. The upper ICU length-of-stay limit of 30 days was reserved for sensitivity analysis. Hallym screened 2,486 ICU admissions in the study window; 1,652 met age and site eligibility; 1,218 remained alive in the ICU at hour 12; 118 lacked ascertainable discharge/death status for the secondary endpoints and were excluded from discrimination and locked-threshold operating analyses (analysis cohort 1,100 stays / 1,044 patients; 56 patients contributed a second eligible stay). By admission date, 74 were in the retrospective-replay window and 44 in the prospective window (44/323=13.6% of hour-12–eligible prospective admissions). Among the 118, chart review of the extract classified: 51 with missing or contradictory discharge disposition/death fields (extract/documentation gap); 39 transferred out of the Hallym network before a definitive discharge/death label was recorded; and 28 still hospitalized at the shared administrative close of 1 June 2026 (admission inclusion and outcome ascertainment both ended on that date). Chart audit of these 28: 19 (67.9%) had elapsed ≥7 days from ICU admission to the close date and could therefore receive a provisional 7-day label of alive-at-day-7 while remaining unresolved for in-hospital mortality; 9 (32.1%) had elapsed &lt;7 days and remained unresolved for both endpoints. In the locked analyses reported here, all 28 stayed excluded from both discrimination and locked-threshold operating tables pending complete discharge/death ascertainment. The still-hospitalized subset may induce length-of-stay–related selection; transferred and documentation-gap exclusions affect ascertainment rather than score generation. The analytic extract contained timestamped scores for 279 of 323 hour-12–eligible prospective admissions (86.4%). For the remaining 44, the available extract cannot distinguish failure to generate a score from generation without durable retention/export; outcome ascertainment and score generation are therefore not treated as the same process. Input timestamps used charting/result-available times rather than order times; values first appearing after hour 12 were not written back into the observation window. Laboratory persistence followed the pre-specified redraw windows in Supplementary Methods; vital-sign carry-forward stopped at hour 12. Operational coverage is reported with the hour-12–eligible denominator as 279/323=86.4%. The value 279/279=100% describes score availability only within the outcome-ascertainable analysis subset and is not presented as whole-cohort operational coverage.</w:t>
      </w:r>
    </w:p>
    <w:p w14:paraId="0F8219B8" w14:textId="77777777" w:rsidR="00092AD1" w:rsidRPr="00A729E3" w:rsidRDefault="00000000">
      <w:pPr>
        <w:keepNext w:val="0"/>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Data Preprocessing and Feature Construction</w:t>
      </w:r>
    </w:p>
    <w:p w14:paraId="0D215750"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Each ICU stay was transformed into an hourly multivariate time-series representation for the first 12 hours after ICU admission. Hourly resampling was used to standardize heterogeneous temporal resolutions across vital signs, laboratory measurements, medication-related variables, treatment indicators, urine output, and neurologic status. This preprocessing step allowed all models to receive temporally consistent input sequences. After hourly alignment of the base channels in Table S2, matched first-difference temporal deltas and the 22 raw-observation masks were concatenated to form the locked 66-d hourly tensor defined below, identically for MIMIC-IV, eICU-CRD, and Hallym.</w:t>
      </w:r>
    </w:p>
    <w:p w14:paraId="531F6161"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 xml:space="preserve">Preprocessing was designed for reproducibility and to avoid last-observation-carried-forward (LOCF) imputation of outcomes or unrestricted value persistence beyond clinically justified windows. Charted measurements were mapped onto a fixed hourly grid for the first 12 hours after ICU admission—the same observation window used for PatchFusion’s hourly series and 6-hour patches. Within each hour, duplicate timestamps retained the last vital-sign value or, when clinically indicated, the worst laboratory extremum. Vital signs (heart rate, blood pressure, respiratory rate, SpO₂, and temperature) are high-frequency ICU monitors; after hourly aggregation they were carry-forward–aligned within the 12-hour observation window so that the landmark input remained a coherent 12-hour trajectory, consistent with the main-text hour-12 intended use. Hours before the first observed vital for a channel remained missing. Vital values were not carried beyond hour 12 and were not used to impute post-observation outcomes. Laboratory analytes used shorter pre-specified clinical persistence windows aligned with typical ICU redraw intervals (arterial blood gas–related </w:t>
      </w:r>
      <w:r>
        <w:rPr>
          <w:rFonts w:eastAsia="Times New Roman" w:cs="Times New Roman" w:ascii="Times New Roman" w:hAnsi="Times New Roman"/>
          <w:vanish w:val="0"/>
          <w:color w:val="000000"/>
          <w:sz w:val="22"/>
        </w:rPr>
        <w:lastRenderedPageBreak/>
        <w:t>values and lactate ≤4 hours; basic metabolic panel electrolytes and related chemistries ≤8 hours; complete blood count indices ≤12 hours; other infrequently redrawn laboratories followed the same ≤12-hour cap unless a shorter analyte-specific window was pre-specified). After a laboratory carry-forward limit expired, subsequent hours stayed missing until a new measurement was observed. Treatment indicators, urine output, and neurologic status used the hourly grid without value carry-forward beyond the hour of documentation (absent documentation remained missing). Persistence fill updates values only; it does not flip the raw-observation mask. Binary masks therefore indicate whether a new measurement was recorded in that hour, not merely whether a filled value is present. Hourly temporal deltas were computed from the filled value series; invalid deltas were set to 0 without a separate delta-mask channel (locked 66-d specification below).</w:t>
      </w:r>
    </w:p>
    <w:p w14:paraId="75E7A91A" w14:textId="77777777" w:rsidR="00092AD1" w:rsidRPr="00A729E3" w:rsidRDefault="00092AD1">
      <w:pPr>
        <w:widowControl/>
        <w:spacing w:after="120" w:line="269" w:lineRule="auto"/>
        <w:rPr>
          <w:rFonts w:cs="Times New Roman"/>
        </w:rPr>
        <w:sectPr w:rsidR="00092AD1" w:rsidRPr="00A729E3">
          <w:footerReference w:type="default" r:id="rId7"/>
          <w:headerReference w:type="default" r:id="rId26"/>
          <w:type w:val="continuous"/>
          <w:pgSz w:w="16838" w:h="11906" w:orient="landscape"/>
          <w:pgMar w:top="936" w:right="936" w:bottom="936" w:left="936" w:header="360" w:footer="360" w:gutter="0"/>
          <w:cols w:space="720" w:num="1"/>
        </w:sectPr>
      </w:pPr>
    </w:p>
    <w:p w14:paraId="534F5164" w14:textId="77777777" w:rsidR="00092AD1" w:rsidRPr="00A729E3" w:rsidRDefault="00000000">
      <w:pPr>
        <w:keepNext w:val="0"/>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lastRenderedPageBreak/>
        <w:t>Outcome Labeling</w:t>
      </w:r>
    </w:p>
    <w:p w14:paraId="24F2486A"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Outcome labeling was defined at an hour-12 landmark. Eligibility requires being alive and remaining in the ICU at hour 12; deaths at or before that landmark must be excluded from the risk set rather than labeled as survivors. The stated primary outcome is in-hospital death in (12, 24] hours after ICU admission. Secondary intervals are (12, 48] hours, (12, 168] hours, and the remainder of the index hospitalization after hour 12. Death at an interval endpoint counts as positive. Discharge alive before an endpoint represents a non-event for this index-hospital mortality definition; post-discharge deaths are not ascertained by this endpoint.</w:t>
      </w:r>
    </w:p>
    <w:p w14:paraId="7DD0D13D"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Missing mortality timestamps must be distinguished from a documented discharge alive. A recorded death with an unknown time cannot be assigned a short-horizon label solely from the absence of a timestamp.</w:t>
      </w:r>
    </w:p>
    <w:p w14:paraId="1AB111B6" w14:textId="77777777" w:rsidR="00092AD1" w:rsidRPr="00A729E3" w:rsidRDefault="00000000">
      <w:pPr>
        <w:keepNext w:val="0"/>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Patient-Level Evaluation Protocol</w:t>
      </w:r>
    </w:p>
    <w:p w14:paraId="16013582"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To prevent data leakage during MIMIC-IV development, experiments used patient-level splitting. Patient identifiers were used as grouping variables so that all time-series samples from the same patient were assigned to the same training or validation fold. This ensured that no patient contributed samples to both training and validation sets within MIMIC-IV.</w:t>
      </w:r>
    </w:p>
    <w:p w14:paraId="476E6D28"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GroupKFold cross-validation on MIMIC-IV used an outer patient-level 5-fold partition for pooled out-of-fold performance reporting. Within each outer training partition, hyperparameters were selected on an inner held-out slice comprising 20% of training patients (random seed fixed per outer fold); early stopping used patience 10 and at most 100 epochs. The benchmark procedure monitored inner-validation AUROC, with validation AUPRC used for the reference and variants in the patch-encoder study (Tables 4, S29, and S29b). The search used the shared grids in Table S4 (learning rate {1e-4,5e-4,1e-3}, dropout {0.1,0.2,0.3}, weight decay {0,1e-4,1e-3}; 12–18 trials per model family). The configuration with the highest mean inner-validation AUROC across outer folds was locked, after which one final model per endpoint was retrained on the full MIMIC-IV development cohort under those locked settings and applied to eICU-CRD and Hallym without cohort-specific retraining. MIMIC-IV AUROC/AUPRC in Table 2 are therefore selected development estimates; locked external transport remains the primary generalizability evidence. Youden operating cutpoints for deep learning models were selected on pooled MIMIC-IV out-of-fold predictions under the locked configuration, with each stay scored only by the model from the fold in which that stay was held out, and held fixed for the corresponding final full-cohort model on external cohorts; external labels were not used for cutpoint selection. For qSOFA and SOFA-2, integer Youden cutpoints were selected on pooled MIMIC-IV out-of-fold scores as in the main text. This shared-configuration design is not a fully fold-specific nested cross-validation; MIMIC-IV Table 2 metrics remain selected development estimates, whereas eICU-CRD locked transport provides the primary untouched external test of the frozen pipeline. Development-set architecture ablations (Tables S7, S24) likewise do not replace independent external confirmation of structural comparisons.</w:t>
      </w:r>
    </w:p>
    <w:p w14:paraId="725E6275"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Executable final-full-cohort retraining and seed rule. Hyperparameters are selected using only the inner validation partitions. For each endpoint, the epoch budget for final retraining is fixed before external scoring as the median of the five outer-fold validation-selected best epochs from the locked PatchFusion configuration: ≈12–24-hour folds 29/31/32/34/36 (E*=32), ≈12–48-hour folds 31/33/34/36/38 (E*=34), 7-day folds 33/35/36/38/40 (E*=36), and in-hospital folds 35/37/38/40/42 (E*=38). The full MIMIC-IV cohort is then retrained for exactly E* epochs without early stopping or an external validation split, using Adam with learning rate 0.001, weight decay 0.001, batch size 300, constant learning rate, focal-loss α=0.75/γ=2.0, and dropout 0.2. The transport checkpoint uses the prospectively fixed integer seed 2 for Python, NumPy, PyTorch CPU/CUDA, model initialization, dropout, and DataLoader shuffling (deterministic algorithms enabled; cuDNN benchmark disabled). Seed 2 is not selected by eICU-CRD or Hallym performance and is not the best-performing seed selected from Table S20; seeds 1–5 are retained only for robustness summaries. Preprocessing statistics are refit once on the complete MIMIC-IV development cohort before final training, while endpoint thresholds remain those selected from pooled OOF predictions. Variant-specific epoch selection and the additional stochastic-input scoring protocol for the patch-encoder analysis are detailed in Table S29b.</w:t>
      </w:r>
    </w:p>
    <w:p w14:paraId="13D3634D" w14:textId="77777777" w:rsidR="00092AD1" w:rsidRPr="00A729E3" w:rsidRDefault="00000000">
      <w:pPr>
        <w:keepNext w:val="0"/>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Performance Metrics and Uncertainty Estimation</w:t>
      </w:r>
    </w:p>
    <w:p w14:paraId="2F9531FA"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Model performance was evaluated using the area under the receiver operating characteristic curve (AUROC) and the area under the precision–recall curve (AUPRC). AUROC was used to assess overall discriminative performance, whereas AUPRC was emphasized because short-term ICU mortality events were rare and the datasets showed substantial class imbalance.</w:t>
      </w:r>
    </w:p>
    <w:p w14:paraId="09AB15B8"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Performance uncertainty was quantified using percentile 95% confidence intervals derived from 2000 iterations of patient-level nonparametric bootstrap resampling. In MIMIC-IV/eICU-CRD analyses, patient-level predictions were resampled with replacement and AUROC and AUPRC were recomputed. In the Hallym cohort, because some patients contributed more than one ICU stay (1,100 stays, 1,044 patients), bootstrap resampling used patients as clusters: the 1,044 unique patients were drawn with replacement, and every stay linked to a sampled patient was included before recomputing AUROC, AUPRC, sensitivity, and specificity (same patient-cluster procedure for all four metrics; 2000 resamples). Two-sided P values for bootstrap contrasts (including pairwise AUPRC and PPV differences and stratum mortality contrasts) were empirical—twice the smaller proportion of bootstrap differences that were ≤0 or ≥0—rather than normal-approximation P values based on a bootstrap standard error. For deep learning models, the Youden probability threshold was selected using pooled MIMIC-IV out-of-fold predictions under the locked configuration, with each stay scored only by the model from the fold in which that stay was held out, and then held fixed for application with the corresponding final full-cohort model on eICU-CRD and Hallym. For qSOFA/SOFA-2, which use an identical deterministic score scale across folds, a single integer Youden cutpoint was selected on pooled MIMIC-IV out-of-fold scores and outcomes (qSOFA ≥1 for in-hospital and ≥2 for 7-day mortality, SOFA-2 total ≥5 for both endpoints) and held fixed for Hallym. eICU-CRD and Hallym labels were not used to choose or confirm any cutpoint in the primary locked-transport analyses. Hallym labels were used only in explicitly post hoc analyses that reselected thresholds, including the S27B iso-sensitivity comparison; those analyses are not evidence of locked-threshold transport. Sensitivity and specificity on external cohorts therefore reflect application of a MIMIC-IV–pre-specified, predictor-matched cutpoint. AUROC and AUPRC remain threshold-independent. Calibration for the primary ≈12–24-hour endpoint was summarized with logistic calibration intercept and slope and the Brier score on pooled MIMIC-IV out-of-fold predictions and locked eICU-CRD scores (Table S15); bootstrap uncertainty used the same 2000 patient-level resamples as discrimination metrics.</w:t>
      </w:r>
    </w:p>
    <w:p w14:paraId="0703C329" w14:textId="77777777" w:rsidR="00092AD1" w:rsidRPr="00A729E3" w:rsidRDefault="00000000">
      <w:pPr>
        <w:keepNext w:val="0"/>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Statistical Comparison</w:t>
      </w:r>
    </w:p>
    <w:p w14:paraId="3662A269"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Pairwise differences in AUROC between PatchFusion and each baseline model were assessed using the DeLong test for correlated receiver operating characteristic curves. Pairwise differences in AUPRC were assessed using patient-level bootstrap resampling (2000 resamples) to obtain percentile 95% confidence intervals and two-sided empirical P values (not normal approximation). Complete pairwise contrasts are provided in Table S5. The same pairwise DeLong AUROC and patient-cluster bootstrap AUPRC framework was applied to the Hallym locked-model evaluations (Table S5b).</w:t>
      </w:r>
    </w:p>
    <w:p w14:paraId="00FD5790" w14:textId="77777777" w:rsidR="00092AD1" w:rsidRPr="00A729E3" w:rsidRDefault="00092AD1">
      <w:pPr>
        <w:widowControl/>
        <w:spacing w:after="120" w:line="269" w:lineRule="auto"/>
        <w:rPr>
          <w:rFonts w:cs="Times New Roman"/>
        </w:rPr>
        <w:sectPr w:rsidR="00092AD1" w:rsidRPr="00A729E3">
          <w:footerReference w:type="default" r:id="rId8"/>
          <w:pgSz w:w="16838" w:h="11906" w:orient="landscape"/>
          <w:pgMar w:top="936" w:right="936" w:bottom="936" w:left="936" w:header="360" w:footer="360" w:gutter="0"/>
          <w:cols w:space="720" w:num="1"/>
        </w:sectPr>
      </w:pPr>
    </w:p>
    <w:p w14:paraId="1214D262" w14:textId="77777777" w:rsidR="00092AD1" w:rsidRPr="00A729E3" w:rsidRDefault="00000000">
      <w:pPr>
        <w:keepNext w:val="0"/>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lastRenderedPageBreak/>
        <w:t>Handling of Class Imbalance</w:t>
      </w:r>
    </w:p>
    <w:p w14:paraId="43D7AD61"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 xml:space="preserve">All deep learning models used α-balanced focal loss to address class imbalance. With logit z, label y ∈ {0,1}, p = σ(z), and p_t = y·p + (1 − y)(1 − p), the per-example loss was L = −α_t (1 − p_t)^γ log(p_t), where α_t = α·y + (1 − α)(1 − y), α = 0.75, and γ = 2.0. Equivalently, L = α_t (1 − p_t)^γ BCE(z,y), with binary cross-entropy computed without a pos_weight argument. Positive-class weighting entered through α alone.</w:t>
      </w:r>
    </w:p>
    <w:p w14:paraId="442334EC"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 xml:space="preserve">The shared focal-loss objective reduces the contribution of easy survivor examples and increases the relative contribution of death examples. All deep learning models received the common value, temporal-delta, and raw-mask inputs. Ranking, calibration, and threshold-based operating characteristics were evaluated separately; endpoint-specific transported score distributions are summarized in Table S14.</w:t>
      </w:r>
    </w:p>
    <w:p w14:paraId="6C826BF4" w14:textId="77777777" w:rsidR="00092AD1" w:rsidRPr="00A729E3" w:rsidRDefault="00000000">
      <w:pPr>
        <w:keepNext w:val="0"/>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Training Environment</w:t>
      </w:r>
    </w:p>
    <w:p w14:paraId="62745192"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All experiments were implemented in Python 3.10 using PyTorch 2.1.0. Data preprocessing and feature engineering were performed using Pandas and NumPy. Model training and evaluation were conducted on a workstation equipped with an NVIDIA L40S GPU. Shared optimization settings, including batch size, learning rate, optimizer, dropout rate, L2 regularization, number of epochs, and early stopping criteria, were kept consistent across models when applicable.</w:t>
      </w:r>
    </w:p>
    <w:p w14:paraId="236A3777" w14:textId="77777777" w:rsidR="00092AD1" w:rsidRPr="00A729E3" w:rsidRDefault="00092AD1">
      <w:pPr>
        <w:widowControl/>
        <w:spacing w:after="120" w:line="269" w:lineRule="auto"/>
        <w:rPr>
          <w:rFonts w:cs="Times New Roman"/>
        </w:rPr>
        <w:sectPr w:rsidR="00092AD1" w:rsidRPr="00A729E3">
          <w:footerReference w:type="default" r:id="rId9"/>
          <w:pgSz w:w="16838" w:h="11906" w:orient="landscape"/>
          <w:pgMar w:top="936" w:right="936" w:bottom="936" w:left="936" w:header="360" w:footer="360" w:gutter="0"/>
          <w:cols w:space="720" w:num="1"/>
        </w:sectPr>
      </w:pPr>
    </w:p>
    <w:p w14:paraId="3CDE9983" w14:textId="77777777" w:rsidR="00092AD1" w:rsidRPr="00A729E3" w:rsidRDefault="00000000">
      <w:pPr>
        <w:keepNext/>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lastRenderedPageBreak/>
        <w:t>Table S1. Class Distribution Across Datasets and Prediction Horizons (Including In-Hospital Mortality)</w:t>
      </w:r>
    </w:p>
    <w:tbl>
      <w:tblPr>
        <w:tblStyle w:val="a7"/>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94"/>
        <w:gridCol w:w="2993"/>
        <w:gridCol w:w="2993"/>
        <w:gridCol w:w="2993"/>
        <w:gridCol w:w="2993"/>
      </w:tblGrid>
      <w:tr w:rsidR="0081392D" w14:paraId="7A3061DD" w14:textId="77777777">
        <w:trPr>
          <w:jc w:val="center"/>
          <w:cantSplit/>
          <w:tblHeader/>
        </w:trPr>
        <w:tc>
          <w:tcPr>
            <w:tcW w:w="2994" w:type="dxa"/>
            <w:vAlign w:val="center"/>
            <w:shd w:fill="E7E7E7"/>
          </w:tcPr>
          <w:p w14:paraId="42B402CB"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Dataset</w:t>
            </w:r>
          </w:p>
        </w:tc>
        <w:tc>
          <w:tcPr>
            <w:tcW w:w="2993" w:type="dxa"/>
            <w:vAlign w:val="center"/>
            <w:shd w:fill="E7E7E7"/>
          </w:tcPr>
          <w:p w14:paraId="0EDBF52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Cohort Size</w:t>
            </w:r>
          </w:p>
        </w:tc>
        <w:tc>
          <w:tcPr>
            <w:tcW w:w="2993" w:type="dxa"/>
            <w:vAlign w:val="center"/>
            <w:shd w:fill="E7E7E7"/>
          </w:tcPr>
          <w:p w14:paraId="2759612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Horizon</w:t>
            </w:r>
          </w:p>
        </w:tc>
        <w:tc>
          <w:tcPr>
            <w:tcW w:w="2993" w:type="dxa"/>
            <w:vAlign w:val="center"/>
            <w:shd w:fill="E7E7E7"/>
          </w:tcPr>
          <w:p w14:paraId="2AF078D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Positive, No. (%)</w:t>
            </w:r>
          </w:p>
        </w:tc>
        <w:tc>
          <w:tcPr>
            <w:tcW w:w="2993" w:type="dxa"/>
            <w:vAlign w:val="center"/>
            <w:shd w:fill="E7E7E7"/>
          </w:tcPr>
          <w:p w14:paraId="6658DD5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Negative, No. (%)</w:t>
            </w:r>
          </w:p>
        </w:tc>
      </w:tr>
      <w:tr w:rsidR="0081392D" w14:paraId="014A04E1" w14:textId="77777777">
        <w:trPr>
          <w:jc w:val="center"/>
          <w:cantSplit/>
        </w:trPr>
        <w:tc>
          <w:tcPr>
            <w:tcW w:w="2994" w:type="dxa"/>
            <w:vAlign w:val="center"/>
            <w:shd w:fill="FFFFFF"/>
          </w:tcPr>
          <w:p w14:paraId="2D2766E1"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MIMIC-IV</w:t>
            </w:r>
          </w:p>
        </w:tc>
        <w:tc>
          <w:tcPr>
            <w:tcW w:w="2993" w:type="dxa"/>
            <w:vAlign w:val="center"/>
            <w:shd w:fill="FFFFFF"/>
          </w:tcPr>
          <w:p w14:paraId="5BA2887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52,868</w:t>
            </w:r>
          </w:p>
        </w:tc>
        <w:tc>
          <w:tcPr>
            <w:tcW w:w="2993" w:type="dxa"/>
            <w:vAlign w:val="center"/>
            <w:shd w:fill="FFFFFF"/>
          </w:tcPr>
          <w:p w14:paraId="055B6A4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2993" w:type="dxa"/>
            <w:vAlign w:val="center"/>
            <w:shd w:fill="FFFFFF"/>
          </w:tcPr>
          <w:p w14:paraId="1F08B5C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615 (1.2%)</w:t>
            </w:r>
          </w:p>
        </w:tc>
        <w:tc>
          <w:tcPr>
            <w:tcW w:w="2993" w:type="dxa"/>
            <w:vAlign w:val="center"/>
            <w:shd w:fill="FFFFFF"/>
          </w:tcPr>
          <w:p w14:paraId="2C317B0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52,253 (98.8%)</w:t>
            </w:r>
          </w:p>
        </w:tc>
      </w:tr>
      <w:tr w:rsidR="0081392D" w14:paraId="6F9C4422" w14:textId="77777777">
        <w:trPr>
          <w:jc w:val="center"/>
          <w:cantSplit/>
        </w:trPr>
        <w:tc>
          <w:tcPr>
            <w:tcW w:w="2994" w:type="dxa"/>
            <w:vAlign w:val="center"/>
            <w:shd w:fill="FFFFFF"/>
          </w:tcPr>
          <w:p w14:paraId="0FA9E1D7" w14:textId="77777777" w:rsidR="0081392D" w:rsidRDefault="0081392D">
            <w:pPr>
              <w:keepNext w:val="0"/>
              <w:keepLines w:val="0"/>
              <w:widowControl/>
              <w:spacing w:before="0" w:after="0" w:line="480" w:lineRule="auto"/>
              <w:ind w:left="0" w:right="0" w:firstLine="0"/>
              <w:jc w:val="left"/>
            </w:pPr>
          </w:p>
        </w:tc>
        <w:tc>
          <w:tcPr>
            <w:tcW w:w="2993" w:type="dxa"/>
            <w:vAlign w:val="center"/>
            <w:shd w:fill="FFFFFF"/>
          </w:tcPr>
          <w:p w14:paraId="0349AE22" w14:textId="77777777" w:rsidR="0081392D" w:rsidRDefault="0081392D">
            <w:pPr>
              <w:keepNext w:val="0"/>
              <w:keepLines w:val="0"/>
              <w:widowControl/>
              <w:spacing w:before="0" w:after="0" w:line="480" w:lineRule="auto"/>
              <w:ind w:left="0" w:right="0" w:firstLine="0"/>
              <w:jc w:val="center"/>
            </w:pPr>
          </w:p>
        </w:tc>
        <w:tc>
          <w:tcPr>
            <w:tcW w:w="2993" w:type="dxa"/>
            <w:vAlign w:val="center"/>
            <w:shd w:fill="FFFFFF"/>
          </w:tcPr>
          <w:p w14:paraId="3CA9EFB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2993" w:type="dxa"/>
            <w:vAlign w:val="center"/>
            <w:shd w:fill="FFFFFF"/>
          </w:tcPr>
          <w:p w14:paraId="5E5EC2E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1,295 (2.4%)</w:t>
            </w:r>
          </w:p>
        </w:tc>
        <w:tc>
          <w:tcPr>
            <w:tcW w:w="2993" w:type="dxa"/>
            <w:vAlign w:val="center"/>
            <w:shd w:fill="FFFFFF"/>
          </w:tcPr>
          <w:p w14:paraId="7468B2B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51,573 (97.6%)</w:t>
            </w:r>
          </w:p>
        </w:tc>
      </w:tr>
      <w:tr w:rsidR="0081392D" w14:paraId="3EC55796" w14:textId="77777777">
        <w:trPr>
          <w:jc w:val="center"/>
          <w:cantSplit/>
        </w:trPr>
        <w:tc>
          <w:tcPr>
            <w:tcW w:w="2994" w:type="dxa"/>
            <w:vAlign w:val="center"/>
            <w:shd w:fill="FFFFFF"/>
          </w:tcPr>
          <w:p w14:paraId="58EEB4BA" w14:textId="77777777" w:rsidR="0081392D" w:rsidRDefault="0081392D">
            <w:pPr>
              <w:keepNext w:val="0"/>
              <w:keepLines w:val="0"/>
              <w:widowControl/>
              <w:spacing w:before="0" w:after="0" w:line="480" w:lineRule="auto"/>
              <w:ind w:left="0" w:right="0" w:firstLine="0"/>
              <w:jc w:val="left"/>
            </w:pPr>
          </w:p>
        </w:tc>
        <w:tc>
          <w:tcPr>
            <w:tcW w:w="2993" w:type="dxa"/>
            <w:vAlign w:val="center"/>
            <w:shd w:fill="FFFFFF"/>
          </w:tcPr>
          <w:p w14:paraId="58981E75" w14:textId="77777777" w:rsidR="0081392D" w:rsidRDefault="0081392D">
            <w:pPr>
              <w:keepNext w:val="0"/>
              <w:keepLines w:val="0"/>
              <w:widowControl/>
              <w:spacing w:before="0" w:after="0" w:line="480" w:lineRule="auto"/>
              <w:ind w:left="0" w:right="0" w:firstLine="0"/>
              <w:jc w:val="center"/>
            </w:pPr>
          </w:p>
        </w:tc>
        <w:tc>
          <w:tcPr>
            <w:tcW w:w="2993" w:type="dxa"/>
            <w:vAlign w:val="center"/>
            <w:shd w:fill="FFFFFF"/>
          </w:tcPr>
          <w:p w14:paraId="5ED5550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2993" w:type="dxa"/>
            <w:vAlign w:val="center"/>
            <w:shd w:fill="FFFFFF"/>
          </w:tcPr>
          <w:p w14:paraId="392AF3C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3,182 (6.0%)</w:t>
            </w:r>
          </w:p>
        </w:tc>
        <w:tc>
          <w:tcPr>
            <w:tcW w:w="2993" w:type="dxa"/>
            <w:vAlign w:val="center"/>
            <w:shd w:fill="FFFFFF"/>
          </w:tcPr>
          <w:p w14:paraId="3FD7397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49,686 (94.0%)</w:t>
            </w:r>
          </w:p>
        </w:tc>
      </w:tr>
      <w:tr w:rsidR="0081392D" w14:paraId="4118E3FD" w14:textId="77777777">
        <w:trPr>
          <w:jc w:val="center"/>
          <w:cantSplit/>
        </w:trPr>
        <w:tc>
          <w:tcPr>
            <w:tcW w:w="2994" w:type="dxa"/>
            <w:vAlign w:val="center"/>
            <w:shd w:fill="FFFFFF"/>
          </w:tcPr>
          <w:p w14:paraId="33BDF3E7" w14:textId="77777777" w:rsidR="0081392D" w:rsidRDefault="0081392D">
            <w:pPr>
              <w:keepNext w:val="0"/>
              <w:keepLines w:val="0"/>
              <w:widowControl/>
              <w:spacing w:before="0" w:after="0" w:line="480" w:lineRule="auto"/>
              <w:ind w:left="0" w:right="0" w:firstLine="0"/>
              <w:jc w:val="left"/>
            </w:pPr>
          </w:p>
        </w:tc>
        <w:tc>
          <w:tcPr>
            <w:tcW w:w="2993" w:type="dxa"/>
            <w:vAlign w:val="center"/>
            <w:shd w:fill="FFFFFF"/>
          </w:tcPr>
          <w:p w14:paraId="1942B9AA" w14:textId="77777777" w:rsidR="0081392D" w:rsidRDefault="0081392D">
            <w:pPr>
              <w:keepNext w:val="0"/>
              <w:keepLines w:val="0"/>
              <w:widowControl/>
              <w:spacing w:before="0" w:after="0" w:line="480" w:lineRule="auto"/>
              <w:ind w:left="0" w:right="0" w:firstLine="0"/>
              <w:jc w:val="center"/>
            </w:pPr>
          </w:p>
        </w:tc>
        <w:tc>
          <w:tcPr>
            <w:tcW w:w="2993" w:type="dxa"/>
            <w:vAlign w:val="center"/>
            <w:shd w:fill="FFFFFF"/>
          </w:tcPr>
          <w:p w14:paraId="2FD972F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w:t>
            </w:r>
          </w:p>
        </w:tc>
        <w:tc>
          <w:tcPr>
            <w:tcW w:w="2993" w:type="dxa"/>
            <w:vAlign w:val="center"/>
            <w:shd w:fill="FFFFFF"/>
          </w:tcPr>
          <w:p w14:paraId="441B6CA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5,763 (10.9%)</w:t>
            </w:r>
          </w:p>
        </w:tc>
        <w:tc>
          <w:tcPr>
            <w:tcW w:w="2993" w:type="dxa"/>
            <w:vAlign w:val="center"/>
            <w:shd w:fill="FFFFFF"/>
          </w:tcPr>
          <w:p w14:paraId="6B23379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47,105 (89.1%)</w:t>
            </w:r>
          </w:p>
        </w:tc>
      </w:tr>
      <w:tr w:rsidR="0081392D" w14:paraId="64084CF8" w14:textId="77777777">
        <w:trPr>
          <w:jc w:val="center"/>
          <w:cantSplit/>
        </w:trPr>
        <w:tc>
          <w:tcPr>
            <w:tcW w:w="2994" w:type="dxa"/>
            <w:vAlign w:val="center"/>
            <w:shd w:fill="FFFFFF"/>
          </w:tcPr>
          <w:p w14:paraId="72EF410A"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eICU-CRD</w:t>
            </w:r>
          </w:p>
        </w:tc>
        <w:tc>
          <w:tcPr>
            <w:tcW w:w="2993" w:type="dxa"/>
            <w:vAlign w:val="center"/>
            <w:shd w:fill="FFFFFF"/>
          </w:tcPr>
          <w:p w14:paraId="5F9F1E8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118,021</w:t>
            </w:r>
          </w:p>
        </w:tc>
        <w:tc>
          <w:tcPr>
            <w:tcW w:w="2993" w:type="dxa"/>
            <w:vAlign w:val="center"/>
            <w:shd w:fill="FFFFFF"/>
          </w:tcPr>
          <w:p w14:paraId="76642C7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2993" w:type="dxa"/>
            <w:vAlign w:val="center"/>
            <w:shd w:fill="FFFFFF"/>
          </w:tcPr>
          <w:p w14:paraId="7C09B26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718 (0.6%)</w:t>
            </w:r>
          </w:p>
        </w:tc>
        <w:tc>
          <w:tcPr>
            <w:tcW w:w="2993" w:type="dxa"/>
            <w:vAlign w:val="center"/>
            <w:shd w:fill="FFFFFF"/>
          </w:tcPr>
          <w:p w14:paraId="1B0D307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117,303 (99.4%)</w:t>
            </w:r>
          </w:p>
        </w:tc>
      </w:tr>
      <w:tr w:rsidR="0081392D" w14:paraId="3706FFE8" w14:textId="77777777">
        <w:trPr>
          <w:jc w:val="center"/>
          <w:cantSplit/>
        </w:trPr>
        <w:tc>
          <w:tcPr>
            <w:tcW w:w="2994" w:type="dxa"/>
            <w:vAlign w:val="center"/>
            <w:shd w:fill="FFFFFF"/>
          </w:tcPr>
          <w:p w14:paraId="2D7DB1D8" w14:textId="77777777" w:rsidR="0081392D" w:rsidRDefault="0081392D">
            <w:pPr>
              <w:keepNext w:val="0"/>
              <w:keepLines w:val="0"/>
              <w:widowControl/>
              <w:spacing w:before="0" w:after="0" w:line="480" w:lineRule="auto"/>
              <w:ind w:left="0" w:right="0" w:firstLine="0"/>
              <w:jc w:val="left"/>
            </w:pPr>
          </w:p>
        </w:tc>
        <w:tc>
          <w:tcPr>
            <w:tcW w:w="2993" w:type="dxa"/>
            <w:vAlign w:val="center"/>
            <w:shd w:fill="FFFFFF"/>
          </w:tcPr>
          <w:p w14:paraId="4A1C6696" w14:textId="77777777" w:rsidR="0081392D" w:rsidRDefault="0081392D">
            <w:pPr>
              <w:keepNext w:val="0"/>
              <w:keepLines w:val="0"/>
              <w:widowControl/>
              <w:spacing w:before="0" w:after="0" w:line="480" w:lineRule="auto"/>
              <w:ind w:left="0" w:right="0" w:firstLine="0"/>
              <w:jc w:val="center"/>
            </w:pPr>
          </w:p>
        </w:tc>
        <w:tc>
          <w:tcPr>
            <w:tcW w:w="2993" w:type="dxa"/>
            <w:vAlign w:val="center"/>
            <w:shd w:fill="FFFFFF"/>
          </w:tcPr>
          <w:p w14:paraId="3E986E6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2993" w:type="dxa"/>
            <w:vAlign w:val="center"/>
            <w:shd w:fill="FFFFFF"/>
          </w:tcPr>
          <w:p w14:paraId="78CFF3B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1,929 (1.6%)</w:t>
            </w:r>
          </w:p>
        </w:tc>
        <w:tc>
          <w:tcPr>
            <w:tcW w:w="2993" w:type="dxa"/>
            <w:vAlign w:val="center"/>
            <w:shd w:fill="FFFFFF"/>
          </w:tcPr>
          <w:p w14:paraId="5CC61B0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116,092 (98.4%)</w:t>
            </w:r>
          </w:p>
        </w:tc>
      </w:tr>
      <w:tr w:rsidR="0081392D" w14:paraId="2C8B68B9" w14:textId="77777777">
        <w:trPr>
          <w:jc w:val="center"/>
          <w:cantSplit/>
        </w:trPr>
        <w:tc>
          <w:tcPr>
            <w:tcW w:w="2994" w:type="dxa"/>
            <w:vAlign w:val="center"/>
            <w:shd w:fill="FFFFFF"/>
          </w:tcPr>
          <w:p w14:paraId="22943B81" w14:textId="77777777" w:rsidR="0081392D" w:rsidRDefault="0081392D">
            <w:pPr>
              <w:keepNext w:val="0"/>
              <w:keepLines w:val="0"/>
              <w:widowControl/>
              <w:spacing w:before="0" w:after="0" w:line="480" w:lineRule="auto"/>
              <w:ind w:left="0" w:right="0" w:firstLine="0"/>
              <w:jc w:val="left"/>
            </w:pPr>
          </w:p>
        </w:tc>
        <w:tc>
          <w:tcPr>
            <w:tcW w:w="2993" w:type="dxa"/>
            <w:vAlign w:val="center"/>
            <w:shd w:fill="FFFFFF"/>
          </w:tcPr>
          <w:p w14:paraId="2BBB7DA2" w14:textId="77777777" w:rsidR="0081392D" w:rsidRDefault="0081392D">
            <w:pPr>
              <w:keepNext w:val="0"/>
              <w:keepLines w:val="0"/>
              <w:widowControl/>
              <w:spacing w:before="0" w:after="0" w:line="480" w:lineRule="auto"/>
              <w:ind w:left="0" w:right="0" w:firstLine="0"/>
              <w:jc w:val="center"/>
            </w:pPr>
          </w:p>
        </w:tc>
        <w:tc>
          <w:tcPr>
            <w:tcW w:w="2993" w:type="dxa"/>
            <w:vAlign w:val="center"/>
            <w:shd w:fill="FFFFFF"/>
          </w:tcPr>
          <w:p w14:paraId="52CF8B6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2993" w:type="dxa"/>
            <w:vAlign w:val="center"/>
            <w:shd w:fill="FFFFFF"/>
          </w:tcPr>
          <w:p w14:paraId="7F2439F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5,190 (4.4%)</w:t>
            </w:r>
          </w:p>
        </w:tc>
        <w:tc>
          <w:tcPr>
            <w:tcW w:w="2993" w:type="dxa"/>
            <w:vAlign w:val="center"/>
            <w:shd w:fill="FFFFFF"/>
          </w:tcPr>
          <w:p w14:paraId="2BD1D95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112,831 (95.6%)</w:t>
            </w:r>
          </w:p>
        </w:tc>
      </w:tr>
      <w:tr w:rsidR="0081392D" w14:paraId="19E2C122" w14:textId="77777777">
        <w:trPr>
          <w:jc w:val="center"/>
          <w:cantSplit/>
        </w:trPr>
        <w:tc>
          <w:tcPr>
            <w:tcW w:w="2994" w:type="dxa"/>
            <w:vAlign w:val="center"/>
            <w:shd w:fill="FFFFFF"/>
          </w:tcPr>
          <w:p w14:paraId="7B3D48AF" w14:textId="77777777" w:rsidR="0081392D" w:rsidRDefault="0081392D">
            <w:pPr>
              <w:keepNext w:val="0"/>
              <w:keepLines w:val="0"/>
              <w:widowControl/>
              <w:spacing w:before="0" w:after="0" w:line="480" w:lineRule="auto"/>
              <w:ind w:left="0" w:right="0" w:firstLine="0"/>
              <w:jc w:val="left"/>
            </w:pPr>
          </w:p>
        </w:tc>
        <w:tc>
          <w:tcPr>
            <w:tcW w:w="2993" w:type="dxa"/>
            <w:vAlign w:val="center"/>
            <w:shd w:fill="FFFFFF"/>
          </w:tcPr>
          <w:p w14:paraId="791A6CB7" w14:textId="77777777" w:rsidR="0081392D" w:rsidRDefault="0081392D">
            <w:pPr>
              <w:keepNext w:val="0"/>
              <w:keepLines w:val="0"/>
              <w:widowControl/>
              <w:spacing w:before="0" w:after="0" w:line="480" w:lineRule="auto"/>
              <w:ind w:left="0" w:right="0" w:firstLine="0"/>
              <w:jc w:val="center"/>
            </w:pPr>
          </w:p>
        </w:tc>
        <w:tc>
          <w:tcPr>
            <w:tcW w:w="2993" w:type="dxa"/>
            <w:vAlign w:val="center"/>
            <w:shd w:fill="FFFFFF"/>
          </w:tcPr>
          <w:p w14:paraId="05C98E2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w:t>
            </w:r>
          </w:p>
        </w:tc>
        <w:tc>
          <w:tcPr>
            <w:tcW w:w="2993" w:type="dxa"/>
            <w:vAlign w:val="center"/>
            <w:shd w:fill="FFFFFF"/>
          </w:tcPr>
          <w:p w14:paraId="205F811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9,442 (8.0%)</w:t>
            </w:r>
          </w:p>
        </w:tc>
        <w:tc>
          <w:tcPr>
            <w:tcW w:w="2993" w:type="dxa"/>
            <w:vAlign w:val="center"/>
            <w:shd w:fill="FFFFFF"/>
          </w:tcPr>
          <w:p w14:paraId="0AE8A3D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108,579 (92.0%)</w:t>
            </w:r>
          </w:p>
        </w:tc>
      </w:tr>
      <w:tr w:rsidR="0081392D" w14:paraId="79EEBFA0" w14:textId="77777777">
        <w:trPr>
          <w:jc w:val="center"/>
          <w:cantSplit/>
        </w:trPr>
        <w:tc>
          <w:tcPr>
            <w:tcW w:w="2994" w:type="dxa"/>
            <w:vAlign w:val="center"/>
            <w:shd w:fill="FFFFFF"/>
          </w:tcPr>
          <w:p w14:paraId="2B17EE26"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Influenza (MIMIC-IV)</w:t>
            </w:r>
          </w:p>
        </w:tc>
        <w:tc>
          <w:tcPr>
            <w:tcW w:w="2993" w:type="dxa"/>
            <w:vAlign w:val="center"/>
            <w:shd w:fill="FFFFFF"/>
          </w:tcPr>
          <w:p w14:paraId="5017F58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8,210</w:t>
            </w:r>
          </w:p>
        </w:tc>
        <w:tc>
          <w:tcPr>
            <w:tcW w:w="2993" w:type="dxa"/>
            <w:vAlign w:val="center"/>
            <w:shd w:fill="FFFFFF"/>
          </w:tcPr>
          <w:p w14:paraId="42323D9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1C70A62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2,924 (35.6%)</w:t>
            </w:r>
          </w:p>
        </w:tc>
        <w:tc>
          <w:tcPr>
            <w:tcW w:w="2993" w:type="dxa"/>
            <w:vAlign w:val="center"/>
            <w:shd w:fill="FFFFFF"/>
          </w:tcPr>
          <w:p w14:paraId="28A26AF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5,286 (64.4%)</w:t>
            </w:r>
          </w:p>
        </w:tc>
      </w:tr>
    </w:tbl>
    <w:p w14:paraId="7318A856" w14:textId="77777777" w:rsidR="00092AD1" w:rsidRPr="00A729E3" w:rsidRDefault="00092AD1">
      <w:pPr>
        <w:keepNext w:val="0"/>
        <w:keepLines w:val="0"/>
        <w:widowControl/>
        <w:spacing w:after="80" w:line="480" w:lineRule="auto" w:before="0"/>
        <w:ind w:left="0" w:right="0" w:firstLine="0"/>
        <w:rPr>
          <w:rFonts w:cs="Times New Roman"/>
          <w:sz w:val="24"/>
        </w:rPr>
        <w:sectPr w:rsidR="00092AD1" w:rsidRPr="00A729E3">
          <w:footerReference w:type="default" r:id="rId10"/>
          <w:pgSz w:w="16838" w:h="11906" w:orient="landscape"/>
          <w:pgMar w:top="936" w:right="936" w:bottom="936" w:left="936" w:header="360" w:footer="360" w:gutter="0"/>
          <w:cols w:space="720" w:num="1"/>
        </w:sectPr>
      </w:pPr>
      <w:r>
        <w:rPr>
          <w:rFonts w:ascii="Times New Roman" w:hAnsi="Times New Roman" w:eastAsia="Times New Roman" w:cs="Times New Roman"/>
          <w:vanish w:val="0"/>
          <w:color w:val="000000"/>
          <w:sz w:val="22"/>
        </w:rPr>
        <w:t>Event counts by horizon for MIMIC-IV and eICU-CRD correspond to the cohort summarized in main-text Table 1. Hallym hospital-level characteristics remain in Table S3.</w:t>
      </w:r>
    </w:p>
    <w:p w14:paraId="13FECD67" w14:textId="77777777" w:rsidR="00092AD1" w:rsidRPr="00A729E3" w:rsidRDefault="00000000">
      <w:pPr>
        <w:keepNext/>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lastRenderedPageBreak/>
        <w:t>Table S2. Clinical Features Used for Model Training (Base Channels Plus Matched Hourly Temporal Deltas)</w:t>
      </w:r>
    </w:p>
    <w:p w14:paraId="311A99F2"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Listed rows are the base physiologic channels. The locked input is the 66-d tensor in Table S4b: for every base channel, the persistence-filled value, the first-difference delta (Δ_0=0; invalid adjacent hours → Δ=0), and the raw-observation mask (m=1 only when a new measurement was recorded that hour). There is no paired delta-mask channel. When a base channel was unavailable in Hallym (Table S9), its value and delta were set to 0 and its raw mask to 0.</w:t>
      </w:r>
    </w:p>
    <w:tbl>
      <w:tblPr>
        <w:tblStyle w:val="a7"/>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741"/>
        <w:gridCol w:w="3741"/>
        <w:gridCol w:w="3742"/>
        <w:gridCol w:w="3742"/>
      </w:tblGrid>
      <w:tr w:rsidR="0081392D" w14:paraId="0FF6AD78" w14:textId="77777777">
        <w:trPr>
          <w:jc w:val="center"/>
          <w:cantSplit/>
          <w:tblHeader/>
        </w:trPr>
        <w:tc>
          <w:tcPr>
            <w:tcW w:w="3741" w:type="dxa"/>
            <w:vAlign w:val="center"/>
            <w:shd w:fill="E7E7E7"/>
          </w:tcPr>
          <w:p w14:paraId="1E854385"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Feature</w:t>
            </w:r>
          </w:p>
        </w:tc>
        <w:tc>
          <w:tcPr>
            <w:tcW w:w="3741" w:type="dxa"/>
            <w:vAlign w:val="center"/>
            <w:shd w:fill="E7E7E7"/>
          </w:tcPr>
          <w:p w14:paraId="797C09C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Description</w:t>
            </w:r>
          </w:p>
        </w:tc>
        <w:tc>
          <w:tcPr>
            <w:tcW w:w="3742" w:type="dxa"/>
            <w:vAlign w:val="center"/>
            <w:shd w:fill="E7E7E7"/>
          </w:tcPr>
          <w:p w14:paraId="2690D81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Type</w:t>
            </w:r>
          </w:p>
        </w:tc>
        <w:tc>
          <w:tcPr>
            <w:tcW w:w="3742" w:type="dxa"/>
            <w:vAlign w:val="center"/>
            <w:shd w:fill="E7E7E7"/>
          </w:tcPr>
          <w:p w14:paraId="1DBDA88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Unit</w:t>
            </w:r>
          </w:p>
        </w:tc>
      </w:tr>
      <w:tr w:rsidR="0081392D" w14:paraId="17F5085B" w14:textId="77777777">
        <w:trPr>
          <w:jc w:val="center"/>
          <w:cantSplit/>
        </w:trPr>
        <w:tc>
          <w:tcPr>
            <w:tcW w:w="3741" w:type="dxa"/>
            <w:vAlign w:val="center"/>
            <w:shd w:fill="FFFFFF"/>
          </w:tcPr>
          <w:p w14:paraId="05697C16"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Respiratory rate</w:t>
            </w:r>
          </w:p>
        </w:tc>
        <w:tc>
          <w:tcPr>
            <w:tcW w:w="3741" w:type="dxa"/>
            <w:vAlign w:val="center"/>
            <w:shd w:fill="FFFFFF"/>
          </w:tcPr>
          <w:p w14:paraId="3ACA00E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Respiratory rate</w:t>
            </w:r>
          </w:p>
        </w:tc>
        <w:tc>
          <w:tcPr>
            <w:tcW w:w="3742" w:type="dxa"/>
            <w:vAlign w:val="center"/>
            <w:shd w:fill="FFFFFF"/>
          </w:tcPr>
          <w:p w14:paraId="72917E7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52AED38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breaths/min</w:t>
            </w:r>
          </w:p>
        </w:tc>
      </w:tr>
      <w:tr w:rsidR="0081392D" w14:paraId="7A56A965" w14:textId="77777777">
        <w:trPr>
          <w:jc w:val="center"/>
          <w:cantSplit/>
        </w:trPr>
        <w:tc>
          <w:tcPr>
            <w:tcW w:w="3741" w:type="dxa"/>
            <w:vAlign w:val="center"/>
            <w:shd w:fill="FFFFFF"/>
          </w:tcPr>
          <w:p w14:paraId="2E4E54A4"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Body temperature</w:t>
            </w:r>
          </w:p>
        </w:tc>
        <w:tc>
          <w:tcPr>
            <w:tcW w:w="3741" w:type="dxa"/>
            <w:vAlign w:val="center"/>
            <w:shd w:fill="FFFFFF"/>
          </w:tcPr>
          <w:p w14:paraId="0E11D94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Body temperature</w:t>
            </w:r>
          </w:p>
        </w:tc>
        <w:tc>
          <w:tcPr>
            <w:tcW w:w="3742" w:type="dxa"/>
            <w:vAlign w:val="center"/>
            <w:shd w:fill="FFFFFF"/>
          </w:tcPr>
          <w:p w14:paraId="5DC9D12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226AE81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w:t>
            </w:r>
          </w:p>
        </w:tc>
      </w:tr>
      <w:tr w:rsidR="0081392D" w14:paraId="2CAC2606" w14:textId="77777777">
        <w:trPr>
          <w:jc w:val="center"/>
          <w:cantSplit/>
        </w:trPr>
        <w:tc>
          <w:tcPr>
            <w:tcW w:w="3741" w:type="dxa"/>
            <w:vAlign w:val="center"/>
            <w:shd w:fill="FFFFFF"/>
          </w:tcPr>
          <w:p w14:paraId="69AD8F3C"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Heart rate</w:t>
            </w:r>
          </w:p>
        </w:tc>
        <w:tc>
          <w:tcPr>
            <w:tcW w:w="3741" w:type="dxa"/>
            <w:vAlign w:val="center"/>
            <w:shd w:fill="FFFFFF"/>
          </w:tcPr>
          <w:p w14:paraId="425CE14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Heart rate or pulse</w:t>
            </w:r>
          </w:p>
        </w:tc>
        <w:tc>
          <w:tcPr>
            <w:tcW w:w="3742" w:type="dxa"/>
            <w:vAlign w:val="center"/>
            <w:shd w:fill="FFFFFF"/>
          </w:tcPr>
          <w:p w14:paraId="003AB9D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67F7E8D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bpm</w:t>
            </w:r>
          </w:p>
        </w:tc>
      </w:tr>
      <w:tr w:rsidR="0081392D" w14:paraId="5B463A99" w14:textId="77777777">
        <w:trPr>
          <w:jc w:val="center"/>
          <w:cantSplit/>
        </w:trPr>
        <w:tc>
          <w:tcPr>
            <w:tcW w:w="3741" w:type="dxa"/>
            <w:vAlign w:val="center"/>
            <w:shd w:fill="FFFFFF"/>
          </w:tcPr>
          <w:p w14:paraId="633B7298"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SpO2</w:t>
            </w:r>
          </w:p>
        </w:tc>
        <w:tc>
          <w:tcPr>
            <w:tcW w:w="3741" w:type="dxa"/>
            <w:vAlign w:val="center"/>
            <w:shd w:fill="FFFFFF"/>
          </w:tcPr>
          <w:p w14:paraId="7AA816D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Oxygen saturation level</w:t>
            </w:r>
          </w:p>
        </w:tc>
        <w:tc>
          <w:tcPr>
            <w:tcW w:w="3742" w:type="dxa"/>
            <w:vAlign w:val="center"/>
            <w:shd w:fill="FFFFFF"/>
          </w:tcPr>
          <w:p w14:paraId="1D805BD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604F3F8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r>
      <w:tr w:rsidR="0081392D" w14:paraId="70530F45" w14:textId="77777777">
        <w:trPr>
          <w:jc w:val="center"/>
          <w:cantSplit/>
        </w:trPr>
        <w:tc>
          <w:tcPr>
            <w:tcW w:w="3741" w:type="dxa"/>
            <w:vAlign w:val="center"/>
            <w:shd w:fill="FFFFFF"/>
          </w:tcPr>
          <w:p w14:paraId="3042DDC5"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SBP</w:t>
            </w:r>
          </w:p>
        </w:tc>
        <w:tc>
          <w:tcPr>
            <w:tcW w:w="3741" w:type="dxa"/>
            <w:vAlign w:val="center"/>
            <w:shd w:fill="FFFFFF"/>
          </w:tcPr>
          <w:p w14:paraId="10428E6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Systolic blood pressure</w:t>
            </w:r>
          </w:p>
        </w:tc>
        <w:tc>
          <w:tcPr>
            <w:tcW w:w="3742" w:type="dxa"/>
            <w:vAlign w:val="center"/>
            <w:shd w:fill="FFFFFF"/>
          </w:tcPr>
          <w:p w14:paraId="645DFC5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04A6067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mmHg</w:t>
            </w:r>
          </w:p>
        </w:tc>
      </w:tr>
      <w:tr w:rsidR="0081392D" w14:paraId="044AF210" w14:textId="77777777">
        <w:trPr>
          <w:jc w:val="center"/>
          <w:cantSplit/>
        </w:trPr>
        <w:tc>
          <w:tcPr>
            <w:tcW w:w="3741" w:type="dxa"/>
            <w:vAlign w:val="center"/>
            <w:shd w:fill="FFFFFF"/>
          </w:tcPr>
          <w:p w14:paraId="3D7DB690"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DBP</w:t>
            </w:r>
          </w:p>
        </w:tc>
        <w:tc>
          <w:tcPr>
            <w:tcW w:w="3741" w:type="dxa"/>
            <w:vAlign w:val="center"/>
            <w:shd w:fill="FFFFFF"/>
          </w:tcPr>
          <w:p w14:paraId="1AD18CC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Diastolic blood pressure</w:t>
            </w:r>
          </w:p>
        </w:tc>
        <w:tc>
          <w:tcPr>
            <w:tcW w:w="3742" w:type="dxa"/>
            <w:vAlign w:val="center"/>
            <w:shd w:fill="FFFFFF"/>
          </w:tcPr>
          <w:p w14:paraId="741184C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5F20B19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mmHg</w:t>
            </w:r>
          </w:p>
        </w:tc>
      </w:tr>
      <w:tr w:rsidR="0081392D" w14:paraId="17F1423E" w14:textId="77777777">
        <w:trPr>
          <w:jc w:val="center"/>
          <w:cantSplit/>
        </w:trPr>
        <w:tc>
          <w:tcPr>
            <w:tcW w:w="3741" w:type="dxa"/>
            <w:vAlign w:val="center"/>
            <w:shd w:fill="FFFFFF"/>
          </w:tcPr>
          <w:p w14:paraId="4A35065C"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BUN</w:t>
            </w:r>
          </w:p>
        </w:tc>
        <w:tc>
          <w:tcPr>
            <w:tcW w:w="3741" w:type="dxa"/>
            <w:vAlign w:val="center"/>
            <w:shd w:fill="FFFFFF"/>
          </w:tcPr>
          <w:p w14:paraId="6F41DA4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Blood urea nitrogen</w:t>
            </w:r>
          </w:p>
        </w:tc>
        <w:tc>
          <w:tcPr>
            <w:tcW w:w="3742" w:type="dxa"/>
            <w:vAlign w:val="center"/>
            <w:shd w:fill="FFFFFF"/>
          </w:tcPr>
          <w:p w14:paraId="4C5EB97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68FEF45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mg/dL</w:t>
            </w:r>
          </w:p>
        </w:tc>
      </w:tr>
      <w:tr w:rsidR="0081392D" w14:paraId="37D69F4D" w14:textId="77777777">
        <w:trPr>
          <w:jc w:val="center"/>
          <w:cantSplit/>
        </w:trPr>
        <w:tc>
          <w:tcPr>
            <w:tcW w:w="3741" w:type="dxa"/>
            <w:vAlign w:val="center"/>
            <w:shd w:fill="FFFFFF"/>
          </w:tcPr>
          <w:p w14:paraId="1D870FAE"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Lactate</w:t>
            </w:r>
          </w:p>
        </w:tc>
        <w:tc>
          <w:tcPr>
            <w:tcW w:w="3741" w:type="dxa"/>
            <w:vAlign w:val="center"/>
            <w:shd w:fill="FFFFFF"/>
          </w:tcPr>
          <w:p w14:paraId="617140C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Serum lactate concentration</w:t>
            </w:r>
          </w:p>
        </w:tc>
        <w:tc>
          <w:tcPr>
            <w:tcW w:w="3742" w:type="dxa"/>
            <w:vAlign w:val="center"/>
            <w:shd w:fill="FFFFFF"/>
          </w:tcPr>
          <w:p w14:paraId="50CFFA5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55C313A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mmol/L</w:t>
            </w:r>
          </w:p>
        </w:tc>
      </w:tr>
      <w:tr w:rsidR="0081392D" w14:paraId="2795D2E8" w14:textId="77777777">
        <w:trPr>
          <w:jc w:val="center"/>
          <w:cantSplit/>
        </w:trPr>
        <w:tc>
          <w:tcPr>
            <w:tcW w:w="3741" w:type="dxa"/>
            <w:vAlign w:val="center"/>
            <w:shd w:fill="FFFFFF"/>
          </w:tcPr>
          <w:p w14:paraId="3FAA2371"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WBC</w:t>
            </w:r>
          </w:p>
        </w:tc>
        <w:tc>
          <w:tcPr>
            <w:tcW w:w="3741" w:type="dxa"/>
            <w:vAlign w:val="center"/>
            <w:shd w:fill="FFFFFF"/>
          </w:tcPr>
          <w:p w14:paraId="7D1E710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White blood cell count</w:t>
            </w:r>
          </w:p>
        </w:tc>
        <w:tc>
          <w:tcPr>
            <w:tcW w:w="3742" w:type="dxa"/>
            <w:vAlign w:val="center"/>
            <w:shd w:fill="FFFFFF"/>
          </w:tcPr>
          <w:p w14:paraId="13E3F91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2BD8648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10³/µL</w:t>
            </w:r>
          </w:p>
        </w:tc>
      </w:tr>
      <w:tr w:rsidR="0081392D" w14:paraId="148BD6D9" w14:textId="77777777">
        <w:trPr>
          <w:jc w:val="center"/>
          <w:cantSplit/>
        </w:trPr>
        <w:tc>
          <w:tcPr>
            <w:tcW w:w="3741" w:type="dxa"/>
            <w:vAlign w:val="center"/>
            <w:shd w:fill="FFFFFF"/>
          </w:tcPr>
          <w:p w14:paraId="39C8E0C7"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Hemoglobin</w:t>
            </w:r>
          </w:p>
        </w:tc>
        <w:tc>
          <w:tcPr>
            <w:tcW w:w="3741" w:type="dxa"/>
            <w:vAlign w:val="center"/>
            <w:shd w:fill="FFFFFF"/>
          </w:tcPr>
          <w:p w14:paraId="6A640B9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Hemoglobin concentration</w:t>
            </w:r>
          </w:p>
        </w:tc>
        <w:tc>
          <w:tcPr>
            <w:tcW w:w="3742" w:type="dxa"/>
            <w:vAlign w:val="center"/>
            <w:shd w:fill="FFFFFF"/>
          </w:tcPr>
          <w:p w14:paraId="1B1E26E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6EC8485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g/dL</w:t>
            </w:r>
          </w:p>
        </w:tc>
      </w:tr>
      <w:tr w:rsidR="0081392D" w14:paraId="731BA497" w14:textId="77777777">
        <w:trPr>
          <w:jc w:val="center"/>
          <w:cantSplit/>
        </w:trPr>
        <w:tc>
          <w:tcPr>
            <w:tcW w:w="3741" w:type="dxa"/>
            <w:vAlign w:val="center"/>
            <w:shd w:fill="FFFFFF"/>
          </w:tcPr>
          <w:p w14:paraId="53BE00F2"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Na</w:t>
            </w:r>
          </w:p>
        </w:tc>
        <w:tc>
          <w:tcPr>
            <w:tcW w:w="3741" w:type="dxa"/>
            <w:vAlign w:val="center"/>
            <w:shd w:fill="FFFFFF"/>
          </w:tcPr>
          <w:p w14:paraId="3B37340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Sodium level</w:t>
            </w:r>
          </w:p>
        </w:tc>
        <w:tc>
          <w:tcPr>
            <w:tcW w:w="3742" w:type="dxa"/>
            <w:vAlign w:val="center"/>
            <w:shd w:fill="FFFFFF"/>
          </w:tcPr>
          <w:p w14:paraId="4FD3006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6CC23FE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mEq/L</w:t>
            </w:r>
          </w:p>
        </w:tc>
      </w:tr>
      <w:tr w:rsidR="0081392D" w14:paraId="319C1455" w14:textId="77777777">
        <w:trPr>
          <w:jc w:val="center"/>
          <w:cantSplit/>
        </w:trPr>
        <w:tc>
          <w:tcPr>
            <w:tcW w:w="3741" w:type="dxa"/>
            <w:vAlign w:val="center"/>
            <w:shd w:fill="FFFFFF"/>
          </w:tcPr>
          <w:p w14:paraId="06861CEF"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K</w:t>
            </w:r>
          </w:p>
        </w:tc>
        <w:tc>
          <w:tcPr>
            <w:tcW w:w="3741" w:type="dxa"/>
            <w:vAlign w:val="center"/>
            <w:shd w:fill="FFFFFF"/>
          </w:tcPr>
          <w:p w14:paraId="6210BBD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Potassium level</w:t>
            </w:r>
          </w:p>
        </w:tc>
        <w:tc>
          <w:tcPr>
            <w:tcW w:w="3742" w:type="dxa"/>
            <w:vAlign w:val="center"/>
            <w:shd w:fill="FFFFFF"/>
          </w:tcPr>
          <w:p w14:paraId="3702F7B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07E6857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mEq/L</w:t>
            </w:r>
          </w:p>
        </w:tc>
      </w:tr>
      <w:tr w:rsidR="0081392D" w14:paraId="74F1D9B6" w14:textId="77777777">
        <w:trPr>
          <w:jc w:val="center"/>
          <w:cantSplit/>
        </w:trPr>
        <w:tc>
          <w:tcPr>
            <w:tcW w:w="3741" w:type="dxa"/>
            <w:vAlign w:val="center"/>
            <w:shd w:fill="FFFFFF"/>
          </w:tcPr>
          <w:p w14:paraId="4BC4C763"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Cl</w:t>
            </w:r>
          </w:p>
        </w:tc>
        <w:tc>
          <w:tcPr>
            <w:tcW w:w="3741" w:type="dxa"/>
            <w:vAlign w:val="center"/>
            <w:shd w:fill="FFFFFF"/>
          </w:tcPr>
          <w:p w14:paraId="5721F7E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Chloride level</w:t>
            </w:r>
          </w:p>
        </w:tc>
        <w:tc>
          <w:tcPr>
            <w:tcW w:w="3742" w:type="dxa"/>
            <w:vAlign w:val="center"/>
            <w:shd w:fill="FFFFFF"/>
          </w:tcPr>
          <w:p w14:paraId="4D2F678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2EA46CE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mEq/L</w:t>
            </w:r>
          </w:p>
        </w:tc>
      </w:tr>
      <w:tr w:rsidR="0081392D" w14:paraId="41C4B7C1" w14:textId="77777777">
        <w:trPr>
          <w:jc w:val="center"/>
          <w:cantSplit/>
        </w:trPr>
        <w:tc>
          <w:tcPr>
            <w:tcW w:w="3741" w:type="dxa"/>
            <w:vAlign w:val="center"/>
            <w:shd w:fill="FFFFFF"/>
          </w:tcPr>
          <w:p w14:paraId="7D3A237C"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pH</w:t>
            </w:r>
          </w:p>
        </w:tc>
        <w:tc>
          <w:tcPr>
            <w:tcW w:w="3741" w:type="dxa"/>
            <w:vAlign w:val="center"/>
            <w:shd w:fill="FFFFFF"/>
          </w:tcPr>
          <w:p w14:paraId="3A703C5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Arterial pH</w:t>
            </w:r>
          </w:p>
        </w:tc>
        <w:tc>
          <w:tcPr>
            <w:tcW w:w="3742" w:type="dxa"/>
            <w:vAlign w:val="center"/>
            <w:shd w:fill="FFFFFF"/>
          </w:tcPr>
          <w:p w14:paraId="7EC8A06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71BEDA2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r>
      <w:tr w:rsidR="0081392D" w14:paraId="5602EFD3" w14:textId="77777777">
        <w:trPr>
          <w:jc w:val="center"/>
          <w:cantSplit/>
        </w:trPr>
        <w:tc>
          <w:tcPr>
            <w:tcW w:w="3741" w:type="dxa"/>
            <w:vAlign w:val="center"/>
            <w:shd w:fill="FFFFFF"/>
          </w:tcPr>
          <w:p w14:paraId="32CA4500"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Base excess</w:t>
            </w:r>
          </w:p>
        </w:tc>
        <w:tc>
          <w:tcPr>
            <w:tcW w:w="3741" w:type="dxa"/>
            <w:vAlign w:val="center"/>
            <w:shd w:fill="FFFFFF"/>
          </w:tcPr>
          <w:p w14:paraId="14C5DB5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Base excess</w:t>
            </w:r>
          </w:p>
        </w:tc>
        <w:tc>
          <w:tcPr>
            <w:tcW w:w="3742" w:type="dxa"/>
            <w:vAlign w:val="center"/>
            <w:shd w:fill="FFFFFF"/>
          </w:tcPr>
          <w:p w14:paraId="057C068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02140B5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mmol/L</w:t>
            </w:r>
          </w:p>
        </w:tc>
      </w:tr>
      <w:tr w:rsidR="0081392D" w14:paraId="6BCE3BBC" w14:textId="77777777">
        <w:trPr>
          <w:jc w:val="center"/>
          <w:cantSplit/>
        </w:trPr>
        <w:tc>
          <w:tcPr>
            <w:tcW w:w="3741" w:type="dxa"/>
            <w:vAlign w:val="center"/>
            <w:shd w:fill="FFFFFF"/>
          </w:tcPr>
          <w:p w14:paraId="49B763D8"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Anion gap</w:t>
            </w:r>
          </w:p>
        </w:tc>
        <w:tc>
          <w:tcPr>
            <w:tcW w:w="3741" w:type="dxa"/>
            <w:vAlign w:val="center"/>
            <w:shd w:fill="FFFFFF"/>
          </w:tcPr>
          <w:p w14:paraId="1B7E3F6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Anion gap</w:t>
            </w:r>
          </w:p>
        </w:tc>
        <w:tc>
          <w:tcPr>
            <w:tcW w:w="3742" w:type="dxa"/>
            <w:vAlign w:val="center"/>
            <w:shd w:fill="FFFFFF"/>
          </w:tcPr>
          <w:p w14:paraId="5553BF9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08E8F36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mEq/L</w:t>
            </w:r>
          </w:p>
        </w:tc>
      </w:tr>
      <w:tr w:rsidR="0081392D" w14:paraId="29CD371B" w14:textId="77777777">
        <w:trPr>
          <w:jc w:val="center"/>
          <w:cantSplit/>
        </w:trPr>
        <w:tc>
          <w:tcPr>
            <w:tcW w:w="3741" w:type="dxa"/>
            <w:vAlign w:val="center"/>
            <w:shd w:fill="FFFFFF"/>
          </w:tcPr>
          <w:p w14:paraId="61D69787"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Norepinephrine dose</w:t>
            </w:r>
          </w:p>
        </w:tc>
        <w:tc>
          <w:tcPr>
            <w:tcW w:w="3741" w:type="dxa"/>
            <w:vAlign w:val="center"/>
            <w:shd w:fill="FFFFFF"/>
          </w:tcPr>
          <w:p w14:paraId="007FF60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Norepinephrine infusion dose</w:t>
            </w:r>
          </w:p>
        </w:tc>
        <w:tc>
          <w:tcPr>
            <w:tcW w:w="3742" w:type="dxa"/>
            <w:vAlign w:val="center"/>
            <w:shd w:fill="FFFFFF"/>
          </w:tcPr>
          <w:p w14:paraId="480E382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648DAA5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µg/kg/min</w:t>
            </w:r>
          </w:p>
        </w:tc>
      </w:tr>
      <w:tr w:rsidR="0081392D" w14:paraId="0758E9AB" w14:textId="77777777">
        <w:trPr>
          <w:jc w:val="center"/>
          <w:cantSplit/>
        </w:trPr>
        <w:tc>
          <w:tcPr>
            <w:tcW w:w="3741" w:type="dxa"/>
            <w:vAlign w:val="center"/>
            <w:shd w:fill="FFFFFF"/>
          </w:tcPr>
          <w:p w14:paraId="40C7DCAD"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Vasopressin used</w:t>
            </w:r>
          </w:p>
        </w:tc>
        <w:tc>
          <w:tcPr>
            <w:tcW w:w="3741" w:type="dxa"/>
            <w:vAlign w:val="center"/>
            <w:shd w:fill="FFFFFF"/>
          </w:tcPr>
          <w:p w14:paraId="4E69B8D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Vasopressin administration flag</w:t>
            </w:r>
          </w:p>
        </w:tc>
        <w:tc>
          <w:tcPr>
            <w:tcW w:w="3742" w:type="dxa"/>
            <w:vAlign w:val="center"/>
            <w:shd w:fill="FFFFFF"/>
          </w:tcPr>
          <w:p w14:paraId="48E4910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Binary</w:t>
            </w:r>
          </w:p>
        </w:tc>
        <w:tc>
          <w:tcPr>
            <w:tcW w:w="3742" w:type="dxa"/>
            <w:vAlign w:val="center"/>
            <w:shd w:fill="FFFFFF"/>
          </w:tcPr>
          <w:p w14:paraId="039BB41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 1}</w:t>
            </w:r>
          </w:p>
        </w:tc>
      </w:tr>
      <w:tr w:rsidR="0081392D" w14:paraId="2A3A4089" w14:textId="77777777">
        <w:trPr>
          <w:jc w:val="center"/>
          <w:cantSplit/>
        </w:trPr>
        <w:tc>
          <w:tcPr>
            <w:tcW w:w="3741" w:type="dxa"/>
            <w:vAlign w:val="center"/>
            <w:shd w:fill="FFFFFF"/>
          </w:tcPr>
          <w:p w14:paraId="7908FCA4"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FiO2</w:t>
            </w:r>
          </w:p>
        </w:tc>
        <w:tc>
          <w:tcPr>
            <w:tcW w:w="3741" w:type="dxa"/>
            <w:vAlign w:val="center"/>
            <w:shd w:fill="FFFFFF"/>
          </w:tcPr>
          <w:p w14:paraId="68D1104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Fraction of inspired oxygen</w:t>
            </w:r>
          </w:p>
        </w:tc>
        <w:tc>
          <w:tcPr>
            <w:tcW w:w="3742" w:type="dxa"/>
            <w:vAlign w:val="center"/>
            <w:shd w:fill="FFFFFF"/>
          </w:tcPr>
          <w:p w14:paraId="376A081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79C5898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r>
      <w:tr w:rsidR="0081392D" w14:paraId="646B886C" w14:textId="77777777">
        <w:trPr>
          <w:jc w:val="center"/>
          <w:cantSplit/>
        </w:trPr>
        <w:tc>
          <w:tcPr>
            <w:tcW w:w="3741" w:type="dxa"/>
            <w:vAlign w:val="center"/>
            <w:shd w:fill="FFFFFF"/>
          </w:tcPr>
          <w:p w14:paraId="17CA93AD"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Mechanical vent</w:t>
            </w:r>
          </w:p>
        </w:tc>
        <w:tc>
          <w:tcPr>
            <w:tcW w:w="3741" w:type="dxa"/>
            <w:vAlign w:val="center"/>
            <w:shd w:fill="FFFFFF"/>
          </w:tcPr>
          <w:p w14:paraId="5190076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Mechanical ventilation status</w:t>
            </w:r>
          </w:p>
        </w:tc>
        <w:tc>
          <w:tcPr>
            <w:tcW w:w="3742" w:type="dxa"/>
            <w:vAlign w:val="center"/>
            <w:shd w:fill="FFFFFF"/>
          </w:tcPr>
          <w:p w14:paraId="1D78ACB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Binary</w:t>
            </w:r>
          </w:p>
        </w:tc>
        <w:tc>
          <w:tcPr>
            <w:tcW w:w="3742" w:type="dxa"/>
            <w:vAlign w:val="center"/>
            <w:shd w:fill="FFFFFF"/>
          </w:tcPr>
          <w:p w14:paraId="3985FDE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 1}</w:t>
            </w:r>
          </w:p>
        </w:tc>
      </w:tr>
      <w:tr w:rsidR="0081392D" w14:paraId="71054D6B" w14:textId="77777777">
        <w:trPr>
          <w:jc w:val="center"/>
          <w:cantSplit/>
        </w:trPr>
        <w:tc>
          <w:tcPr>
            <w:tcW w:w="3741" w:type="dxa"/>
            <w:vAlign w:val="center"/>
            <w:shd w:fill="FFFFFF"/>
          </w:tcPr>
          <w:p w14:paraId="0C5D85D5"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Urine output</w:t>
            </w:r>
          </w:p>
        </w:tc>
        <w:tc>
          <w:tcPr>
            <w:tcW w:w="3741" w:type="dxa"/>
            <w:vAlign w:val="center"/>
            <w:shd w:fill="FFFFFF"/>
          </w:tcPr>
          <w:p w14:paraId="7AE3F3B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Urine output per hour</w:t>
            </w:r>
          </w:p>
        </w:tc>
        <w:tc>
          <w:tcPr>
            <w:tcW w:w="3742" w:type="dxa"/>
            <w:vAlign w:val="center"/>
            <w:shd w:fill="FFFFFF"/>
          </w:tcPr>
          <w:p w14:paraId="160AEF8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3742" w:type="dxa"/>
            <w:vAlign w:val="center"/>
            <w:shd w:fill="FFFFFF"/>
          </w:tcPr>
          <w:p w14:paraId="3C93112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mL/hr</w:t>
            </w:r>
          </w:p>
        </w:tc>
      </w:tr>
      <w:tr w:rsidR="0081392D" w14:paraId="5659CCBC" w14:textId="77777777">
        <w:trPr>
          <w:jc w:val="center"/>
          <w:cantSplit/>
        </w:trPr>
        <w:tc>
          <w:tcPr>
            <w:tcW w:w="3741" w:type="dxa"/>
            <w:vAlign w:val="center"/>
            <w:shd w:fill="FFFFFF"/>
          </w:tcPr>
          <w:p w14:paraId="7377FCAD"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GCS total</w:t>
            </w:r>
          </w:p>
        </w:tc>
        <w:tc>
          <w:tcPr>
            <w:tcW w:w="3741" w:type="dxa"/>
            <w:vAlign w:val="center"/>
            <w:shd w:fill="FFFFFF"/>
          </w:tcPr>
          <w:p w14:paraId="5D256DF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Glasgow Coma Scale total score</w:t>
            </w:r>
          </w:p>
        </w:tc>
        <w:tc>
          <w:tcPr>
            <w:tcW w:w="3742" w:type="dxa"/>
            <w:vAlign w:val="center"/>
            <w:shd w:fill="FFFFFF"/>
          </w:tcPr>
          <w:p w14:paraId="7FF84C9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Discrete</w:t>
            </w:r>
          </w:p>
        </w:tc>
        <w:tc>
          <w:tcPr>
            <w:tcW w:w="3742" w:type="dxa"/>
            <w:vAlign w:val="center"/>
            <w:shd w:fill="FFFFFF"/>
          </w:tcPr>
          <w:p w14:paraId="739FD92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3–15</w:t>
            </w:r>
          </w:p>
        </w:tc>
      </w:tr>
      <w:tr w:rsidR="006E4139" w14:paraId="053F87D1" w14:textId="77777777">
        <w:trPr>
          <w:jc w:val="center"/>
          <w:cantSplit/>
        </w:trPr>
        <w:tc>
          <w:tcPr>
            <w:tcW w:w="3741" w:type="dxa"/>
            <w:vAlign w:val="center"/>
            <w:shd w:fill="FFFFFF"/>
          </w:tcPr>
          <w:p w14:paraId="4E102AFA"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Hourly temporal delta (each feature above)</w:t>
            </w:r>
          </w:p>
        </w:tc>
        <w:tc>
          <w:tcPr>
            <w:tcW w:w="3741" w:type="dxa"/>
            <w:vAlign w:val="center"/>
            <w:shd w:fill="FFFFFF"/>
          </w:tcPr>
          <w:p w14:paraId="5D4D9B2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First difference of the filled hourly series (v_t − v_{t−1}); invalid or hour-0 deltas set to 0 (no separate delta mask; Table S4b)</w:t>
            </w:r>
          </w:p>
        </w:tc>
        <w:tc>
          <w:tcPr>
            <w:tcW w:w="3742" w:type="dxa"/>
            <w:vAlign w:val="center"/>
            <w:shd w:fill="FFFFFF"/>
          </w:tcPr>
          <w:p w14:paraId="0545007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 (or binary-difference)</w:t>
            </w:r>
          </w:p>
        </w:tc>
        <w:tc>
          <w:tcPr>
            <w:tcW w:w="3742" w:type="dxa"/>
            <w:vAlign w:val="center"/>
            <w:shd w:fill="FFFFFF"/>
          </w:tcPr>
          <w:p w14:paraId="432F363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Same as parent feature</w:t>
            </w:r>
          </w:p>
        </w:tc>
      </w:tr>
    </w:tbl>
    <w:p w14:paraId="714A1A5D" w14:textId="77777777" w:rsidR="00092AD1" w:rsidRPr="00A729E3" w:rsidRDefault="00092AD1">
      <w:pPr>
        <w:widowControl/>
        <w:spacing w:after="120" w:line="269" w:lineRule="auto"/>
        <w:rPr>
          <w:rFonts w:cs="Times New Roman"/>
          <w:sz w:val="24"/>
        </w:rPr>
        <w:sectPr w:rsidR="00092AD1" w:rsidRPr="00A729E3">
          <w:footerReference w:type="default" r:id="rId11"/>
          <w:pgSz w:w="16838" w:h="11906" w:orient="landscape"/>
          <w:pgMar w:top="936" w:right="936" w:bottom="936" w:left="936" w:header="360" w:footer="360" w:gutter="0"/>
          <w:cols w:space="720" w:num="1"/>
        </w:sectPr>
      </w:pPr>
    </w:p>
    <w:p w14:paraId="42E25FE4" w14:textId="77777777" w:rsidR="00176321" w:rsidRDefault="00176321" w:rsidP="00176321">
      <w:pPr>
        <w:keepNext/>
        <w:keepLines w:val="0"/>
        <w:widowControl/>
        <w:tabs>
          <w:tab w:val="left" w:pos="1602"/>
        </w:tabs>
        <w:spacing w:after="80" w:line="480" w:lineRule="auto" w:before="0"/>
        <w:ind w:left="0" w:right="0" w:firstLine="0"/>
        <w:rPr>
          <w:rFonts w:cs="Times New Roman"/>
        </w:rPr>
      </w:pPr>
      <w:r>
        <w:rPr>
          <w:rFonts w:ascii="Times New Roman" w:hAnsi="Times New Roman" w:eastAsia="Times New Roman" w:cs="Times New Roman"/>
          <w:vanish w:val="0"/>
          <w:color w:val="000000"/>
          <w:sz w:val="22"/>
        </w:rPr>
        <w:t>Table S3. Characteristics of the Hallym 4-Hospital Intensive Care Unit Cohort (Secondary-Endpoint Real-World Transport (Routinely Collected EHR); Retrospective Replay and Prospective Silent Scoring from August 28, 2025; October 20, 2022–June 1, 2026)</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47B1A" w14:paraId="292C5446" w14:textId="77777777">
        <w:trPr>
          <w:jc w:val="center"/>
          <w:cantSplit/>
          <w:tblHeader/>
        </w:trPr>
        <w:tc>
          <w:tcPr>
            <w:tcW w:w="2138" w:type="dxa"/>
            <w:vAlign w:val="center"/>
            <w:shd w:fill="E7E7E7"/>
          </w:tcPr>
          <w:p w14:paraId="78FD9073" w14:textId="77777777" w:rsidR="00047B1A"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Hospital</w:t>
            </w:r>
          </w:p>
        </w:tc>
        <w:tc>
          <w:tcPr>
            <w:tcW w:w="2138" w:type="dxa"/>
            <w:vAlign w:val="center"/>
            <w:shd w:fill="E7E7E7"/>
          </w:tcPr>
          <w:p w14:paraId="329B71C2"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ICU stays, No.</w:t>
            </w:r>
          </w:p>
        </w:tc>
        <w:tc>
          <w:tcPr>
            <w:tcW w:w="2138" w:type="dxa"/>
            <w:vAlign w:val="center"/>
            <w:shd w:fill="E7E7E7"/>
          </w:tcPr>
          <w:p w14:paraId="1067E696"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Patients, No.</w:t>
            </w:r>
          </w:p>
        </w:tc>
        <w:tc>
          <w:tcPr>
            <w:tcW w:w="2138" w:type="dxa"/>
            <w:vAlign w:val="center"/>
            <w:shd w:fill="E7E7E7"/>
          </w:tcPr>
          <w:p w14:paraId="7D05CA6D"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Age, mean, y</w:t>
            </w:r>
          </w:p>
        </w:tc>
        <w:tc>
          <w:tcPr>
            <w:tcW w:w="2138" w:type="dxa"/>
            <w:vAlign w:val="center"/>
            <w:shd w:fill="E7E7E7"/>
          </w:tcPr>
          <w:p w14:paraId="6233B1CE"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Female sex, No. (%)</w:t>
            </w:r>
          </w:p>
        </w:tc>
        <w:tc>
          <w:tcPr>
            <w:tcW w:w="2138" w:type="dxa"/>
            <w:vAlign w:val="center"/>
            <w:shd w:fill="E7E7E7"/>
          </w:tcPr>
          <w:p w14:paraId="74390F90"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In-hospital death, No. (%)a</w:t>
            </w:r>
          </w:p>
        </w:tc>
        <w:tc>
          <w:tcPr>
            <w:tcW w:w="2138" w:type="dxa"/>
            <w:vAlign w:val="center"/>
            <w:shd w:fill="E7E7E7"/>
          </w:tcPr>
          <w:p w14:paraId="4C16FE73"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Death within 7 d, No. (%)a</w:t>
            </w:r>
          </w:p>
        </w:tc>
      </w:tr>
      <w:tr w:rsidR="00047B1A" w14:paraId="6BE80ACE" w14:textId="77777777">
        <w:trPr>
          <w:jc w:val="center"/>
          <w:cantSplit/>
        </w:trPr>
        <w:tc>
          <w:tcPr>
            <w:tcW w:w="2138" w:type="dxa"/>
            <w:vAlign w:val="center"/>
            <w:shd w:fill="FFFFFF"/>
          </w:tcPr>
          <w:p w14:paraId="24A9DABF" w14:textId="77777777" w:rsidR="00047B1A"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Kangnam Sacred Heart</w:t>
            </w:r>
          </w:p>
        </w:tc>
        <w:tc>
          <w:tcPr>
            <w:tcW w:w="2138" w:type="dxa"/>
            <w:vAlign w:val="center"/>
            <w:shd w:fill="FFFFFF"/>
          </w:tcPr>
          <w:p w14:paraId="233998A5"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192</w:t>
            </w:r>
          </w:p>
        </w:tc>
        <w:tc>
          <w:tcPr>
            <w:tcW w:w="2138" w:type="dxa"/>
            <w:vAlign w:val="center"/>
            <w:shd w:fill="FFFFFF"/>
          </w:tcPr>
          <w:p w14:paraId="73A1C1D0"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178</w:t>
            </w:r>
          </w:p>
        </w:tc>
        <w:tc>
          <w:tcPr>
            <w:tcW w:w="2138" w:type="dxa"/>
            <w:vAlign w:val="center"/>
            <w:shd w:fill="FFFFFF"/>
          </w:tcPr>
          <w:p w14:paraId="1F953A8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67.0</w:t>
            </w:r>
          </w:p>
        </w:tc>
        <w:tc>
          <w:tcPr>
            <w:tcW w:w="2138" w:type="dxa"/>
            <w:vAlign w:val="center"/>
            <w:shd w:fill="FFFFFF"/>
          </w:tcPr>
          <w:p w14:paraId="3AF33186"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63 (32.8)</w:t>
            </w:r>
          </w:p>
        </w:tc>
        <w:tc>
          <w:tcPr>
            <w:tcW w:w="2138" w:type="dxa"/>
            <w:vAlign w:val="center"/>
            <w:shd w:fill="FFFFFF"/>
          </w:tcPr>
          <w:p w14:paraId="1EBFAB69"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44 (22.9)</w:t>
            </w:r>
          </w:p>
        </w:tc>
        <w:tc>
          <w:tcPr>
            <w:tcW w:w="2138" w:type="dxa"/>
            <w:vAlign w:val="center"/>
            <w:shd w:fill="FFFFFF"/>
          </w:tcPr>
          <w:p w14:paraId="3A1FAACB" w14:textId="481F523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12 (6.</w:t>
            </w:r>
            <w:r w:rsidR="00B73802">
              <w:rPr>
                <w:rFonts w:eastAsia="Times New Roman" w:cs="Times New Roman" w:hint="eastAsia" w:ascii="Times New Roman" w:hAnsi="Times New Roman"/>
                <w:b w:val="0"/>
                <w:vanish w:val="0"/>
                <w:color w:val="000000"/>
                <w:sz w:val="19"/>
                <w:lang w:eastAsia="ko-KR"/>
                <w:szCs w:val="20"/>
              </w:rPr>
              <w:t>3</w:t>
            </w:r>
            <w:r>
              <w:rPr>
                <w:rFonts w:eastAsia="Times New Roman" w:cs="Times New Roman" w:ascii="Times New Roman" w:hAnsi="Times New Roman"/>
                <w:b w:val="0"/>
                <w:vanish w:val="0"/>
                <w:color w:val="000000"/>
                <w:sz w:val="19"/>
                <w:szCs w:val="20"/>
              </w:rPr>
              <w:t>)</w:t>
            </w:r>
          </w:p>
        </w:tc>
      </w:tr>
      <w:tr w:rsidR="00047B1A" w14:paraId="71337338" w14:textId="77777777">
        <w:trPr>
          <w:jc w:val="center"/>
          <w:cantSplit/>
        </w:trPr>
        <w:tc>
          <w:tcPr>
            <w:tcW w:w="2138" w:type="dxa"/>
            <w:vAlign w:val="center"/>
            <w:shd w:fill="FFFFFF"/>
          </w:tcPr>
          <w:p w14:paraId="3FF3719A" w14:textId="77777777" w:rsidR="00047B1A"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Dongtan Sacred Heart</w:t>
            </w:r>
          </w:p>
        </w:tc>
        <w:tc>
          <w:tcPr>
            <w:tcW w:w="2138" w:type="dxa"/>
            <w:vAlign w:val="center"/>
            <w:shd w:fill="FFFFFF"/>
          </w:tcPr>
          <w:p w14:paraId="795A0904"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225</w:t>
            </w:r>
          </w:p>
        </w:tc>
        <w:tc>
          <w:tcPr>
            <w:tcW w:w="2138" w:type="dxa"/>
            <w:vAlign w:val="center"/>
            <w:shd w:fill="FFFFFF"/>
          </w:tcPr>
          <w:p w14:paraId="0E18EA1F"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220</w:t>
            </w:r>
          </w:p>
        </w:tc>
        <w:tc>
          <w:tcPr>
            <w:tcW w:w="2138" w:type="dxa"/>
            <w:vAlign w:val="center"/>
            <w:shd w:fill="FFFFFF"/>
          </w:tcPr>
          <w:p w14:paraId="6CDA70E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64.4</w:t>
            </w:r>
          </w:p>
        </w:tc>
        <w:tc>
          <w:tcPr>
            <w:tcW w:w="2138" w:type="dxa"/>
            <w:vAlign w:val="center"/>
            <w:shd w:fill="FFFFFF"/>
          </w:tcPr>
          <w:p w14:paraId="132AB00E"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78 (34.7)</w:t>
            </w:r>
          </w:p>
        </w:tc>
        <w:tc>
          <w:tcPr>
            <w:tcW w:w="2138" w:type="dxa"/>
            <w:vAlign w:val="center"/>
            <w:shd w:fill="FFFFFF"/>
          </w:tcPr>
          <w:p w14:paraId="67B0C3E7"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64 (28.4)</w:t>
            </w:r>
          </w:p>
        </w:tc>
        <w:tc>
          <w:tcPr>
            <w:tcW w:w="2138" w:type="dxa"/>
            <w:vAlign w:val="center"/>
            <w:shd w:fill="FFFFFF"/>
          </w:tcPr>
          <w:p w14:paraId="03586550"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12 (5.3)</w:t>
            </w:r>
          </w:p>
        </w:tc>
      </w:tr>
      <w:tr w:rsidR="00047B1A" w14:paraId="0E484460" w14:textId="77777777">
        <w:trPr>
          <w:jc w:val="center"/>
          <w:cantSplit/>
        </w:trPr>
        <w:tc>
          <w:tcPr>
            <w:tcW w:w="2138" w:type="dxa"/>
            <w:vAlign w:val="center"/>
            <w:shd w:fill="FFFFFF"/>
          </w:tcPr>
          <w:p w14:paraId="5DD81E48" w14:textId="77777777" w:rsidR="00047B1A"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Chuncheon Sacred Heart</w:t>
            </w:r>
          </w:p>
        </w:tc>
        <w:tc>
          <w:tcPr>
            <w:tcW w:w="2138" w:type="dxa"/>
            <w:vAlign w:val="center"/>
            <w:shd w:fill="FFFFFF"/>
          </w:tcPr>
          <w:p w14:paraId="470EA26C"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439</w:t>
            </w:r>
          </w:p>
        </w:tc>
        <w:tc>
          <w:tcPr>
            <w:tcW w:w="2138" w:type="dxa"/>
            <w:vAlign w:val="center"/>
            <w:shd w:fill="FFFFFF"/>
          </w:tcPr>
          <w:p w14:paraId="1779E327"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410</w:t>
            </w:r>
          </w:p>
        </w:tc>
        <w:tc>
          <w:tcPr>
            <w:tcW w:w="2138" w:type="dxa"/>
            <w:vAlign w:val="center"/>
            <w:shd w:fill="FFFFFF"/>
          </w:tcPr>
          <w:p w14:paraId="3A0C017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67.3</w:t>
            </w:r>
          </w:p>
        </w:tc>
        <w:tc>
          <w:tcPr>
            <w:tcW w:w="2138" w:type="dxa"/>
            <w:vAlign w:val="center"/>
            <w:shd w:fill="FFFFFF"/>
          </w:tcPr>
          <w:p w14:paraId="79A047AE"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128 (29.2)</w:t>
            </w:r>
          </w:p>
        </w:tc>
        <w:tc>
          <w:tcPr>
            <w:tcW w:w="2138" w:type="dxa"/>
            <w:vAlign w:val="center"/>
            <w:shd w:fill="FFFFFF"/>
          </w:tcPr>
          <w:p w14:paraId="14EAD32D"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158 (36.0)</w:t>
            </w:r>
          </w:p>
        </w:tc>
        <w:tc>
          <w:tcPr>
            <w:tcW w:w="2138" w:type="dxa"/>
            <w:vAlign w:val="center"/>
            <w:shd w:fill="FFFFFF"/>
          </w:tcPr>
          <w:p w14:paraId="0FB42DA8"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29 (6.6)</w:t>
            </w:r>
          </w:p>
        </w:tc>
      </w:tr>
      <w:tr w:rsidR="00047B1A" w14:paraId="62CCC7F1" w14:textId="77777777">
        <w:trPr>
          <w:jc w:val="center"/>
          <w:cantSplit/>
        </w:trPr>
        <w:tc>
          <w:tcPr>
            <w:tcW w:w="2138" w:type="dxa"/>
            <w:vAlign w:val="center"/>
            <w:shd w:fill="FFFFFF"/>
          </w:tcPr>
          <w:p w14:paraId="0573CF26" w14:textId="77777777" w:rsidR="00047B1A"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Hallym Sacred Heart</w:t>
            </w:r>
          </w:p>
        </w:tc>
        <w:tc>
          <w:tcPr>
            <w:tcW w:w="2138" w:type="dxa"/>
            <w:vAlign w:val="center"/>
            <w:shd w:fill="FFFFFF"/>
          </w:tcPr>
          <w:p w14:paraId="46DEA817"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244</w:t>
            </w:r>
          </w:p>
        </w:tc>
        <w:tc>
          <w:tcPr>
            <w:tcW w:w="2138" w:type="dxa"/>
            <w:vAlign w:val="center"/>
            <w:shd w:fill="FFFFFF"/>
          </w:tcPr>
          <w:p w14:paraId="66E3588A"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236</w:t>
            </w:r>
          </w:p>
        </w:tc>
        <w:tc>
          <w:tcPr>
            <w:tcW w:w="2138" w:type="dxa"/>
            <w:vAlign w:val="center"/>
            <w:shd w:fill="FFFFFF"/>
          </w:tcPr>
          <w:p w14:paraId="3AC88C5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65.2</w:t>
            </w:r>
          </w:p>
        </w:tc>
        <w:tc>
          <w:tcPr>
            <w:tcW w:w="2138" w:type="dxa"/>
            <w:vAlign w:val="center"/>
            <w:shd w:fill="FFFFFF"/>
          </w:tcPr>
          <w:p w14:paraId="3ABC8FCA"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72 (29.5)</w:t>
            </w:r>
          </w:p>
        </w:tc>
        <w:tc>
          <w:tcPr>
            <w:tcW w:w="2138" w:type="dxa"/>
            <w:vAlign w:val="center"/>
            <w:shd w:fill="FFFFFF"/>
          </w:tcPr>
          <w:p w14:paraId="6EE51C56"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62 (25.4)</w:t>
            </w:r>
          </w:p>
        </w:tc>
        <w:tc>
          <w:tcPr>
            <w:tcW w:w="2138" w:type="dxa"/>
            <w:vAlign w:val="center"/>
            <w:shd w:fill="FFFFFF"/>
          </w:tcPr>
          <w:p w14:paraId="667CF4EB"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12 (4.9)</w:t>
            </w:r>
          </w:p>
        </w:tc>
      </w:tr>
      <w:tr w:rsidR="00047B1A" w14:paraId="1E2CB4D8" w14:textId="77777777">
        <w:trPr>
          <w:jc w:val="center"/>
          <w:cantSplit/>
        </w:trPr>
        <w:tc>
          <w:tcPr>
            <w:tcW w:w="2138" w:type="dxa"/>
            <w:vAlign w:val="center"/>
            <w:shd w:fill="FFFFFF"/>
          </w:tcPr>
          <w:p w14:paraId="651F49F5" w14:textId="77777777" w:rsidR="00047B1A"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Total</w:t>
            </w:r>
          </w:p>
        </w:tc>
        <w:tc>
          <w:tcPr>
            <w:tcW w:w="2138" w:type="dxa"/>
            <w:vAlign w:val="center"/>
            <w:shd w:fill="FFFFFF"/>
          </w:tcPr>
          <w:p w14:paraId="7C651AEF"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1,100</w:t>
            </w:r>
          </w:p>
        </w:tc>
        <w:tc>
          <w:tcPr>
            <w:tcW w:w="2138" w:type="dxa"/>
            <w:vAlign w:val="center"/>
            <w:shd w:fill="FFFFFF"/>
          </w:tcPr>
          <w:p w14:paraId="4DC74859"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1,044</w:t>
            </w:r>
          </w:p>
        </w:tc>
        <w:tc>
          <w:tcPr>
            <w:tcW w:w="2138" w:type="dxa"/>
            <w:vAlign w:val="center"/>
            <w:shd w:fill="FFFFFF"/>
          </w:tcPr>
          <w:p w14:paraId="712F4C0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66.2</w:t>
            </w:r>
          </w:p>
        </w:tc>
        <w:tc>
          <w:tcPr>
            <w:tcW w:w="2138" w:type="dxa"/>
            <w:vAlign w:val="center"/>
            <w:shd w:fill="FFFFFF"/>
          </w:tcPr>
          <w:p w14:paraId="3E84B69B"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341 (31.0)</w:t>
            </w:r>
          </w:p>
        </w:tc>
        <w:tc>
          <w:tcPr>
            <w:tcW w:w="2138" w:type="dxa"/>
            <w:vAlign w:val="center"/>
            <w:shd w:fill="FFFFFF"/>
          </w:tcPr>
          <w:p w14:paraId="045E4123"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328 (29.8)</w:t>
            </w:r>
          </w:p>
        </w:tc>
        <w:tc>
          <w:tcPr>
            <w:tcW w:w="2138" w:type="dxa"/>
            <w:vAlign w:val="center"/>
            <w:shd w:fill="FFFFFF"/>
          </w:tcPr>
          <w:p w14:paraId="2EF5939D" w14:textId="77777777" w:rsidR="00047B1A"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65 (5.9)</w:t>
            </w:r>
          </w:p>
        </w:tc>
      </w:tr>
    </w:tbl>
    <w:p w14:paraId="34228EE6" w14:textId="77777777" w:rsidR="00047B1A" w:rsidRDefault="00000000">
      <w:pPr>
        <w:keepNext w:val="0"/>
        <w:keepLines w:val="0"/>
        <w:widowControl/>
        <w:spacing w:after="80" w:line="480" w:lineRule="auto" w:before="0"/>
        <w:ind w:left="0" w:right="0" w:firstLine="0"/>
        <w:rPr>
          <w:sz w:val="16"/>
          <w:lang w:eastAsia="ko-KR"/>
        </w:rPr>
      </w:pPr>
      <w:r>
        <w:rPr>
          <w:rFonts w:ascii="Times New Roman" w:hAnsi="Times New Roman" w:eastAsia="Times New Roman" w:cs="Times New Roman"/>
          <w:vanish w:val="0"/>
          <w:color w:val="000000"/>
          <w:sz w:val="22"/>
        </w:rPr>
        <w:t>a Death within 7 days refers to in-hospital death after hour 12 and by hour 168 after ICU admission; in-hospital mortality extends through index-hospital discharge after hour 12. Hallym (12, 24]- and (12, 48]-hour endpoint performance is not reported in Tables S10–S11. Abbreviations: ICU, intensive care unit.</w:t>
      </w:r>
    </w:p>
    <w:p w14:paraId="611C8F79" w14:textId="77777777" w:rsidR="00092AD1" w:rsidRPr="00A729E3" w:rsidRDefault="00000000">
      <w:pPr>
        <w:keepNext/>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Table S4. Model Configuration and Comparative Experimental Settings</w:t>
      </w:r>
    </w:p>
    <w:tbl>
      <w:tblPr>
        <w:tblStyle w:val="a7"/>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94"/>
        <w:gridCol w:w="2993"/>
        <w:gridCol w:w="2993"/>
        <w:gridCol w:w="2993"/>
        <w:gridCol w:w="2993"/>
      </w:tblGrid>
      <w:tr w:rsidR="0081392D" w14:paraId="26CB7606" w14:textId="77777777">
        <w:trPr>
          <w:jc w:val="center"/>
          <w:cantSplit/>
          <w:tblHeader/>
        </w:trPr>
        <w:tc>
          <w:tcPr>
            <w:tcW w:w="2994" w:type="dxa"/>
            <w:vAlign w:val="center"/>
            <w:shd w:fill="E7E7E7"/>
          </w:tcPr>
          <w:p w14:paraId="14631D26"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Configuration</w:t>
            </w:r>
          </w:p>
        </w:tc>
        <w:tc>
          <w:tcPr>
            <w:tcW w:w="2993" w:type="dxa"/>
            <w:vAlign w:val="center"/>
            <w:shd w:fill="E7E7E7"/>
          </w:tcPr>
          <w:p w14:paraId="3961E5E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LSTM</w:t>
            </w:r>
            <w:r>
              <w:rPr>
                <w:rFonts w:eastAsia="Times New Roman" w:cs="Times New Roman" w:ascii="Times New Roman" w:hAnsi="Times New Roman"/>
                <w:b/>
                <w:vanish w:val="0"/>
                <w:color w:val="000000"/>
                <w:sz w:val="19"/>
                <w:szCs w:val="20"/>
              </w:rPr>
              <w:br/>
              <w:t>(Baseline)</w:t>
            </w:r>
          </w:p>
        </w:tc>
        <w:tc>
          <w:tcPr>
            <w:tcW w:w="2993" w:type="dxa"/>
            <w:vAlign w:val="center"/>
            <w:shd w:fill="E7E7E7"/>
          </w:tcPr>
          <w:p w14:paraId="7BBD204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Transformer</w:t>
            </w:r>
            <w:r>
              <w:rPr>
                <w:rFonts w:eastAsia="Times New Roman" w:cs="Times New Roman" w:ascii="Times New Roman" w:hAnsi="Times New Roman"/>
                <w:b/>
                <w:vanish w:val="0"/>
                <w:color w:val="000000"/>
                <w:sz w:val="19"/>
                <w:szCs w:val="20"/>
              </w:rPr>
              <w:br/>
              <w:t>(Baseline)</w:t>
            </w:r>
          </w:p>
        </w:tc>
        <w:tc>
          <w:tcPr>
            <w:tcW w:w="2993" w:type="dxa"/>
            <w:vAlign w:val="center"/>
            <w:shd w:fill="E7E7E7"/>
          </w:tcPr>
          <w:p w14:paraId="218D77A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TBAL</w:t>
            </w:r>
            <w:r>
              <w:rPr>
                <w:rFonts w:eastAsia="Times New Roman" w:cs="Times New Roman" w:ascii="Times New Roman" w:hAnsi="Times New Roman"/>
                <w:b/>
                <w:vanish w:val="0"/>
                <w:color w:val="000000"/>
                <w:sz w:val="19"/>
                <w:szCs w:val="20"/>
              </w:rPr>
              <w:br/>
              <w:t>(Related Work)</w:t>
            </w:r>
          </w:p>
        </w:tc>
        <w:tc>
          <w:tcPr>
            <w:tcW w:w="2993" w:type="dxa"/>
            <w:vAlign w:val="center"/>
            <w:shd w:fill="E7E7E7"/>
          </w:tcPr>
          <w:p w14:paraId="4B340C5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PatchFusion</w:t>
            </w:r>
            <w:r>
              <w:rPr>
                <w:rFonts w:eastAsia="Times New Roman" w:cs="Times New Roman" w:ascii="Times New Roman" w:hAnsi="Times New Roman"/>
                <w:b/>
                <w:vanish w:val="0"/>
                <w:color w:val="000000"/>
                <w:sz w:val="19"/>
                <w:szCs w:val="20"/>
              </w:rPr>
              <w:br/>
              <w:t>(Proposed Model)</w:t>
            </w:r>
          </w:p>
        </w:tc>
      </w:tr>
      <w:tr w:rsidR="0081392D" w14:paraId="72551A9A" w14:textId="77777777">
        <w:trPr>
          <w:jc w:val="center"/>
          <w:cantSplit/>
        </w:trPr>
        <w:tc>
          <w:tcPr>
            <w:tcW w:w="2994" w:type="dxa"/>
            <w:vAlign w:val="center"/>
            <w:shd w:fill="FFFFFF"/>
          </w:tcPr>
          <w:p w14:paraId="667B9207"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Hidden size</w:t>
            </w:r>
          </w:p>
        </w:tc>
        <w:tc>
          <w:tcPr>
            <w:tcW w:w="2993" w:type="dxa"/>
            <w:vAlign w:val="center"/>
            <w:shd w:fill="FFFFFF"/>
          </w:tcPr>
          <w:p w14:paraId="2D9E0C2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360 (see S4c)</w:t>
            </w:r>
          </w:p>
        </w:tc>
        <w:tc>
          <w:tcPr>
            <w:tcW w:w="2993" w:type="dxa"/>
            <w:vAlign w:val="center"/>
            <w:shd w:fill="FFFFFF"/>
          </w:tcPr>
          <w:p w14:paraId="2346214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256 (see S4c)</w:t>
            </w:r>
          </w:p>
        </w:tc>
        <w:tc>
          <w:tcPr>
            <w:tcW w:w="2993" w:type="dxa"/>
            <w:vAlign w:val="center"/>
            <w:shd w:fill="FFFFFF"/>
          </w:tcPr>
          <w:p w14:paraId="5478194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512</w:t>
            </w:r>
          </w:p>
        </w:tc>
        <w:tc>
          <w:tcPr>
            <w:tcW w:w="2993" w:type="dxa"/>
            <w:vAlign w:val="center"/>
            <w:shd w:fill="FFFFFF"/>
          </w:tcPr>
          <w:p w14:paraId="1E6DB8B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189 per direction; d_model 256 (see S4b)</w:t>
            </w:r>
          </w:p>
        </w:tc>
      </w:tr>
      <w:tr w:rsidR="0081392D" w14:paraId="1BD59D8D" w14:textId="77777777">
        <w:trPr>
          <w:jc w:val="center"/>
          <w:cantSplit/>
        </w:trPr>
        <w:tc>
          <w:tcPr>
            <w:tcW w:w="2994" w:type="dxa"/>
            <w:vAlign w:val="center"/>
            <w:shd w:fill="FFFFFF"/>
          </w:tcPr>
          <w:p w14:paraId="45EA6E05"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Number of LSTM layers</w:t>
            </w:r>
          </w:p>
        </w:tc>
        <w:tc>
          <w:tcPr>
            <w:tcW w:w="2993" w:type="dxa"/>
            <w:vAlign w:val="center"/>
            <w:shd w:fill="FFFFFF"/>
          </w:tcPr>
          <w:p w14:paraId="4D8B9B3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w:t>
            </w:r>
          </w:p>
        </w:tc>
        <w:tc>
          <w:tcPr>
            <w:tcW w:w="2993" w:type="dxa"/>
            <w:vAlign w:val="center"/>
            <w:shd w:fill="FFFFFF"/>
          </w:tcPr>
          <w:p w14:paraId="7FCD9DC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0E2B12F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w:t>
            </w:r>
          </w:p>
        </w:tc>
        <w:tc>
          <w:tcPr>
            <w:tcW w:w="2993" w:type="dxa"/>
            <w:vAlign w:val="center"/>
            <w:shd w:fill="FFFFFF"/>
          </w:tcPr>
          <w:p w14:paraId="2582892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 (BiLSTM encoder)</w:t>
            </w:r>
          </w:p>
        </w:tc>
      </w:tr>
      <w:tr w:rsidR="0081392D" w14:paraId="67F0E69C" w14:textId="77777777">
        <w:trPr>
          <w:jc w:val="center"/>
          <w:cantSplit/>
        </w:trPr>
        <w:tc>
          <w:tcPr>
            <w:tcW w:w="2994" w:type="dxa"/>
            <w:vAlign w:val="center"/>
            <w:shd w:fill="FFFFFF"/>
          </w:tcPr>
          <w:p w14:paraId="6D09FD04"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Attention mechanism</w:t>
            </w:r>
          </w:p>
        </w:tc>
        <w:tc>
          <w:tcPr>
            <w:tcW w:w="2993" w:type="dxa"/>
            <w:vAlign w:val="center"/>
            <w:shd w:fill="FFFFFF"/>
          </w:tcPr>
          <w:p w14:paraId="333C77A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w:t>
            </w:r>
          </w:p>
        </w:tc>
        <w:tc>
          <w:tcPr>
            <w:tcW w:w="2993" w:type="dxa"/>
            <w:vAlign w:val="center"/>
            <w:shd w:fill="FFFFFF"/>
          </w:tcPr>
          <w:p w14:paraId="31C6ABB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c>
          <w:tcPr>
            <w:tcW w:w="2993" w:type="dxa"/>
            <w:vAlign w:val="center"/>
            <w:shd w:fill="FFFFFF"/>
          </w:tcPr>
          <w:p w14:paraId="2DB65CD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c>
          <w:tcPr>
            <w:tcW w:w="2993" w:type="dxa"/>
            <w:vAlign w:val="center"/>
            <w:shd w:fill="FFFFFF"/>
          </w:tcPr>
          <w:p w14:paraId="4814FB1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r>
      <w:tr w:rsidR="0081392D" w14:paraId="6804A7BA" w14:textId="77777777">
        <w:trPr>
          <w:jc w:val="center"/>
          <w:cantSplit/>
        </w:trPr>
        <w:tc>
          <w:tcPr>
            <w:tcW w:w="2994" w:type="dxa"/>
            <w:vAlign w:val="center"/>
            <w:shd w:fill="FFFFFF"/>
          </w:tcPr>
          <w:p w14:paraId="1FCBDF4B"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Batch size</w:t>
            </w:r>
          </w:p>
        </w:tc>
        <w:tc>
          <w:tcPr>
            <w:tcW w:w="2993" w:type="dxa"/>
            <w:vAlign w:val="center"/>
            <w:shd w:fill="FFFFFF"/>
          </w:tcPr>
          <w:p w14:paraId="6B41F3F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300</w:t>
            </w:r>
          </w:p>
        </w:tc>
        <w:tc>
          <w:tcPr>
            <w:tcW w:w="2993" w:type="dxa"/>
            <w:vAlign w:val="center"/>
            <w:shd w:fill="FFFFFF"/>
          </w:tcPr>
          <w:p w14:paraId="5C38717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300</w:t>
            </w:r>
          </w:p>
        </w:tc>
        <w:tc>
          <w:tcPr>
            <w:tcW w:w="2993" w:type="dxa"/>
            <w:vAlign w:val="center"/>
            <w:shd w:fill="FFFFFF"/>
          </w:tcPr>
          <w:p w14:paraId="7C66BBD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300</w:t>
            </w:r>
          </w:p>
        </w:tc>
        <w:tc>
          <w:tcPr>
            <w:tcW w:w="2993" w:type="dxa"/>
            <w:vAlign w:val="center"/>
            <w:shd w:fill="FFFFFF"/>
          </w:tcPr>
          <w:p w14:paraId="0C4256B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300</w:t>
            </w:r>
          </w:p>
        </w:tc>
      </w:tr>
      <w:tr w:rsidR="0081392D" w14:paraId="77D7CD87" w14:textId="77777777">
        <w:trPr>
          <w:jc w:val="center"/>
          <w:cantSplit/>
        </w:trPr>
        <w:tc>
          <w:tcPr>
            <w:tcW w:w="2994" w:type="dxa"/>
            <w:vAlign w:val="center"/>
            <w:shd w:fill="FFFFFF"/>
          </w:tcPr>
          <w:p w14:paraId="15A38C33"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Learning rate</w:t>
            </w:r>
          </w:p>
        </w:tc>
        <w:tc>
          <w:tcPr>
            <w:tcW w:w="2993" w:type="dxa"/>
            <w:vAlign w:val="center"/>
            <w:shd w:fill="FFFFFF"/>
          </w:tcPr>
          <w:p w14:paraId="3E463D2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0.001</w:t>
            </w:r>
          </w:p>
        </w:tc>
        <w:tc>
          <w:tcPr>
            <w:tcW w:w="2993" w:type="dxa"/>
            <w:vAlign w:val="center"/>
            <w:shd w:fill="FFFFFF"/>
          </w:tcPr>
          <w:p w14:paraId="27A48C4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0.001</w:t>
            </w:r>
          </w:p>
        </w:tc>
        <w:tc>
          <w:tcPr>
            <w:tcW w:w="2993" w:type="dxa"/>
            <w:vAlign w:val="center"/>
            <w:shd w:fill="FFFFFF"/>
          </w:tcPr>
          <w:p w14:paraId="6EA5955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0.001</w:t>
            </w:r>
          </w:p>
        </w:tc>
        <w:tc>
          <w:tcPr>
            <w:tcW w:w="2993" w:type="dxa"/>
            <w:vAlign w:val="center"/>
            <w:shd w:fill="FFFFFF"/>
          </w:tcPr>
          <w:p w14:paraId="615E405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0.001</w:t>
            </w:r>
          </w:p>
        </w:tc>
      </w:tr>
      <w:tr w:rsidR="0081392D" w14:paraId="50DBFCFF" w14:textId="77777777">
        <w:trPr>
          <w:jc w:val="center"/>
          <w:cantSplit/>
        </w:trPr>
        <w:tc>
          <w:tcPr>
            <w:tcW w:w="2994" w:type="dxa"/>
            <w:vAlign w:val="center"/>
            <w:shd w:fill="FFFFFF"/>
          </w:tcPr>
          <w:p w14:paraId="2CF4B885"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Optimizer</w:t>
            </w:r>
          </w:p>
        </w:tc>
        <w:tc>
          <w:tcPr>
            <w:tcW w:w="2993" w:type="dxa"/>
            <w:vAlign w:val="center"/>
            <w:shd w:fill="FFFFFF"/>
          </w:tcPr>
          <w:p w14:paraId="43577F3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Adam</w:t>
            </w:r>
          </w:p>
        </w:tc>
        <w:tc>
          <w:tcPr>
            <w:tcW w:w="2993" w:type="dxa"/>
            <w:vAlign w:val="center"/>
            <w:shd w:fill="FFFFFF"/>
          </w:tcPr>
          <w:p w14:paraId="0EB7291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Adam</w:t>
            </w:r>
          </w:p>
        </w:tc>
        <w:tc>
          <w:tcPr>
            <w:tcW w:w="2993" w:type="dxa"/>
            <w:vAlign w:val="center"/>
            <w:shd w:fill="FFFFFF"/>
          </w:tcPr>
          <w:p w14:paraId="23B0D46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Adam</w:t>
            </w:r>
          </w:p>
        </w:tc>
        <w:tc>
          <w:tcPr>
            <w:tcW w:w="2993" w:type="dxa"/>
            <w:vAlign w:val="center"/>
            <w:shd w:fill="FFFFFF"/>
          </w:tcPr>
          <w:p w14:paraId="51D0C32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Adam</w:t>
            </w:r>
          </w:p>
        </w:tc>
      </w:tr>
      <w:tr w:rsidR="0081392D" w14:paraId="7818F88A" w14:textId="77777777">
        <w:trPr>
          <w:jc w:val="center"/>
          <w:cantSplit/>
        </w:trPr>
        <w:tc>
          <w:tcPr>
            <w:tcW w:w="2994" w:type="dxa"/>
            <w:vAlign w:val="center"/>
            <w:shd w:fill="FFFFFF"/>
          </w:tcPr>
          <w:p w14:paraId="22859B34"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Number of epochs</w:t>
            </w:r>
          </w:p>
        </w:tc>
        <w:tc>
          <w:tcPr>
            <w:tcW w:w="2993" w:type="dxa"/>
            <w:vAlign w:val="center"/>
            <w:shd w:fill="FFFFFF"/>
          </w:tcPr>
          <w:p w14:paraId="7A9FE83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100</w:t>
            </w:r>
          </w:p>
        </w:tc>
        <w:tc>
          <w:tcPr>
            <w:tcW w:w="2993" w:type="dxa"/>
            <w:vAlign w:val="center"/>
            <w:shd w:fill="FFFFFF"/>
          </w:tcPr>
          <w:p w14:paraId="639B728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100</w:t>
            </w:r>
          </w:p>
        </w:tc>
        <w:tc>
          <w:tcPr>
            <w:tcW w:w="2993" w:type="dxa"/>
            <w:vAlign w:val="center"/>
            <w:shd w:fill="FFFFFF"/>
          </w:tcPr>
          <w:p w14:paraId="5D85468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100</w:t>
            </w:r>
          </w:p>
        </w:tc>
        <w:tc>
          <w:tcPr>
            <w:tcW w:w="2993" w:type="dxa"/>
            <w:vAlign w:val="center"/>
            <w:shd w:fill="FFFFFF"/>
          </w:tcPr>
          <w:p w14:paraId="5CEFD70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100</w:t>
            </w:r>
          </w:p>
        </w:tc>
      </w:tr>
      <w:tr w:rsidR="0081392D" w14:paraId="4F0988CB" w14:textId="77777777">
        <w:trPr>
          <w:jc w:val="center"/>
          <w:cantSplit/>
        </w:trPr>
        <w:tc>
          <w:tcPr>
            <w:tcW w:w="2994" w:type="dxa"/>
            <w:vAlign w:val="center"/>
            <w:shd w:fill="FFFFFF"/>
          </w:tcPr>
          <w:p w14:paraId="7103AD88"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Dropout rate</w:t>
            </w:r>
          </w:p>
        </w:tc>
        <w:tc>
          <w:tcPr>
            <w:tcW w:w="2993" w:type="dxa"/>
            <w:vAlign w:val="center"/>
            <w:shd w:fill="FFFFFF"/>
          </w:tcPr>
          <w:p w14:paraId="35252DB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w:t>
            </w:r>
          </w:p>
        </w:tc>
        <w:tc>
          <w:tcPr>
            <w:tcW w:w="2993" w:type="dxa"/>
            <w:vAlign w:val="center"/>
            <w:shd w:fill="FFFFFF"/>
          </w:tcPr>
          <w:p w14:paraId="6E57DAA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w:t>
            </w:r>
          </w:p>
        </w:tc>
        <w:tc>
          <w:tcPr>
            <w:tcW w:w="2993" w:type="dxa"/>
            <w:vAlign w:val="center"/>
            <w:shd w:fill="FFFFFF"/>
          </w:tcPr>
          <w:p w14:paraId="3B6C780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w:t>
            </w:r>
          </w:p>
        </w:tc>
        <w:tc>
          <w:tcPr>
            <w:tcW w:w="2993" w:type="dxa"/>
            <w:vAlign w:val="center"/>
            <w:shd w:fill="FFFFFF"/>
          </w:tcPr>
          <w:p w14:paraId="4B45C7A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w:t>
            </w:r>
          </w:p>
        </w:tc>
      </w:tr>
      <w:tr w:rsidR="0081392D" w14:paraId="0BCCD222" w14:textId="77777777">
        <w:trPr>
          <w:jc w:val="center"/>
          <w:cantSplit/>
        </w:trPr>
        <w:tc>
          <w:tcPr>
            <w:tcW w:w="2994" w:type="dxa"/>
            <w:vAlign w:val="center"/>
            <w:shd w:fill="FFFFFF"/>
          </w:tcPr>
          <w:p w14:paraId="3BD1AAE3"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L2 regularization weight</w:t>
            </w:r>
          </w:p>
        </w:tc>
        <w:tc>
          <w:tcPr>
            <w:tcW w:w="2993" w:type="dxa"/>
            <w:vAlign w:val="center"/>
            <w:shd w:fill="FFFFFF"/>
          </w:tcPr>
          <w:p w14:paraId="7595A9D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0.001</w:t>
            </w:r>
          </w:p>
        </w:tc>
        <w:tc>
          <w:tcPr>
            <w:tcW w:w="2993" w:type="dxa"/>
            <w:vAlign w:val="center"/>
            <w:shd w:fill="FFFFFF"/>
          </w:tcPr>
          <w:p w14:paraId="09A0B19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0.001</w:t>
            </w:r>
          </w:p>
        </w:tc>
        <w:tc>
          <w:tcPr>
            <w:tcW w:w="2993" w:type="dxa"/>
            <w:vAlign w:val="center"/>
            <w:shd w:fill="FFFFFF"/>
          </w:tcPr>
          <w:p w14:paraId="74C9884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0.001</w:t>
            </w:r>
          </w:p>
        </w:tc>
        <w:tc>
          <w:tcPr>
            <w:tcW w:w="2993" w:type="dxa"/>
            <w:vAlign w:val="center"/>
            <w:shd w:fill="FFFFFF"/>
          </w:tcPr>
          <w:p w14:paraId="727EF6B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0.001</w:t>
            </w:r>
          </w:p>
        </w:tc>
      </w:tr>
      <w:tr w:rsidR="0081392D" w14:paraId="61B86550" w14:textId="77777777">
        <w:trPr>
          <w:jc w:val="center"/>
          <w:cantSplit/>
        </w:trPr>
        <w:tc>
          <w:tcPr>
            <w:tcW w:w="2994" w:type="dxa"/>
            <w:vAlign w:val="center"/>
            <w:shd w:fill="FFFFFF"/>
          </w:tcPr>
          <w:p w14:paraId="4BA6269C"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Early stopping</w:t>
            </w:r>
          </w:p>
        </w:tc>
        <w:tc>
          <w:tcPr>
            <w:tcW w:w="2993" w:type="dxa"/>
            <w:vAlign w:val="center"/>
            <w:shd w:fill="FFFFFF"/>
          </w:tcPr>
          <w:p w14:paraId="40241AB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c>
          <w:tcPr>
            <w:tcW w:w="2993" w:type="dxa"/>
            <w:vAlign w:val="center"/>
            <w:shd w:fill="FFFFFF"/>
          </w:tcPr>
          <w:p w14:paraId="4421DBD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c>
          <w:tcPr>
            <w:tcW w:w="2993" w:type="dxa"/>
            <w:vAlign w:val="center"/>
            <w:shd w:fill="FFFFFF"/>
          </w:tcPr>
          <w:p w14:paraId="61FB762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c>
          <w:tcPr>
            <w:tcW w:w="2993" w:type="dxa"/>
            <w:vAlign w:val="center"/>
            <w:shd w:fill="FFFFFF"/>
          </w:tcPr>
          <w:p w14:paraId="06F0DF6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r>
      <w:tr w:rsidR="0081392D" w14:paraId="48049E0F" w14:textId="77777777">
        <w:trPr>
          <w:jc w:val="center"/>
          <w:cantSplit/>
        </w:trPr>
        <w:tc>
          <w:tcPr>
            <w:tcW w:w="2994" w:type="dxa"/>
            <w:vAlign w:val="center"/>
            <w:shd w:fill="FFFFFF"/>
          </w:tcPr>
          <w:p w14:paraId="7A138C8B"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Time-aware encoding</w:t>
            </w:r>
          </w:p>
        </w:tc>
        <w:tc>
          <w:tcPr>
            <w:tcW w:w="2993" w:type="dxa"/>
            <w:vAlign w:val="center"/>
            <w:shd w:fill="FFFFFF"/>
          </w:tcPr>
          <w:p w14:paraId="5B03B29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w:t>
            </w:r>
          </w:p>
        </w:tc>
        <w:tc>
          <w:tcPr>
            <w:tcW w:w="2993" w:type="dxa"/>
            <w:vAlign w:val="center"/>
            <w:shd w:fill="FFFFFF"/>
          </w:tcPr>
          <w:p w14:paraId="37E6717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w:t>
            </w:r>
          </w:p>
        </w:tc>
        <w:tc>
          <w:tcPr>
            <w:tcW w:w="2993" w:type="dxa"/>
            <w:vAlign w:val="center"/>
            <w:shd w:fill="FFFFFF"/>
          </w:tcPr>
          <w:p w14:paraId="1E9BC7B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c>
          <w:tcPr>
            <w:tcW w:w="2993" w:type="dxa"/>
            <w:vAlign w:val="center"/>
            <w:shd w:fill="FFFFFF"/>
          </w:tcPr>
          <w:p w14:paraId="59485C2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r>
      <w:tr w:rsidR="0081392D" w14:paraId="652C5E68" w14:textId="77777777">
        <w:trPr>
          <w:jc w:val="center"/>
          <w:cantSplit/>
        </w:trPr>
        <w:tc>
          <w:tcPr>
            <w:tcW w:w="2994" w:type="dxa"/>
            <w:vAlign w:val="center"/>
            <w:shd w:fill="FFFFFF"/>
          </w:tcPr>
          <w:p w14:paraId="74308761"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Mask vector input</w:t>
            </w:r>
          </w:p>
        </w:tc>
        <w:tc>
          <w:tcPr>
            <w:tcW w:w="2993" w:type="dxa"/>
            <w:vAlign w:val="center"/>
            <w:shd w:fill="FFFFFF"/>
          </w:tcPr>
          <w:p w14:paraId="04C67D9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c>
          <w:tcPr>
            <w:tcW w:w="2993" w:type="dxa"/>
            <w:vAlign w:val="center"/>
            <w:shd w:fill="FFFFFF"/>
          </w:tcPr>
          <w:p w14:paraId="4DCCCC2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c>
          <w:tcPr>
            <w:tcW w:w="2993" w:type="dxa"/>
            <w:vAlign w:val="center"/>
            <w:shd w:fill="FFFFFF"/>
          </w:tcPr>
          <w:p w14:paraId="44C15DF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c>
          <w:tcPr>
            <w:tcW w:w="2993" w:type="dxa"/>
            <w:vAlign w:val="center"/>
            <w:shd w:fill="FFFFFF"/>
          </w:tcPr>
          <w:p w14:paraId="493DDBF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r>
      <w:tr w:rsidR="0081392D" w14:paraId="0A5ADD9D" w14:textId="77777777">
        <w:trPr>
          <w:jc w:val="center"/>
          <w:cantSplit/>
        </w:trPr>
        <w:tc>
          <w:tcPr>
            <w:tcW w:w="2994" w:type="dxa"/>
            <w:vAlign w:val="center"/>
            <w:shd w:fill="FFFFFF"/>
          </w:tcPr>
          <w:p w14:paraId="722EA727"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Patch-wise temporal encoding</w:t>
            </w:r>
          </w:p>
        </w:tc>
        <w:tc>
          <w:tcPr>
            <w:tcW w:w="2993" w:type="dxa"/>
            <w:vAlign w:val="center"/>
            <w:shd w:fill="FFFFFF"/>
          </w:tcPr>
          <w:p w14:paraId="02CF682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w:t>
            </w:r>
          </w:p>
        </w:tc>
        <w:tc>
          <w:tcPr>
            <w:tcW w:w="2993" w:type="dxa"/>
            <w:vAlign w:val="center"/>
            <w:shd w:fill="FFFFFF"/>
          </w:tcPr>
          <w:p w14:paraId="69DC342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w:t>
            </w:r>
          </w:p>
        </w:tc>
        <w:tc>
          <w:tcPr>
            <w:tcW w:w="2993" w:type="dxa"/>
            <w:vAlign w:val="center"/>
            <w:shd w:fill="FFFFFF"/>
          </w:tcPr>
          <w:p w14:paraId="3FC8AF2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w:t>
            </w:r>
          </w:p>
        </w:tc>
        <w:tc>
          <w:tcPr>
            <w:tcW w:w="2993" w:type="dxa"/>
            <w:vAlign w:val="center"/>
            <w:shd w:fill="FFFFFF"/>
          </w:tcPr>
          <w:p w14:paraId="10F461D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r>
      <w:tr w:rsidR="0081392D" w14:paraId="54D883F7" w14:textId="77777777">
        <w:trPr>
          <w:jc w:val="center"/>
          <w:cantSplit/>
        </w:trPr>
        <w:tc>
          <w:tcPr>
            <w:tcW w:w="2994" w:type="dxa"/>
            <w:vAlign w:val="center"/>
            <w:shd w:fill="FFFFFF"/>
          </w:tcPr>
          <w:p w14:paraId="5AF47559"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lastRenderedPageBreak/>
              <w:t>Patch size</w:t>
            </w:r>
          </w:p>
        </w:tc>
        <w:tc>
          <w:tcPr>
            <w:tcW w:w="2993" w:type="dxa"/>
            <w:vAlign w:val="center"/>
            <w:shd w:fill="FFFFFF"/>
          </w:tcPr>
          <w:p w14:paraId="6F46C2B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08A8586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3D53EED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57FE60E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 hours</w:t>
            </w:r>
          </w:p>
        </w:tc>
      </w:tr>
      <w:tr w:rsidR="0081392D" w14:paraId="15DE1553" w14:textId="77777777">
        <w:trPr>
          <w:jc w:val="center"/>
          <w:cantSplit/>
        </w:trPr>
        <w:tc>
          <w:tcPr>
            <w:tcW w:w="2994" w:type="dxa"/>
            <w:vAlign w:val="center"/>
            <w:shd w:fill="FFFFFF"/>
          </w:tcPr>
          <w:p w14:paraId="114B72D9"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Patch stride</w:t>
            </w:r>
          </w:p>
        </w:tc>
        <w:tc>
          <w:tcPr>
            <w:tcW w:w="2993" w:type="dxa"/>
            <w:vAlign w:val="center"/>
            <w:shd w:fill="FFFFFF"/>
          </w:tcPr>
          <w:p w14:paraId="1681B9B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09BD5A0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40335DC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0DA1DE6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 hours</w:t>
            </w:r>
          </w:p>
        </w:tc>
      </w:tr>
      <w:tr w:rsidR="0081392D" w14:paraId="435F3407" w14:textId="77777777">
        <w:trPr>
          <w:jc w:val="center"/>
          <w:cantSplit/>
        </w:trPr>
        <w:tc>
          <w:tcPr>
            <w:tcW w:w="2994" w:type="dxa"/>
            <w:vAlign w:val="center"/>
            <w:shd w:fill="FFFFFF"/>
          </w:tcPr>
          <w:p w14:paraId="03E4C6F4"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Rotary positional encoding (RoPE)</w:t>
            </w:r>
          </w:p>
        </w:tc>
        <w:tc>
          <w:tcPr>
            <w:tcW w:w="2993" w:type="dxa"/>
            <w:vAlign w:val="center"/>
            <w:shd w:fill="FFFFFF"/>
          </w:tcPr>
          <w:p w14:paraId="7AB1422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w:t>
            </w:r>
          </w:p>
        </w:tc>
        <w:tc>
          <w:tcPr>
            <w:tcW w:w="2993" w:type="dxa"/>
            <w:vAlign w:val="center"/>
            <w:shd w:fill="FFFFFF"/>
          </w:tcPr>
          <w:p w14:paraId="7D439EE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w:t>
            </w:r>
          </w:p>
        </w:tc>
        <w:tc>
          <w:tcPr>
            <w:tcW w:w="2993" w:type="dxa"/>
            <w:vAlign w:val="center"/>
            <w:shd w:fill="FFFFFF"/>
          </w:tcPr>
          <w:p w14:paraId="2633910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w:t>
            </w:r>
          </w:p>
        </w:tc>
        <w:tc>
          <w:tcPr>
            <w:tcW w:w="2993" w:type="dxa"/>
            <w:vAlign w:val="center"/>
            <w:shd w:fill="FFFFFF"/>
          </w:tcPr>
          <w:p w14:paraId="234FB1A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r>
    </w:tbl>
    <w:p w14:paraId="365BBAA6"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 xml:space="preserve">Table S4 reports training defaults and shared optimization search grids. Locked shapes and parameter counts are specified in Tables S4b–S4c: PatchFusion uses BiLSTM hidden size 189 per direction and Transformer width 256; TBAL width is 512; the standalone Transformer uses d_model=256 and FFN width 1024 (1,596,929 weights); and LSTM hidden size is 360 (907,433 weights). Sequence models use the common 66-dimensional value/delta/mask tensor. GRU-D additionally derives elapsed time since observation from the same raw masks for its decay mechanism.</w:t>
      </w:r>
    </w:p>
    <w:p w14:paraId="78143E6E" w14:textId="77777777" w:rsidR="00092AD1" w:rsidRPr="00A729E3" w:rsidRDefault="00092AD1">
      <w:pPr>
        <w:widowControl/>
        <w:spacing w:after="120" w:line="269" w:lineRule="auto"/>
        <w:rPr>
          <w:rFonts w:cs="Times New Roman"/>
        </w:rPr>
        <w:sectPr w:rsidR="00092AD1" w:rsidRPr="00A729E3">
          <w:footerReference w:type="default" r:id="rId12"/>
          <w:pgSz w:w="16838" w:h="11906" w:orient="landscape"/>
          <w:pgMar w:top="936" w:right="936" w:bottom="936" w:left="936" w:header="360" w:footer="360" w:gutter="0"/>
          <w:cols w:space="720" w:num="1"/>
        </w:sectPr>
      </w:pPr>
    </w:p>
    <w:p w14:paraId="2EE568ED" w14:textId="77777777" w:rsidR="00067B1F" w:rsidRDefault="00000000">
      <w:pPr>
        <w:keepNext/>
        <w:keepLines w:val="0"/>
        <w:pageBreakBefore/>
        <w:widowControl/>
        <w:spacing w:line="480" w:lineRule="auto" w:before="0" w:after="80"/>
        <w:ind w:left="0" w:right="0" w:firstLine="0"/>
      </w:pPr>
      <w:r>
        <w:rPr>
          <w:rFonts w:ascii="Times New Roman" w:hAnsi="Times New Roman" w:eastAsia="Times New Roman" w:cs="Times New Roman"/>
          <w:b/>
          <w:vanish w:val="0"/>
          <w:color w:val="000000"/>
          <w:sz w:val="22"/>
        </w:rPr>
        <w:t>Table S4b. Locked PatchFusion Module Shapes and Parameter Counts (sum = 1.84M)</w:t>
      </w:r>
    </w:p>
    <w:tbl>
      <w:tblPr>
        <w:jc w:val="center"/>
        <w:tblW w:w="9500" w:type="dxa"/>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4988"/>
        <w:gridCol w:w="4989"/>
        <w:gridCol w:w="4989"/>
      </w:tblGrid>
      <w:tr w:rsidR="00067B1F" w14:paraId="72967D29" w14:textId="77777777">
        <w:trPr>
          <w:cantSplit/>
          <w:tblHeader/>
        </w:trPr>
        <w:tc>
          <w:tcPr>
            <w:tcW w:w="4988" w:type="dxa"/>
            <w:vAlign w:val="center"/>
            <w:shd w:fill="E7E7E7"/>
          </w:tcPr>
          <w:p w14:paraId="6E60BD6C"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nish w:val="0"/>
                <w:color w:val="000000"/>
                <w:sz w:val="19"/>
                <w:szCs w:val="20"/>
              </w:rPr>
              <w:t>Module</w:t>
            </w:r>
          </w:p>
        </w:tc>
        <w:tc>
          <w:tcPr>
            <w:tcW w:w="4989" w:type="dxa"/>
            <w:vAlign w:val="center"/>
            <w:shd w:fill="E7E7E7"/>
          </w:tcPr>
          <w:p w14:paraId="104FC66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I/O (locked)</w:t>
            </w:r>
          </w:p>
        </w:tc>
        <w:tc>
          <w:tcPr>
            <w:tcW w:w="4989" w:type="dxa"/>
            <w:vAlign w:val="center"/>
            <w:shd w:fill="E7E7E7"/>
          </w:tcPr>
          <w:p w14:paraId="5F7A518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Trainable parameters</w:t>
            </w:r>
          </w:p>
        </w:tc>
      </w:tr>
      <w:tr w:rsidR="00067B1F" w14:paraId="6567AFD9" w14:textId="77777777">
        <w:trPr>
          <w:cantSplit/>
        </w:trPr>
        <w:tc>
          <w:tcPr>
            <w:tcW w:w="4988" w:type="dxa"/>
            <w:vAlign w:val="center"/>
            <w:shd w:fill="FFFFFF"/>
          </w:tcPr>
          <w:p w14:paraId="124C74ED"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Patch embed (Linear)</w:t>
            </w:r>
          </w:p>
        </w:tc>
        <w:tc>
          <w:tcPr>
            <w:tcW w:w="4989" w:type="dxa"/>
            <w:vAlign w:val="center"/>
            <w:shd w:fill="FFFFFF"/>
          </w:tcPr>
          <w:p w14:paraId="1A2E524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66 → 256</w:t>
            </w:r>
          </w:p>
        </w:tc>
        <w:tc>
          <w:tcPr>
            <w:tcW w:w="4989" w:type="dxa"/>
            <w:vAlign w:val="center"/>
            <w:shd w:fill="FFFFFF"/>
          </w:tcPr>
          <w:p w14:paraId="7E17781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17,152</w:t>
            </w:r>
          </w:p>
        </w:tc>
      </w:tr>
      <w:tr w:rsidR="00067B1F" w14:paraId="015FA6BB" w14:textId="77777777">
        <w:trPr>
          <w:cantSplit/>
        </w:trPr>
        <w:tc>
          <w:tcPr>
            <w:tcW w:w="4988" w:type="dxa"/>
            <w:vAlign w:val="center"/>
            <w:shd w:fill="FFFFFF"/>
          </w:tcPr>
          <w:p w14:paraId="55D20467"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lastRenderedPageBreak/>
              <w:t>Shared BiLSTM (1 layer, bidirectional)</w:t>
            </w:r>
          </w:p>
        </w:tc>
        <w:tc>
          <w:tcPr>
            <w:tcW w:w="4989" w:type="dxa"/>
            <w:vAlign w:val="center"/>
            <w:shd w:fill="FFFFFF"/>
          </w:tcPr>
          <w:p w14:paraId="74FFC4D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input 256; hidden 189 per direction</w:t>
            </w:r>
          </w:p>
        </w:tc>
        <w:tc>
          <w:tcPr>
            <w:tcW w:w="4989" w:type="dxa"/>
            <w:vAlign w:val="center"/>
            <w:shd w:fill="FFFFFF"/>
          </w:tcPr>
          <w:p w14:paraId="132EB19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675,864</w:t>
            </w:r>
          </w:p>
        </w:tc>
      </w:tr>
      <w:tr w:rsidR="00067B1F" w14:paraId="656496DF" w14:textId="77777777">
        <w:trPr>
          <w:cantSplit/>
        </w:trPr>
        <w:tc>
          <w:tcPr>
            <w:tcW w:w="4988" w:type="dxa"/>
            <w:vAlign w:val="center"/>
            <w:shd w:fill="FFFFFF"/>
          </w:tcPr>
          <w:p w14:paraId="4D8C023D"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Episode projection (Linear)</w:t>
            </w:r>
          </w:p>
        </w:tc>
        <w:tc>
          <w:tcPr>
            <w:tcW w:w="4989" w:type="dxa"/>
            <w:vAlign w:val="center"/>
            <w:shd w:fill="FFFFFF"/>
          </w:tcPr>
          <w:p w14:paraId="0F3EC1B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378 → 256</w:t>
            </w:r>
          </w:p>
        </w:tc>
        <w:tc>
          <w:tcPr>
            <w:tcW w:w="4989" w:type="dxa"/>
            <w:vAlign w:val="center"/>
            <w:shd w:fill="FFFFFF"/>
          </w:tcPr>
          <w:p w14:paraId="759B645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97,024</w:t>
            </w:r>
          </w:p>
        </w:tc>
      </w:tr>
      <w:tr w:rsidR="00067B1F" w14:paraId="7C1A9102" w14:textId="77777777">
        <w:trPr>
          <w:cantSplit/>
        </w:trPr>
        <w:tc>
          <w:tcPr>
            <w:tcW w:w="4988" w:type="dxa"/>
            <w:vAlign w:val="center"/>
            <w:shd w:fill="FFFFFF"/>
          </w:tcPr>
          <w:p w14:paraId="5EFCD73B"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Transformer encoder (2 layers)</w:t>
            </w:r>
          </w:p>
        </w:tc>
        <w:tc>
          <w:tcPr>
            <w:tcW w:w="4989" w:type="dxa"/>
            <w:vAlign w:val="center"/>
            <w:shd w:fill="FFFFFF"/>
          </w:tcPr>
          <w:p w14:paraId="24D9D3B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d_model=256; heads=8; FFN=512</w:t>
            </w:r>
          </w:p>
        </w:tc>
        <w:tc>
          <w:tcPr>
            <w:tcW w:w="4989" w:type="dxa"/>
            <w:vAlign w:val="center"/>
            <w:shd w:fill="FFFFFF"/>
          </w:tcPr>
          <w:p w14:paraId="539AFE4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1,054,208</w:t>
            </w:r>
          </w:p>
        </w:tc>
      </w:tr>
      <w:tr w:rsidR="00067B1F" w14:paraId="2ABB9444" w14:textId="77777777">
        <w:trPr>
          <w:cantSplit/>
        </w:trPr>
        <w:tc>
          <w:tcPr>
            <w:tcW w:w="4988" w:type="dxa"/>
            <w:vAlign w:val="center"/>
            <w:shd w:fill="FFFFFF"/>
          </w:tcPr>
          <w:p w14:paraId="2239ED0B"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RoPE</w:t>
            </w:r>
          </w:p>
        </w:tc>
        <w:tc>
          <w:tcPr>
            <w:tcW w:w="4989" w:type="dxa"/>
            <w:vAlign w:val="center"/>
            <w:shd w:fill="FFFFFF"/>
          </w:tcPr>
          <w:p w14:paraId="2347877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relative rotation of Q/K</w:t>
            </w:r>
          </w:p>
        </w:tc>
        <w:tc>
          <w:tcPr>
            <w:tcW w:w="4989" w:type="dxa"/>
            <w:vAlign w:val="center"/>
            <w:shd w:fill="FFFFFF"/>
          </w:tcPr>
          <w:p w14:paraId="0A24396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w:t>
            </w:r>
          </w:p>
        </w:tc>
      </w:tr>
      <w:tr w:rsidR="00067B1F" w14:paraId="2E61912F" w14:textId="77777777">
        <w:trPr>
          <w:cantSplit/>
        </w:trPr>
        <w:tc>
          <w:tcPr>
            <w:tcW w:w="4988" w:type="dxa"/>
            <w:vAlign w:val="center"/>
            <w:shd w:fill="FFFFFF"/>
          </w:tcPr>
          <w:p w14:paraId="7933B8BC"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Prediction head (Linear)</w:t>
            </w:r>
          </w:p>
        </w:tc>
        <w:tc>
          <w:tcPr>
            <w:tcW w:w="4989" w:type="dxa"/>
            <w:vAlign w:val="center"/>
            <w:shd w:fill="FFFFFF"/>
          </w:tcPr>
          <w:p w14:paraId="504301C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256 → 1</w:t>
            </w:r>
          </w:p>
        </w:tc>
        <w:tc>
          <w:tcPr>
            <w:tcW w:w="4989" w:type="dxa"/>
            <w:vAlign w:val="center"/>
            <w:shd w:fill="FFFFFF"/>
          </w:tcPr>
          <w:p w14:paraId="35A8F8E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257</w:t>
            </w:r>
          </w:p>
        </w:tc>
      </w:tr>
      <w:tr w:rsidR="00067B1F" w14:paraId="4601B618" w14:textId="77777777">
        <w:trPr>
          <w:cantSplit/>
        </w:trPr>
        <w:tc>
          <w:tcPr>
            <w:tcW w:w="4988" w:type="dxa"/>
            <w:vAlign w:val="center"/>
            <w:shd w:fill="FFFFFF"/>
          </w:tcPr>
          <w:p w14:paraId="700B74B0"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Total</w:t>
            </w:r>
          </w:p>
        </w:tc>
        <w:tc>
          <w:tcPr>
            <w:tcW w:w="4989" w:type="dxa"/>
            <w:vAlign w:val="center"/>
            <w:shd w:fill="FFFFFF"/>
          </w:tcPr>
          <w:p w14:paraId="0288821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w:t>
            </w:r>
          </w:p>
        </w:tc>
        <w:tc>
          <w:tcPr>
            <w:tcW w:w="4989" w:type="dxa"/>
            <w:vAlign w:val="center"/>
            <w:shd w:fill="FFFFFF"/>
          </w:tcPr>
          <w:p w14:paraId="49F48E3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1,844,505 (reported as 1.84M)</w:t>
            </w:r>
          </w:p>
        </w:tc>
      </w:tr>
    </w:tbl>
    <w:p w14:paraId="4AB391D5"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Counts are trainable weights only for the locked configuration used in Tables S21–S24. Locked model input tensor (authoritative; Tables S2 and S4b). For each hour t=0…11 the shared deep-learning input is the 66-dimensional vector x_t = [v_t (22), Δ_t (22), m_t (22)], where v_t are persistence-filled base values, Δ_t = v_t − v_{t−1} (with Δ_0 := 0), and m_t are raw-observation masks for the 22 base channels only. There is no separate delta-mask channel in the locked tensor. Mask semantics: m_{t,c}=1 if and only if a new charted measurement for channel c was recorded in hour t (before persistence fill); m_{t,c}=0 otherwise. Value semantics: within the pre-specified persistence window, missing hours may be filled by carry-forward of the last usable value, so a cell can have v_{t,c}≠0 with m_{t,c}=0 (carried). Outside the window, or before the first measurement, v_{t,c}=0 and m_{t,c}=0 (true missing). Delta validity is encoded by zeroing: if either adjacent hour lacks a usable filled value for channel c, Δ_{t,c}=0; otherwise Δ_{t,c}=v_{t,c}−v_{t−1,c}. Hour-0 deltas are always 0. Worked example (one channel): hour 1 newly measured 120 → (v=120, m=1); hour 2 carried → (v=120, m=0); hour 3 after window expiry → (v=0, m=0); Δ_2=0 (120−120) with no delta mask; Δ_3=0 because hour 3 is unusable. All PatchFusion, LSTM, Transformer, TBAL, PatchTST, Raindrop, and LightGBM runs used this same 66-d hourly tensor. GRU-D additionally consumed per-channel elapsed time since the last raw observation (Δt derived from m_t), following Che et al. [16]; Δt is not concatenated into the 66-d shared tensor but is computed from the same raw masks, so observation-versus-carry-forward separation is available to GRU-D without changing the common value/delta/mask channels. A shared BiLSTM encodes each 6-hour patch; the episode token is the concatenation of the final forward and backward hidden states (189+189=378), linearly projected to d_model=256. RoPE is applied only to the episode-token query/key vectors immediately before Transformer self-attention (not inside the BiLSTM); the Transformer stack is 2 × nn.TransformerEncoderLayer (d_model=256, nhead=8, dim_feedforward=512, dropout=0.2, batch_first=True, norm_first=True/pre-norm) with standard Linear/in_proj bias (PyTorch 2.1: 527,104 weights/layer → 1,054,208). After the 2-layer Transformer (3 tokens), mean pooling over the token axis yields a 256-d stay vector for the linear prediction head (256→1). Module total = 1,844,505, reported as 1.84M. Counts follow nn.TransformerEncoderLayer arithmetic. This table is the authoritative shape/parameter manifest and supersedes any conflicting Hidden size entries in Table S4.</w:t>
      </w:r>
    </w:p>
    <w:p w14:paraId="65EE6D6C"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Table S4c. Locked Comparator Module Shapes and Parameter Counts (sums match Tables S21/S25). LSTM (0.91M): Linear 66→256 (17,152); unidirectional LSTM hidden 360 (input 256; 889,920); Linear 360→1 (361); total 907,433 (reported 0.91M). Transformer baseline (1.60M; no RoPE): Linear 66→256 (17,152); 2 × TransformerEncoderLayer (d_model=256, nhead=8, dim_feedforward=1024, dropout=0.2, norm_first=True, with bias; 1,579,520); mean-pool over 12 hour tokens → Linear 256→1 (257); total 1,596,929 (reported 1.60M). TBAL (2.11M): time-aware attention width 512 with the published TBAL blocks under the locked LR=1e-3 and dropout=0.2 from Table S4; block-wise weight dump accompanies the code release. PatchTST (2.12M), GRU-D, Raindrop, and LightGBM locked hyperparameters are listed under Extended baselines in Supplementary Methods. Selection rule: among 12–18 inner-validation trials per family, retain the configuration with the highest mean inner AUROC across the five outer folds; retrain once on the full MIMIC-IV cohort (PatchFusion external checkpoint = seed 2) unless otherwise noted.</w:t>
      </w:r>
    </w:p>
    <w:p w14:paraId="3BABF0C8" w14:textId="77777777" w:rsidR="00092AD1" w:rsidRPr="00A729E3" w:rsidRDefault="00000000">
      <w:pPr>
        <w:keepNext w:val="0"/>
        <w:keepLines w:val="0"/>
        <w:widowControl/>
        <w:spacing w:after="80" w:line="480" w:lineRule="auto" w:before="0"/>
        <w:ind w:left="0" w:right="0" w:firstLine="0"/>
        <w:rPr>
          <w:rFonts w:cs="Times New Roman"/>
          <w:b/>
          <w:sz w:val="34"/>
        </w:rPr>
      </w:pPr>
      <w:r>
        <w:rPr>
          <w:rFonts w:eastAsia="Times New Roman" w:cs="Times New Roman" w:ascii="Times New Roman" w:hAnsi="Times New Roman"/>
          <w:b/>
          <w:vanish w:val="0"/>
          <w:color w:val="000000"/>
          <w:sz w:val="22"/>
        </w:rPr>
        <w:lastRenderedPageBreak/>
        <w:t>Supplementary Results</w:t>
      </w:r>
    </w:p>
    <w:p w14:paraId="4E40F502" w14:textId="77777777" w:rsidR="00092AD1" w:rsidRPr="00A729E3" w:rsidRDefault="00000000">
      <w:pPr>
        <w:keepNext w:val="0"/>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Supplementary interpretation of representation and ranking performance</w:t>
      </w:r>
    </w:p>
    <w:p w14:paraId="2D042B17"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PatchFusion forms recurrent states independently within each overlapping patch and uses one projected terminal-state summary per patch as a multivariate attention token. BiLSTM weights are shared, but hidden and cell states are restarted for each patch and are not carried across boundaries. Overlap shares observations between neighboring patches without sharing recurrent states. Global attention operates on these completed sequence-derived summaries. The architectural contribution is the joint definition of recurrent computation boundaries and attention-input content within a local/global hierarchy. Fixed patches are computational windows rather than annotated clinical episodes. Table S29 examines the content of these representations through alternative encoders and within-patch order shuffling; the CNN intervals do not establish an exclusive requirement for recurrent encoding.</w:t>
      </w:r>
    </w:p>
    <w:p w14:paraId="13F5D146"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MIMIC-IV AUPRC was 0.578 versus 0.486 for adapted Hi-Patch, 0.489 for adapted LGTRL-DE, and 0.461 for PatchTST, giving absolute gains of 0.092, 0.089, and 0.117 (Table S22). Gains of 0.060 and 0.053 over the matched reversals compare complete organizations of the same trainable modules. Capacity matching constrains a parameter-count explanation; three-token matching examines attention length while retaining different token formation and context injection. Patch-setting comparisons assess segmentation dependence (Tables S13b and S24b). Encoder comparisons retain patch settings, token count, and the global stage while changing local representation formation (Tables S29–S29b). Taken together, these complementary controls support the complete representation pathway under the study protocol.</w:t>
      </w:r>
    </w:p>
    <w:p w14:paraId="586A1B95"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AUPRC depends on event prevalence, so differences are interpreted within a common cohort and endpoint. Frozen eICU-CRD evaluation retains higher primary-endpoint AUPRC against the reported benchmarks and reversals (Tables S23–S23b). Hallym in-hospital gains over LSTM, Transformer, and TBAL were 0.095, 0.040, and 0.065, with paired intervals excluding zero; seven-day differences versus Transformer and TBAL remained imprecise (Table S5b). Operating characteristics and calibration address review volume and probability accuracy separately from these ranking comparisons.</w:t>
      </w:r>
    </w:p>
    <w:p w14:paraId="16CB7D6C" w14:textId="77777777" w:rsidR="00092AD1" w:rsidRPr="00A729E3" w:rsidRDefault="00000000">
      <w:pPr>
        <w:keepNext w:val="0"/>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Supplementary interpretation of trajectory formation and global interaction</w:t>
      </w:r>
    </w:p>
    <w:p w14:paraId="17975AD9" w14:textId="77777777" w:rsidR="00092AD1" w:rsidRPr="00A729E3" w:rsidRDefault="00000000">
      <w:pPr>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The prespecified reversal retains all trainable blocks and 1,844,505 parameters while applying global attention to hourly embeddings before bounded recurrent patch encoding. MIMIC-IV AUPRC was 0.518 versus 0.578 for PatchFusion (control-minus-PatchFusion Δ −0.060; nominal P&lt;.001). The post hoc three-token reversal forms mean patch tokens for attention, then recurrently encodes hourly sequences with broadcast global context; its AUPRC was 0.525 (Δ −0.053; nominal P&lt;.001). Frozen eICU-CRD AUPRC was 0.354 versus 0.310 and 0.323 for the reversals, with both nominal P&lt;.001 (Table S23b). These controls evaluate two alternative routes to local and global representation using the matched module inventory.</w:t>
      </w:r>
    </w:p>
    <w:p w14:paraId="2484FCAB"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The estimand of the structural comparisons is the predictive-performance difference between complete representation pathways. Parameter-matched and token-matched reversals, together with the patch-encoder comparisons, provide evidence for the evaluated architecture without isolating processing order as a single cause. Reversal token construction and context injection differ; encoder contrasts address attention-input content under a fixed patch/global-stage protocol. A claim about the isolated effect of order would require targeted contrasts preserving token construction and context injection while varying the factor of interest. That narrower causal question does not change the scope of the present complete-pathway evidence. Hierarchical benchmarks use common hourly dynamic inputs and apply to the resulting adaptations; the original irregular-observation setting of Hi-Patch and demographic/static formulation of LGTRL-DE remain distinct reference conditions.</w:t>
      </w:r>
    </w:p>
    <w:p w14:paraId="08812F1E" w14:textId="77777777" w:rsidR="00092AD1" w:rsidRPr="00A729E3" w:rsidRDefault="00000000">
      <w:pPr>
        <w:keepNext w:val="0"/>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 xml:space="preserve">Supplementary interpretation of frozen and disease-specific validation</w:t>
      </w:r>
    </w:p>
    <w:p w14:paraId="5EF948D2"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Frozen eICU-CRD evaluation tests the primary-endpoint models after MIMIC-IV development, without target-cohort fitting. PatchFusion retains higher AUPRC over adapted Hi-Patch, adapted LGTRL-DE, PatchTST, and both reversed pathways (Tables S23–S23b). Hallym supplies complementary evidence through separately fitted, frozen seven-day and in-hospital models under routine EHR capture, with seven source channels unavailable and prospective silent scores. Paired in-hospital gains support endpoint-specific ranking advantages; seven-day Transformer and TBAL contrasts remain imprecise. The calibration, operating, and score-recording results document conditions that public benchmark discrimination does not establish. The primary reversal comparisons were not repeated at Hallym.</w:t>
      </w:r>
    </w:p>
    <w:p w14:paraId="1C6B7F9A" w14:textId="77777777" w:rsidR="00092AD1" w:rsidRPr="00A729E3" w:rsidRDefault="00092AD1">
      <w:pPr>
        <w:widowControl/>
        <w:spacing w:after="120" w:line="269" w:lineRule="auto"/>
        <w:rPr>
          <w:rFonts w:cs="Times New Roman"/>
        </w:rPr>
        <w:sectPr w:rsidR="00092AD1" w:rsidRPr="00A729E3">
          <w:footerReference w:type="default" r:id="rId13"/>
          <w:pgSz w:w="16838" w:h="11906" w:orient="landscape"/>
          <w:pgMar w:top="936" w:right="936" w:bottom="936" w:left="936" w:header="360" w:footer="360" w:gutter="0"/>
          <w:cols w:space="720" w:num="1"/>
        </w:sectPr>
      </w:pPr>
    </w:p>
    <w:p w14:paraId="630AEC38"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eastAsia="Times New Roman" w:cs="Times New Roman" w:ascii="Times New Roman" w:hAnsi="Times New Roman"/>
          <w:vanish w:val="0"/>
          <w:color w:val="000000"/>
          <w:sz w:val="22"/>
        </w:rPr>
        <w:t xml:space="preserve">Disease-specific retraining in the influenza subcohort yielded the highest reported AUROC and AUPRC for PatchFusion among the evaluated models. Influenza cases were identified by ICD-9 487.x/488.x or ICD-10 J09–J11 as admission or discharge diagnoses, with the same hour-12 risk-set and first-eligible-stay rules as the main MIMIC-IV cohort. The analysis used in-hospital mortality (N=8,210; 2,924 deaths; prevalence 0.356). Each architecture was re-tuned and re-trained on influenza-restricted patient-level GroupKFold splits with an inner 20% hold-out. Each of five independently trained seeds contributed one test estimate from its validation-selected checkpoint; Table S8 reports the mean and sample SD. Figure S4 shows training and validation AUROC for a representative run. This within-cohort analysis is separate from frozen external transport.</w:t>
      </w:r>
    </w:p>
    <w:p w14:paraId="01A6450D" w14:textId="77777777" w:rsidR="00092AD1" w:rsidRPr="00A729E3" w:rsidRDefault="00000000">
      <w:pPr>
        <w:pStyle w:val="a3"/>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The 4-hospital Hallym University Medical Center network assessed secondary-endpoint real-world transport and silent operation after MIMIC-IV development and locked eICU-CRD validation. It combined retrospective replay of admissions before August 28, 2025 with prospective silent scoring from that date; the primary (12,24]-hour endpoint was not evaluated in Hallym. PatchFusion and the deep learning baselines (LSTM, Transformer, and TBAL) used the August 2025–locked final full-cohort MIMIC-IV–retrained models for the corresponding in-hospital and 7-day prediction heads with completely fixed weights and pooled-OOF Youden thresholds. Scores were computed automatically from actual first-12-hour EHR time-series inputs at the hour-12 landmark and were not displayed to treating clinicians (silent), with no Hallym-specific retraining, fine-tuning, or threshold reselection. Fair comparison therefore rests on identical transfer conditions: frozen MIMIC-IV weights, matching endpoint-specific heads, and the same masked input intersection. The input dimension was fixed to the MIMIC-IV feature list in Table S2, including matched hourly temporal-delta channels for every base variable. Only variables present in that MIMIC-IV list were eligible as model inputs. When a MIMIC-IV input was available in Hallym, the corresponding observed value was used after unit harmonization, when a MIMIC-IV input was unavailable in Hallym (chloride, arterial pH, base excess, anion gap, norepinephrine dose, vasopressin, and FiO₂), the value channel was set to 0 and the observation mask to 0 (Table S9). Hallym-only EHR fields (for example age, sex, BMI, creatinine, CRP, and admission type) were not appended to the model input vector (Table S9b). Continuous variables were standardized with MIMIC-IV training-fold mean/SD. In addition to deep learning baselines, qSOFA and the SOFA-2 total score were computed from the first 12 hours as bedside clinical comparators (Table S12). Hallym AUROC, AUPRC, sensitivity, and specificity 95% CIs all used patient-cluster bootstrap resampling (1,044 patients resampled with replacement, all associated stays included, 2000 resamples). AUROC and AUPRC are threshold-independent. Sensitivity and specificity used the pooled MIMIC-IV out-of-fold Youden thresholds applied unchanged to Hallym and were not re-optimized using Hallym outcome labels. Because these inputs were unavailable in Hallym, chloride, arterial pH, base excess, anion gap, norepinephrine dose, vasopressin, and FiO₂ remained systematically masked during transfer scoring. Hallym AUROC/AUPRC represent locked-model transportability under an incomplete feature intersection. Discrimination persisted despite masked ABG, vasopressor, and FiO₂ channels, but these data cannot isolate the contribution of any missing channel; absolute metrics remained below the corresponding fully featured MIMIC-IV results.</w:t>
      </w:r>
    </w:p>
    <w:p w14:paraId="62B3B493" w14:textId="77777777" w:rsidR="00092AD1" w:rsidRPr="00A729E3" w:rsidRDefault="00092AD1">
      <w:pPr>
        <w:widowControl/>
        <w:spacing w:after="120" w:line="269" w:lineRule="auto"/>
        <w:rPr>
          <w:rFonts w:cs="Times New Roman"/>
          <w:lang w:eastAsia="ko-KR"/>
        </w:rPr>
        <w:sectPr w:rsidR="00092AD1" w:rsidRPr="00A729E3">
          <w:footerReference w:type="default" r:id="rId14"/>
          <w:pgSz w:w="16838" w:h="11906" w:orient="landscape"/>
          <w:pgMar w:top="936" w:right="936" w:bottom="936" w:left="936" w:header="360" w:footer="360" w:gutter="0"/>
          <w:cols w:space="720" w:num="1"/>
        </w:sectPr>
      </w:pPr>
    </w:p>
    <w:p w14:paraId="232355BB" w14:textId="77777777" w:rsidR="00092AD1" w:rsidRPr="00A729E3" w:rsidRDefault="00000000">
      <w:pPr>
        <w:keepNext/>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lastRenderedPageBreak/>
        <w:t>Table S5. Pairwise Comparisons of AUROC (DeLong) and AUPRC (Bootstrap) With 95% CIs and P Values (MIMIC-IV, Including In-Hospital Mortality)</w:t>
      </w:r>
    </w:p>
    <w:tbl>
      <w:tblPr>
        <w:tblW w:w="5000" w:type="pct"/>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188"/>
        <w:gridCol w:w="1836"/>
        <w:gridCol w:w="1836"/>
        <w:gridCol w:w="1855"/>
        <w:gridCol w:w="1778"/>
        <w:gridCol w:w="1778"/>
        <w:gridCol w:w="1797"/>
      </w:tblGrid>
      <w:tr w:rsidR="006E4139" w14:paraId="4E223D5B" w14:textId="77777777">
        <w:trPr>
          <w:jc w:val="center"/>
          <w:cantSplit/>
          <w:tblHeader/>
        </w:trPr>
        <w:tc>
          <w:tcPr>
            <w:tcW w:w="1898" w:type="dxa"/>
            <w:vAlign w:val="center"/>
            <w:shd w:fill="E7E7E7"/>
          </w:tcPr>
          <w:p w14:paraId="1C217CB7"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Prediction Horizon</w:t>
            </w:r>
          </w:p>
        </w:tc>
        <w:tc>
          <w:tcPr>
            <w:tcW w:w="2188" w:type="dxa"/>
            <w:vAlign w:val="center"/>
            <w:shd w:fill="E7E7E7"/>
          </w:tcPr>
          <w:p w14:paraId="4BBA3BB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Comparison</w:t>
            </w:r>
          </w:p>
        </w:tc>
        <w:tc>
          <w:tcPr>
            <w:tcW w:w="1836" w:type="dxa"/>
            <w:vAlign w:val="center"/>
            <w:shd w:fill="E7E7E7"/>
          </w:tcPr>
          <w:p w14:paraId="4290CC8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w:t>
            </w:r>
          </w:p>
        </w:tc>
        <w:tc>
          <w:tcPr>
            <w:tcW w:w="1836" w:type="dxa"/>
            <w:vAlign w:val="center"/>
            <w:shd w:fill="E7E7E7"/>
          </w:tcPr>
          <w:p w14:paraId="4802CE4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 95% CI</w:t>
            </w:r>
          </w:p>
        </w:tc>
        <w:tc>
          <w:tcPr>
            <w:tcW w:w="1855" w:type="dxa"/>
            <w:vAlign w:val="center"/>
            <w:shd w:fill="E7E7E7"/>
          </w:tcPr>
          <w:p w14:paraId="2EB049F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 value (AUROC)</w:t>
            </w:r>
          </w:p>
        </w:tc>
        <w:tc>
          <w:tcPr>
            <w:tcW w:w="1778" w:type="dxa"/>
            <w:vAlign w:val="center"/>
            <w:shd w:fill="E7E7E7"/>
          </w:tcPr>
          <w:p w14:paraId="3C12703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w:t>
            </w:r>
          </w:p>
        </w:tc>
        <w:tc>
          <w:tcPr>
            <w:tcW w:w="1778" w:type="dxa"/>
            <w:vAlign w:val="center"/>
            <w:shd w:fill="E7E7E7"/>
          </w:tcPr>
          <w:p w14:paraId="2A67752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 95% CI</w:t>
            </w:r>
          </w:p>
        </w:tc>
        <w:tc>
          <w:tcPr>
            <w:tcW w:w="1797" w:type="dxa"/>
            <w:vAlign w:val="center"/>
            <w:shd w:fill="E7E7E7"/>
          </w:tcPr>
          <w:p w14:paraId="5E07039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 value (AUPRC)</w:t>
            </w:r>
          </w:p>
        </w:tc>
      </w:tr>
      <w:tr w:rsidR="006E4139" w14:paraId="46C3C7D9" w14:textId="77777777">
        <w:trPr>
          <w:jc w:val="center"/>
          <w:cantSplit/>
        </w:trPr>
        <w:tc>
          <w:tcPr>
            <w:tcW w:w="1898" w:type="dxa"/>
            <w:vAlign w:val="center"/>
            <w:shd w:fill="FFFFFF"/>
          </w:tcPr>
          <w:p w14:paraId="1298A30E" w14:textId="77777777" w:rsidR="006E4139" w:rsidRDefault="006E4139">
            <w:pPr>
              <w:keepNext w:val="0"/>
              <w:keepLines w:val="0"/>
              <w:widowControl/>
              <w:spacing w:before="0" w:after="0" w:line="480" w:lineRule="auto"/>
              <w:ind w:left="0" w:right="0" w:firstLine="0"/>
              <w:jc w:val="left"/>
            </w:pPr>
          </w:p>
        </w:tc>
        <w:tc>
          <w:tcPr>
            <w:tcW w:w="2188" w:type="dxa"/>
            <w:vAlign w:val="center"/>
            <w:shd w:fill="FFFFFF"/>
          </w:tcPr>
          <w:p w14:paraId="04B3FF2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LSTM</w:t>
            </w:r>
          </w:p>
        </w:tc>
        <w:tc>
          <w:tcPr>
            <w:tcW w:w="1836" w:type="dxa"/>
            <w:vAlign w:val="center"/>
            <w:shd w:fill="FFFFFF"/>
          </w:tcPr>
          <w:p w14:paraId="084FE49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+0.069</w:t>
            </w:r>
          </w:p>
        </w:tc>
        <w:tc>
          <w:tcPr>
            <w:tcW w:w="1836" w:type="dxa"/>
            <w:vAlign w:val="center"/>
            <w:shd w:fill="FFFFFF"/>
          </w:tcPr>
          <w:p w14:paraId="7C02416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0.046–0.092</w:t>
            </w:r>
          </w:p>
        </w:tc>
        <w:tc>
          <w:tcPr>
            <w:tcW w:w="1855" w:type="dxa"/>
            <w:vAlign w:val="center"/>
            <w:shd w:fill="FFFFFF"/>
          </w:tcPr>
          <w:p w14:paraId="7D93517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778" w:type="dxa"/>
            <w:vAlign w:val="center"/>
            <w:shd w:fill="FFFFFF"/>
          </w:tcPr>
          <w:p w14:paraId="17A8849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+0.244</w:t>
            </w:r>
          </w:p>
        </w:tc>
        <w:tc>
          <w:tcPr>
            <w:tcW w:w="1778" w:type="dxa"/>
            <w:vAlign w:val="center"/>
            <w:shd w:fill="FFFFFF"/>
          </w:tcPr>
          <w:p w14:paraId="36F275C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0.190–0.296</w:t>
            </w:r>
          </w:p>
        </w:tc>
        <w:tc>
          <w:tcPr>
            <w:tcW w:w="1797" w:type="dxa"/>
            <w:vAlign w:val="center"/>
            <w:shd w:fill="FFFFFF"/>
          </w:tcPr>
          <w:p w14:paraId="0E9D61F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r>
      <w:tr w:rsidR="006E4139" w14:paraId="609C04EA" w14:textId="77777777">
        <w:trPr>
          <w:jc w:val="center"/>
          <w:cantSplit/>
        </w:trPr>
        <w:tc>
          <w:tcPr>
            <w:tcW w:w="1898" w:type="dxa"/>
            <w:vAlign w:val="center"/>
            <w:shd w:fill="FFFFFF"/>
          </w:tcPr>
          <w:p w14:paraId="5FD6B37C"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1-day</w:t>
            </w:r>
          </w:p>
        </w:tc>
        <w:tc>
          <w:tcPr>
            <w:tcW w:w="2188" w:type="dxa"/>
            <w:vAlign w:val="center"/>
            <w:shd w:fill="FFFFFF"/>
          </w:tcPr>
          <w:p w14:paraId="4AB08C3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Transformer</w:t>
            </w:r>
          </w:p>
        </w:tc>
        <w:tc>
          <w:tcPr>
            <w:tcW w:w="1836" w:type="dxa"/>
            <w:vAlign w:val="center"/>
            <w:shd w:fill="FFFFFF"/>
          </w:tcPr>
          <w:p w14:paraId="71FFF09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+0.086</w:t>
            </w:r>
          </w:p>
        </w:tc>
        <w:tc>
          <w:tcPr>
            <w:tcW w:w="1836" w:type="dxa"/>
            <w:vAlign w:val="center"/>
            <w:shd w:fill="FFFFFF"/>
          </w:tcPr>
          <w:p w14:paraId="02BDF68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0.069–0.103</w:t>
            </w:r>
          </w:p>
        </w:tc>
        <w:tc>
          <w:tcPr>
            <w:tcW w:w="1855" w:type="dxa"/>
            <w:vAlign w:val="center"/>
            <w:shd w:fill="FFFFFF"/>
          </w:tcPr>
          <w:p w14:paraId="4CA73D8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c>
          <w:tcPr>
            <w:tcW w:w="1778" w:type="dxa"/>
            <w:vAlign w:val="center"/>
            <w:shd w:fill="FFFFFF"/>
          </w:tcPr>
          <w:p w14:paraId="46F075D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+0.224</w:t>
            </w:r>
          </w:p>
        </w:tc>
        <w:tc>
          <w:tcPr>
            <w:tcW w:w="1778" w:type="dxa"/>
            <w:vAlign w:val="center"/>
            <w:shd w:fill="FFFFFF"/>
          </w:tcPr>
          <w:p w14:paraId="11E62F2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0.168–0.270</w:t>
            </w:r>
          </w:p>
        </w:tc>
        <w:tc>
          <w:tcPr>
            <w:tcW w:w="1797" w:type="dxa"/>
            <w:vAlign w:val="center"/>
            <w:shd w:fill="FFFFFF"/>
          </w:tcPr>
          <w:p w14:paraId="46AC71F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r>
      <w:tr w:rsidR="006E4139" w14:paraId="2BBA9F15" w14:textId="77777777">
        <w:trPr>
          <w:jc w:val="center"/>
          <w:cantSplit/>
        </w:trPr>
        <w:tc>
          <w:tcPr>
            <w:tcW w:w="1898" w:type="dxa"/>
            <w:vAlign w:val="center"/>
            <w:shd w:fill="FFFFFF"/>
          </w:tcPr>
          <w:p w14:paraId="5C756118" w14:textId="77777777" w:rsidR="006E4139" w:rsidRDefault="006E4139">
            <w:pPr>
              <w:keepNext w:val="0"/>
              <w:keepLines w:val="0"/>
              <w:widowControl/>
              <w:spacing w:before="0" w:after="0" w:line="480" w:lineRule="auto"/>
              <w:ind w:left="0" w:right="0" w:firstLine="0"/>
              <w:jc w:val="left"/>
            </w:pPr>
          </w:p>
        </w:tc>
        <w:tc>
          <w:tcPr>
            <w:tcW w:w="2188" w:type="dxa"/>
            <w:vAlign w:val="center"/>
            <w:shd w:fill="FFFFFF"/>
          </w:tcPr>
          <w:p w14:paraId="1E1AB8A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TBAL</w:t>
            </w:r>
          </w:p>
        </w:tc>
        <w:tc>
          <w:tcPr>
            <w:tcW w:w="1836" w:type="dxa"/>
            <w:vAlign w:val="center"/>
            <w:shd w:fill="FFFFFF"/>
          </w:tcPr>
          <w:p w14:paraId="0229A2F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+0.022</w:t>
            </w:r>
          </w:p>
        </w:tc>
        <w:tc>
          <w:tcPr>
            <w:tcW w:w="1836" w:type="dxa"/>
            <w:vAlign w:val="center"/>
            <w:shd w:fill="FFFFFF"/>
          </w:tcPr>
          <w:p w14:paraId="125E03E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0.009–0.035</w:t>
            </w:r>
          </w:p>
        </w:tc>
        <w:tc>
          <w:tcPr>
            <w:tcW w:w="1855" w:type="dxa"/>
            <w:vAlign w:val="center"/>
            <w:shd w:fill="FFFFFF"/>
          </w:tcPr>
          <w:p w14:paraId="3BC949E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w:t>
            </w:r>
          </w:p>
        </w:tc>
        <w:tc>
          <w:tcPr>
            <w:tcW w:w="1778" w:type="dxa"/>
            <w:vAlign w:val="center"/>
            <w:shd w:fill="FFFFFF"/>
          </w:tcPr>
          <w:p w14:paraId="34260E1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+0.100</w:t>
            </w:r>
          </w:p>
        </w:tc>
        <w:tc>
          <w:tcPr>
            <w:tcW w:w="1778" w:type="dxa"/>
            <w:vAlign w:val="center"/>
            <w:shd w:fill="FFFFFF"/>
          </w:tcPr>
          <w:p w14:paraId="32F7985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0.048–0.151</w:t>
            </w:r>
          </w:p>
        </w:tc>
        <w:tc>
          <w:tcPr>
            <w:tcW w:w="1797" w:type="dxa"/>
            <w:vAlign w:val="center"/>
            <w:shd w:fill="FFFFFF"/>
          </w:tcPr>
          <w:p w14:paraId="5F9D2C5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w:t>
            </w:r>
          </w:p>
        </w:tc>
      </w:tr>
      <w:tr w:rsidR="006E4139" w14:paraId="3BE802F6" w14:textId="77777777">
        <w:trPr>
          <w:jc w:val="center"/>
          <w:cantSplit/>
        </w:trPr>
        <w:tc>
          <w:tcPr>
            <w:tcW w:w="1898" w:type="dxa"/>
            <w:vAlign w:val="center"/>
            <w:shd w:fill="FFFFFF"/>
          </w:tcPr>
          <w:p w14:paraId="3175B92E" w14:textId="77777777" w:rsidR="006E4139" w:rsidRDefault="006E4139">
            <w:pPr>
              <w:keepNext w:val="0"/>
              <w:keepLines w:val="0"/>
              <w:widowControl/>
              <w:spacing w:before="0" w:after="0" w:line="480" w:lineRule="auto"/>
              <w:ind w:left="0" w:right="0" w:firstLine="0"/>
              <w:jc w:val="left"/>
            </w:pPr>
          </w:p>
        </w:tc>
        <w:tc>
          <w:tcPr>
            <w:tcW w:w="2188" w:type="dxa"/>
            <w:vAlign w:val="center"/>
            <w:shd w:fill="FFFFFF"/>
          </w:tcPr>
          <w:p w14:paraId="0C4DD74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LSTM</w:t>
            </w:r>
          </w:p>
        </w:tc>
        <w:tc>
          <w:tcPr>
            <w:tcW w:w="1836" w:type="dxa"/>
            <w:vAlign w:val="center"/>
            <w:shd w:fill="FFFFFF"/>
          </w:tcPr>
          <w:p w14:paraId="21498AA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+0.039</w:t>
            </w:r>
          </w:p>
        </w:tc>
        <w:tc>
          <w:tcPr>
            <w:tcW w:w="1836" w:type="dxa"/>
            <w:vAlign w:val="center"/>
            <w:shd w:fill="FFFFFF"/>
          </w:tcPr>
          <w:p w14:paraId="1D58EEC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0.025–0.053</w:t>
            </w:r>
          </w:p>
        </w:tc>
        <w:tc>
          <w:tcPr>
            <w:tcW w:w="1855" w:type="dxa"/>
            <w:vAlign w:val="center"/>
            <w:shd w:fill="FFFFFF"/>
          </w:tcPr>
          <w:p w14:paraId="77CE08E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778" w:type="dxa"/>
            <w:vAlign w:val="center"/>
            <w:shd w:fill="FFFFFF"/>
          </w:tcPr>
          <w:p w14:paraId="3638B5B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+0.151</w:t>
            </w:r>
          </w:p>
        </w:tc>
        <w:tc>
          <w:tcPr>
            <w:tcW w:w="1778" w:type="dxa"/>
            <w:vAlign w:val="center"/>
            <w:shd w:fill="FFFFFF"/>
          </w:tcPr>
          <w:p w14:paraId="389F72D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0.099–0.202</w:t>
            </w:r>
          </w:p>
        </w:tc>
        <w:tc>
          <w:tcPr>
            <w:tcW w:w="1797" w:type="dxa"/>
            <w:vAlign w:val="center"/>
            <w:shd w:fill="FFFFFF"/>
          </w:tcPr>
          <w:p w14:paraId="580466C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r>
      <w:tr w:rsidR="006E4139" w14:paraId="564AC560" w14:textId="77777777">
        <w:trPr>
          <w:jc w:val="center"/>
          <w:cantSplit/>
        </w:trPr>
        <w:tc>
          <w:tcPr>
            <w:tcW w:w="1898" w:type="dxa"/>
            <w:vAlign w:val="center"/>
            <w:shd w:fill="FFFFFF"/>
          </w:tcPr>
          <w:p w14:paraId="4EC67E51"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2-day</w:t>
            </w:r>
          </w:p>
        </w:tc>
        <w:tc>
          <w:tcPr>
            <w:tcW w:w="2188" w:type="dxa"/>
            <w:vAlign w:val="center"/>
            <w:shd w:fill="FFFFFF"/>
          </w:tcPr>
          <w:p w14:paraId="2FE8D94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Transformer</w:t>
            </w:r>
          </w:p>
        </w:tc>
        <w:tc>
          <w:tcPr>
            <w:tcW w:w="1836" w:type="dxa"/>
            <w:vAlign w:val="center"/>
            <w:shd w:fill="FFFFFF"/>
          </w:tcPr>
          <w:p w14:paraId="12E4F35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+0.035</w:t>
            </w:r>
          </w:p>
        </w:tc>
        <w:tc>
          <w:tcPr>
            <w:tcW w:w="1836" w:type="dxa"/>
            <w:vAlign w:val="center"/>
            <w:shd w:fill="FFFFFF"/>
          </w:tcPr>
          <w:p w14:paraId="7458AD1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0.020–0.050</w:t>
            </w:r>
          </w:p>
        </w:tc>
        <w:tc>
          <w:tcPr>
            <w:tcW w:w="1855" w:type="dxa"/>
            <w:vAlign w:val="center"/>
            <w:shd w:fill="FFFFFF"/>
          </w:tcPr>
          <w:p w14:paraId="08F6478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c>
          <w:tcPr>
            <w:tcW w:w="1778" w:type="dxa"/>
            <w:vAlign w:val="center"/>
            <w:shd w:fill="FFFFFF"/>
          </w:tcPr>
          <w:p w14:paraId="6B236BB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+0.146</w:t>
            </w:r>
          </w:p>
        </w:tc>
        <w:tc>
          <w:tcPr>
            <w:tcW w:w="1778" w:type="dxa"/>
            <w:vAlign w:val="center"/>
            <w:shd w:fill="FFFFFF"/>
          </w:tcPr>
          <w:p w14:paraId="48E7817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0.095–0.196</w:t>
            </w:r>
          </w:p>
        </w:tc>
        <w:tc>
          <w:tcPr>
            <w:tcW w:w="1797" w:type="dxa"/>
            <w:vAlign w:val="center"/>
            <w:shd w:fill="FFFFFF"/>
          </w:tcPr>
          <w:p w14:paraId="745E074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r>
      <w:tr w:rsidR="006E4139" w14:paraId="500A003E" w14:textId="77777777">
        <w:trPr>
          <w:jc w:val="center"/>
          <w:cantSplit/>
        </w:trPr>
        <w:tc>
          <w:tcPr>
            <w:tcW w:w="1898" w:type="dxa"/>
            <w:vAlign w:val="center"/>
            <w:shd w:fill="FFFFFF"/>
          </w:tcPr>
          <w:p w14:paraId="0D82DAC1" w14:textId="77777777" w:rsidR="006E4139" w:rsidRDefault="006E4139">
            <w:pPr>
              <w:keepNext w:val="0"/>
              <w:keepLines w:val="0"/>
              <w:widowControl/>
              <w:spacing w:before="0" w:after="0" w:line="480" w:lineRule="auto"/>
              <w:ind w:left="0" w:right="0" w:firstLine="0"/>
              <w:jc w:val="left"/>
            </w:pPr>
          </w:p>
        </w:tc>
        <w:tc>
          <w:tcPr>
            <w:tcW w:w="2188" w:type="dxa"/>
            <w:vAlign w:val="center"/>
            <w:shd w:fill="FFFFFF"/>
          </w:tcPr>
          <w:p w14:paraId="700EE0A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TBAL</w:t>
            </w:r>
          </w:p>
        </w:tc>
        <w:tc>
          <w:tcPr>
            <w:tcW w:w="1836" w:type="dxa"/>
            <w:vAlign w:val="center"/>
            <w:shd w:fill="FFFFFF"/>
          </w:tcPr>
          <w:p w14:paraId="05CD258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+0.028</w:t>
            </w:r>
          </w:p>
        </w:tc>
        <w:tc>
          <w:tcPr>
            <w:tcW w:w="1836" w:type="dxa"/>
            <w:vAlign w:val="center"/>
            <w:shd w:fill="FFFFFF"/>
          </w:tcPr>
          <w:p w14:paraId="2A25BB8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0.014–0.042</w:t>
            </w:r>
          </w:p>
        </w:tc>
        <w:tc>
          <w:tcPr>
            <w:tcW w:w="1855" w:type="dxa"/>
            <w:vAlign w:val="center"/>
            <w:shd w:fill="FFFFFF"/>
          </w:tcPr>
          <w:p w14:paraId="0498242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778" w:type="dxa"/>
            <w:vAlign w:val="center"/>
            <w:shd w:fill="FFFFFF"/>
          </w:tcPr>
          <w:p w14:paraId="5BB0AF0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+0.105</w:t>
            </w:r>
          </w:p>
        </w:tc>
        <w:tc>
          <w:tcPr>
            <w:tcW w:w="1778" w:type="dxa"/>
            <w:vAlign w:val="center"/>
            <w:shd w:fill="FFFFFF"/>
          </w:tcPr>
          <w:p w14:paraId="2437BA3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0.057–0.152</w:t>
            </w:r>
          </w:p>
        </w:tc>
        <w:tc>
          <w:tcPr>
            <w:tcW w:w="1797" w:type="dxa"/>
            <w:vAlign w:val="center"/>
            <w:shd w:fill="FFFFFF"/>
          </w:tcPr>
          <w:p w14:paraId="08EEE66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w:t>
            </w:r>
          </w:p>
        </w:tc>
      </w:tr>
      <w:tr w:rsidR="006E4139" w14:paraId="536434C0" w14:textId="77777777">
        <w:trPr>
          <w:jc w:val="center"/>
          <w:cantSplit/>
        </w:trPr>
        <w:tc>
          <w:tcPr>
            <w:tcW w:w="1898" w:type="dxa"/>
            <w:vAlign w:val="center"/>
            <w:shd w:fill="FFFFFF"/>
          </w:tcPr>
          <w:p w14:paraId="2AB829E9" w14:textId="77777777" w:rsidR="006E4139" w:rsidRDefault="006E4139">
            <w:pPr>
              <w:keepNext w:val="0"/>
              <w:keepLines w:val="0"/>
              <w:widowControl/>
              <w:spacing w:before="0" w:after="0" w:line="480" w:lineRule="auto"/>
              <w:ind w:left="0" w:right="0" w:firstLine="0"/>
              <w:jc w:val="left"/>
            </w:pPr>
          </w:p>
        </w:tc>
        <w:tc>
          <w:tcPr>
            <w:tcW w:w="2188" w:type="dxa"/>
            <w:vAlign w:val="center"/>
            <w:shd w:fill="FFFFFF"/>
          </w:tcPr>
          <w:p w14:paraId="762C8BE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LSTM</w:t>
            </w:r>
          </w:p>
        </w:tc>
        <w:tc>
          <w:tcPr>
            <w:tcW w:w="1836" w:type="dxa"/>
            <w:vAlign w:val="center"/>
            <w:shd w:fill="FFFFFF"/>
          </w:tcPr>
          <w:p w14:paraId="25FF5EC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+0.049</w:t>
            </w:r>
          </w:p>
        </w:tc>
        <w:tc>
          <w:tcPr>
            <w:tcW w:w="1836" w:type="dxa"/>
            <w:vAlign w:val="center"/>
            <w:shd w:fill="FFFFFF"/>
          </w:tcPr>
          <w:p w14:paraId="50E4C87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0.032–0.066</w:t>
            </w:r>
          </w:p>
        </w:tc>
        <w:tc>
          <w:tcPr>
            <w:tcW w:w="1855" w:type="dxa"/>
            <w:vAlign w:val="center"/>
            <w:shd w:fill="FFFFFF"/>
          </w:tcPr>
          <w:p w14:paraId="73EC8AC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778" w:type="dxa"/>
            <w:vAlign w:val="center"/>
            <w:shd w:fill="FFFFFF"/>
          </w:tcPr>
          <w:p w14:paraId="5495AC1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+0.143</w:t>
            </w:r>
          </w:p>
        </w:tc>
        <w:tc>
          <w:tcPr>
            <w:tcW w:w="1778" w:type="dxa"/>
            <w:vAlign w:val="center"/>
            <w:shd w:fill="FFFFFF"/>
          </w:tcPr>
          <w:p w14:paraId="0CF7010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0.095–0.190</w:t>
            </w:r>
          </w:p>
        </w:tc>
        <w:tc>
          <w:tcPr>
            <w:tcW w:w="1797" w:type="dxa"/>
            <w:vAlign w:val="center"/>
            <w:shd w:fill="FFFFFF"/>
          </w:tcPr>
          <w:p w14:paraId="7AEF8F9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r>
      <w:tr w:rsidR="006E4139" w14:paraId="49457113" w14:textId="77777777">
        <w:trPr>
          <w:jc w:val="center"/>
          <w:cantSplit/>
        </w:trPr>
        <w:tc>
          <w:tcPr>
            <w:tcW w:w="1898" w:type="dxa"/>
            <w:vAlign w:val="center"/>
            <w:shd w:fill="FFFFFF"/>
          </w:tcPr>
          <w:p w14:paraId="464879B3"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7-day</w:t>
            </w:r>
          </w:p>
        </w:tc>
        <w:tc>
          <w:tcPr>
            <w:tcW w:w="2188" w:type="dxa"/>
            <w:vAlign w:val="center"/>
            <w:shd w:fill="FFFFFF"/>
          </w:tcPr>
          <w:p w14:paraId="65719A9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Transformer</w:t>
            </w:r>
          </w:p>
        </w:tc>
        <w:tc>
          <w:tcPr>
            <w:tcW w:w="1836" w:type="dxa"/>
            <w:vAlign w:val="center"/>
            <w:shd w:fill="FFFFFF"/>
          </w:tcPr>
          <w:p w14:paraId="5244BFD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+0.038</w:t>
            </w:r>
          </w:p>
        </w:tc>
        <w:tc>
          <w:tcPr>
            <w:tcW w:w="1836" w:type="dxa"/>
            <w:vAlign w:val="center"/>
            <w:shd w:fill="FFFFFF"/>
          </w:tcPr>
          <w:p w14:paraId="32816AC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0.023–0.053</w:t>
            </w:r>
          </w:p>
        </w:tc>
        <w:tc>
          <w:tcPr>
            <w:tcW w:w="1855" w:type="dxa"/>
            <w:vAlign w:val="center"/>
            <w:shd w:fill="FFFFFF"/>
          </w:tcPr>
          <w:p w14:paraId="29EA714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c>
          <w:tcPr>
            <w:tcW w:w="1778" w:type="dxa"/>
            <w:vAlign w:val="center"/>
            <w:shd w:fill="FFFFFF"/>
          </w:tcPr>
          <w:p w14:paraId="22082C2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+0.122</w:t>
            </w:r>
          </w:p>
        </w:tc>
        <w:tc>
          <w:tcPr>
            <w:tcW w:w="1778" w:type="dxa"/>
            <w:vAlign w:val="center"/>
            <w:shd w:fill="FFFFFF"/>
          </w:tcPr>
          <w:p w14:paraId="2E927D9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0.076–0.167</w:t>
            </w:r>
          </w:p>
        </w:tc>
        <w:tc>
          <w:tcPr>
            <w:tcW w:w="1797" w:type="dxa"/>
            <w:vAlign w:val="center"/>
            <w:shd w:fill="FFFFFF"/>
          </w:tcPr>
          <w:p w14:paraId="44E967F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r>
      <w:tr w:rsidR="006E4139" w14:paraId="64FF4CC2" w14:textId="77777777">
        <w:trPr>
          <w:jc w:val="center"/>
          <w:cantSplit/>
        </w:trPr>
        <w:tc>
          <w:tcPr>
            <w:tcW w:w="1898" w:type="dxa"/>
            <w:vAlign w:val="center"/>
            <w:shd w:fill="FFFFFF"/>
          </w:tcPr>
          <w:p w14:paraId="080FCEA8" w14:textId="77777777" w:rsidR="006E4139" w:rsidRDefault="006E4139">
            <w:pPr>
              <w:keepNext w:val="0"/>
              <w:keepLines w:val="0"/>
              <w:widowControl/>
              <w:spacing w:before="0" w:after="0" w:line="480" w:lineRule="auto"/>
              <w:ind w:left="0" w:right="0" w:firstLine="0"/>
              <w:jc w:val="left"/>
            </w:pPr>
          </w:p>
        </w:tc>
        <w:tc>
          <w:tcPr>
            <w:tcW w:w="2188" w:type="dxa"/>
            <w:vAlign w:val="center"/>
            <w:shd w:fill="FFFFFF"/>
          </w:tcPr>
          <w:p w14:paraId="6177B3F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TBAL</w:t>
            </w:r>
          </w:p>
        </w:tc>
        <w:tc>
          <w:tcPr>
            <w:tcW w:w="1836" w:type="dxa"/>
            <w:vAlign w:val="center"/>
            <w:shd w:fill="FFFFFF"/>
          </w:tcPr>
          <w:p w14:paraId="483FAF4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+0.045</w:t>
            </w:r>
          </w:p>
        </w:tc>
        <w:tc>
          <w:tcPr>
            <w:tcW w:w="1836" w:type="dxa"/>
            <w:vAlign w:val="center"/>
            <w:shd w:fill="FFFFFF"/>
          </w:tcPr>
          <w:p w14:paraId="4E34C2A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0.029–0.061</w:t>
            </w:r>
          </w:p>
        </w:tc>
        <w:tc>
          <w:tcPr>
            <w:tcW w:w="1855" w:type="dxa"/>
            <w:vAlign w:val="center"/>
            <w:shd w:fill="FFFFFF"/>
          </w:tcPr>
          <w:p w14:paraId="591CB53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778" w:type="dxa"/>
            <w:vAlign w:val="center"/>
            <w:shd w:fill="FFFFFF"/>
          </w:tcPr>
          <w:p w14:paraId="3D62024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+0.109</w:t>
            </w:r>
          </w:p>
        </w:tc>
        <w:tc>
          <w:tcPr>
            <w:tcW w:w="1778" w:type="dxa"/>
            <w:vAlign w:val="center"/>
            <w:shd w:fill="FFFFFF"/>
          </w:tcPr>
          <w:p w14:paraId="73FE808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0.062–0.155</w:t>
            </w:r>
          </w:p>
        </w:tc>
        <w:tc>
          <w:tcPr>
            <w:tcW w:w="1797" w:type="dxa"/>
            <w:vAlign w:val="center"/>
            <w:shd w:fill="FFFFFF"/>
          </w:tcPr>
          <w:p w14:paraId="0595F5B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w:t>
            </w:r>
          </w:p>
        </w:tc>
      </w:tr>
      <w:tr w:rsidR="006E4139" w14:paraId="1280E1F2" w14:textId="77777777">
        <w:trPr>
          <w:jc w:val="center"/>
          <w:cantSplit/>
        </w:trPr>
        <w:tc>
          <w:tcPr>
            <w:tcW w:w="1898" w:type="dxa"/>
            <w:vAlign w:val="center"/>
            <w:shd w:fill="FFFFFF"/>
          </w:tcPr>
          <w:p w14:paraId="313096EE" w14:textId="77777777" w:rsidR="006E4139" w:rsidRDefault="006E4139">
            <w:pPr>
              <w:keepNext w:val="0"/>
              <w:keepLines w:val="0"/>
              <w:widowControl/>
              <w:spacing w:before="0" w:after="0" w:line="480" w:lineRule="auto"/>
              <w:ind w:left="0" w:right="0" w:firstLine="0"/>
              <w:jc w:val="left"/>
            </w:pPr>
          </w:p>
        </w:tc>
        <w:tc>
          <w:tcPr>
            <w:tcW w:w="2188" w:type="dxa"/>
            <w:vAlign w:val="center"/>
            <w:shd w:fill="FFFFFF"/>
          </w:tcPr>
          <w:p w14:paraId="301AE3E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LSTM</w:t>
            </w:r>
          </w:p>
        </w:tc>
        <w:tc>
          <w:tcPr>
            <w:tcW w:w="1836" w:type="dxa"/>
            <w:vAlign w:val="center"/>
            <w:shd w:fill="FFFFFF"/>
          </w:tcPr>
          <w:p w14:paraId="12A50A2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+0.037</w:t>
            </w:r>
          </w:p>
        </w:tc>
        <w:tc>
          <w:tcPr>
            <w:tcW w:w="1836" w:type="dxa"/>
            <w:vAlign w:val="center"/>
            <w:shd w:fill="FFFFFF"/>
          </w:tcPr>
          <w:p w14:paraId="608344B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0.024–0.050</w:t>
            </w:r>
          </w:p>
        </w:tc>
        <w:tc>
          <w:tcPr>
            <w:tcW w:w="1855" w:type="dxa"/>
            <w:vAlign w:val="center"/>
            <w:shd w:fill="FFFFFF"/>
          </w:tcPr>
          <w:p w14:paraId="26F03CC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c>
          <w:tcPr>
            <w:tcW w:w="1778" w:type="dxa"/>
            <w:vAlign w:val="center"/>
            <w:shd w:fill="FFFFFF"/>
          </w:tcPr>
          <w:p w14:paraId="69589AB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+0.086</w:t>
            </w:r>
          </w:p>
        </w:tc>
        <w:tc>
          <w:tcPr>
            <w:tcW w:w="1778" w:type="dxa"/>
            <w:vAlign w:val="center"/>
            <w:shd w:fill="FFFFFF"/>
          </w:tcPr>
          <w:p w14:paraId="0735864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0.052–0.119</w:t>
            </w:r>
          </w:p>
        </w:tc>
        <w:tc>
          <w:tcPr>
            <w:tcW w:w="1797" w:type="dxa"/>
            <w:vAlign w:val="center"/>
            <w:shd w:fill="FFFFFF"/>
          </w:tcPr>
          <w:p w14:paraId="2B6D130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r>
      <w:tr w:rsidR="006E4139" w14:paraId="493AEC44" w14:textId="77777777">
        <w:trPr>
          <w:jc w:val="center"/>
          <w:cantSplit/>
        </w:trPr>
        <w:tc>
          <w:tcPr>
            <w:tcW w:w="1898" w:type="dxa"/>
            <w:vAlign w:val="center"/>
            <w:shd w:fill="FFFFFF"/>
          </w:tcPr>
          <w:p w14:paraId="7568BCEE"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in-hospital</w:t>
            </w:r>
          </w:p>
        </w:tc>
        <w:tc>
          <w:tcPr>
            <w:tcW w:w="2188" w:type="dxa"/>
            <w:vAlign w:val="center"/>
            <w:shd w:fill="FFFFFF"/>
          </w:tcPr>
          <w:p w14:paraId="4E24E34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Transformer</w:t>
            </w:r>
          </w:p>
        </w:tc>
        <w:tc>
          <w:tcPr>
            <w:tcW w:w="1836" w:type="dxa"/>
            <w:vAlign w:val="center"/>
            <w:shd w:fill="FFFFFF"/>
          </w:tcPr>
          <w:p w14:paraId="782F2AE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+0.029</w:t>
            </w:r>
          </w:p>
        </w:tc>
        <w:tc>
          <w:tcPr>
            <w:tcW w:w="1836" w:type="dxa"/>
            <w:vAlign w:val="center"/>
            <w:shd w:fill="FFFFFF"/>
          </w:tcPr>
          <w:p w14:paraId="448E98A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0.016–0.042</w:t>
            </w:r>
          </w:p>
        </w:tc>
        <w:tc>
          <w:tcPr>
            <w:tcW w:w="1855" w:type="dxa"/>
            <w:vAlign w:val="center"/>
            <w:shd w:fill="FFFFFF"/>
          </w:tcPr>
          <w:p w14:paraId="2D83B86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c>
          <w:tcPr>
            <w:tcW w:w="1778" w:type="dxa"/>
            <w:vAlign w:val="center"/>
            <w:shd w:fill="FFFFFF"/>
          </w:tcPr>
          <w:p w14:paraId="314630E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+0.070</w:t>
            </w:r>
          </w:p>
        </w:tc>
        <w:tc>
          <w:tcPr>
            <w:tcW w:w="1778" w:type="dxa"/>
            <w:vAlign w:val="center"/>
            <w:shd w:fill="FFFFFF"/>
          </w:tcPr>
          <w:p w14:paraId="6CCF779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0.037–0.102</w:t>
            </w:r>
          </w:p>
        </w:tc>
        <w:tc>
          <w:tcPr>
            <w:tcW w:w="1797" w:type="dxa"/>
            <w:vAlign w:val="center"/>
            <w:shd w:fill="FFFFFF"/>
          </w:tcPr>
          <w:p w14:paraId="6E2CD6D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r>
      <w:tr w:rsidR="006E4139" w14:paraId="7582A23F" w14:textId="77777777">
        <w:trPr>
          <w:jc w:val="center"/>
          <w:cantSplit/>
        </w:trPr>
        <w:tc>
          <w:tcPr>
            <w:tcW w:w="1898" w:type="dxa"/>
            <w:vAlign w:val="center"/>
            <w:shd w:fill="FFFFFF"/>
          </w:tcPr>
          <w:p w14:paraId="7486D7C6" w14:textId="77777777" w:rsidR="006E4139" w:rsidRDefault="006E4139">
            <w:pPr>
              <w:keepNext w:val="0"/>
              <w:keepLines w:val="0"/>
              <w:widowControl/>
              <w:spacing w:before="0" w:after="0" w:line="480" w:lineRule="auto"/>
              <w:ind w:left="0" w:right="0" w:firstLine="0"/>
              <w:jc w:val="left"/>
            </w:pPr>
          </w:p>
        </w:tc>
        <w:tc>
          <w:tcPr>
            <w:tcW w:w="2188" w:type="dxa"/>
            <w:vAlign w:val="center"/>
            <w:shd w:fill="FFFFFF"/>
          </w:tcPr>
          <w:p w14:paraId="7410B66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TBAL</w:t>
            </w:r>
          </w:p>
        </w:tc>
        <w:tc>
          <w:tcPr>
            <w:tcW w:w="1836" w:type="dxa"/>
            <w:vAlign w:val="center"/>
            <w:shd w:fill="FFFFFF"/>
          </w:tcPr>
          <w:p w14:paraId="403331D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+0.022</w:t>
            </w:r>
          </w:p>
        </w:tc>
        <w:tc>
          <w:tcPr>
            <w:tcW w:w="1836" w:type="dxa"/>
            <w:vAlign w:val="center"/>
            <w:shd w:fill="FFFFFF"/>
          </w:tcPr>
          <w:p w14:paraId="070CC30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0.010–0.034</w:t>
            </w:r>
          </w:p>
        </w:tc>
        <w:tc>
          <w:tcPr>
            <w:tcW w:w="1855" w:type="dxa"/>
            <w:vAlign w:val="center"/>
            <w:shd w:fill="FFFFFF"/>
          </w:tcPr>
          <w:p w14:paraId="0FA2B1E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c>
          <w:tcPr>
            <w:tcW w:w="1778" w:type="dxa"/>
            <w:vAlign w:val="center"/>
            <w:shd w:fill="FFFFFF"/>
          </w:tcPr>
          <w:p w14:paraId="6F905E0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+0.047</w:t>
            </w:r>
          </w:p>
        </w:tc>
        <w:tc>
          <w:tcPr>
            <w:tcW w:w="1778" w:type="dxa"/>
            <w:vAlign w:val="center"/>
            <w:shd w:fill="FFFFFF"/>
          </w:tcPr>
          <w:p w14:paraId="10754F8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0.018–0.076</w:t>
            </w:r>
          </w:p>
        </w:tc>
        <w:tc>
          <w:tcPr>
            <w:tcW w:w="1797" w:type="dxa"/>
            <w:vAlign w:val="center"/>
            <w:shd w:fill="FFFFFF"/>
          </w:tcPr>
          <w:p w14:paraId="7F798F7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r>
    </w:tbl>
    <w:p w14:paraId="2F97440C" w14:textId="77777777" w:rsidR="0081392D"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∆AUROC columns report pairwise DeLong contrasts (PatchFusion − baseline) with 95% CIs and two-sided P values. ∆AUPRC columns report pairwise differences of AUPRC estimates with patient-level bootstrap percentile 95% CIs and two-sided empirical P values (2000 resamples; not normal approximation). Numeric entries correspond to the MIMIC-IV results for the 1-day, 2-day, 7-day, and in-hospital mortality endpoints.</w:t>
      </w:r>
    </w:p>
    <w:p w14:paraId="591A4F42" w14:textId="77777777" w:rsidR="006E4139" w:rsidRDefault="00000000">
      <w:pPr>
        <w:keepNext/>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S5b. Pairwise Comparisons of AUROC (DeLong) and AUPRC (Patient-Cluster Bootstrap) in the Hallym Cohort</w:t>
      </w:r>
    </w:p>
    <w:tbl>
      <w:tblPr>
        <w:tblW w:w="5000" w:type="pct"/>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721"/>
        <w:gridCol w:w="2216"/>
        <w:gridCol w:w="1862"/>
        <w:gridCol w:w="1862"/>
        <w:gridCol w:w="1880"/>
        <w:gridCol w:w="1802"/>
        <w:gridCol w:w="1802"/>
        <w:gridCol w:w="1821"/>
      </w:tblGrid>
      <w:tr w:rsidR="006E4139" w14:paraId="43A10A2B" w14:textId="77777777">
        <w:trPr>
          <w:jc w:val="center"/>
          <w:cantSplit/>
          <w:tblHeader/>
        </w:trPr>
        <w:tc>
          <w:tcPr>
            <w:tcW w:w="1721" w:type="dxa"/>
            <w:vAlign w:val="center"/>
            <w:shd w:fill="E7E7E7"/>
          </w:tcPr>
          <w:p w14:paraId="615F7B14"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Outcome</w:t>
            </w:r>
          </w:p>
        </w:tc>
        <w:tc>
          <w:tcPr>
            <w:tcW w:w="2216" w:type="dxa"/>
            <w:vAlign w:val="center"/>
            <w:shd w:fill="E7E7E7"/>
          </w:tcPr>
          <w:p w14:paraId="2701A1E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Comparison</w:t>
            </w:r>
          </w:p>
        </w:tc>
        <w:tc>
          <w:tcPr>
            <w:tcW w:w="1862" w:type="dxa"/>
            <w:vAlign w:val="center"/>
            <w:shd w:fill="E7E7E7"/>
          </w:tcPr>
          <w:p w14:paraId="04AC18F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w:t>
            </w:r>
          </w:p>
        </w:tc>
        <w:tc>
          <w:tcPr>
            <w:tcW w:w="1862" w:type="dxa"/>
            <w:vAlign w:val="center"/>
            <w:shd w:fill="E7E7E7"/>
          </w:tcPr>
          <w:p w14:paraId="5947A37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 95% CI</w:t>
            </w:r>
          </w:p>
        </w:tc>
        <w:tc>
          <w:tcPr>
            <w:tcW w:w="1880" w:type="dxa"/>
            <w:vAlign w:val="center"/>
            <w:shd w:fill="E7E7E7"/>
          </w:tcPr>
          <w:p w14:paraId="2C56C1E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 value (AUROC)</w:t>
            </w:r>
          </w:p>
        </w:tc>
        <w:tc>
          <w:tcPr>
            <w:tcW w:w="1802" w:type="dxa"/>
            <w:vAlign w:val="center"/>
            <w:shd w:fill="E7E7E7"/>
          </w:tcPr>
          <w:p w14:paraId="1758B0A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w:t>
            </w:r>
          </w:p>
        </w:tc>
        <w:tc>
          <w:tcPr>
            <w:tcW w:w="1802" w:type="dxa"/>
            <w:vAlign w:val="center"/>
            <w:shd w:fill="E7E7E7"/>
          </w:tcPr>
          <w:p w14:paraId="407EB1D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 95% CI</w:t>
            </w:r>
          </w:p>
        </w:tc>
        <w:tc>
          <w:tcPr>
            <w:tcW w:w="1821" w:type="dxa"/>
            <w:vAlign w:val="center"/>
            <w:shd w:fill="E7E7E7"/>
          </w:tcPr>
          <w:p w14:paraId="5778780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 value (AUPRC)</w:t>
            </w:r>
          </w:p>
        </w:tc>
      </w:tr>
      <w:tr w:rsidR="006E4139" w14:paraId="600D652A" w14:textId="77777777">
        <w:trPr>
          <w:jc w:val="center"/>
          <w:cantSplit/>
        </w:trPr>
        <w:tc>
          <w:tcPr>
            <w:tcW w:w="1721" w:type="dxa"/>
            <w:vAlign w:val="center"/>
            <w:shd w:fill="FFFFFF"/>
          </w:tcPr>
          <w:p w14:paraId="140FEFDC" w14:textId="77777777" w:rsidR="006E4139" w:rsidRDefault="006E4139">
            <w:pPr>
              <w:keepNext w:val="0"/>
              <w:keepLines w:val="0"/>
              <w:widowControl/>
              <w:spacing w:before="0" w:after="0" w:line="480" w:lineRule="auto"/>
              <w:ind w:left="0" w:right="0" w:firstLine="0"/>
              <w:jc w:val="left"/>
            </w:pPr>
          </w:p>
        </w:tc>
        <w:tc>
          <w:tcPr>
            <w:tcW w:w="2216" w:type="dxa"/>
            <w:vAlign w:val="center"/>
            <w:shd w:fill="FFFFFF"/>
          </w:tcPr>
          <w:p w14:paraId="4271956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LSTM</w:t>
            </w:r>
          </w:p>
        </w:tc>
        <w:tc>
          <w:tcPr>
            <w:tcW w:w="1862" w:type="dxa"/>
            <w:vAlign w:val="center"/>
            <w:shd w:fill="FFFFFF"/>
          </w:tcPr>
          <w:p w14:paraId="1A7D590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+0.092</w:t>
            </w:r>
          </w:p>
        </w:tc>
        <w:tc>
          <w:tcPr>
            <w:tcW w:w="1862" w:type="dxa"/>
            <w:vAlign w:val="center"/>
            <w:shd w:fill="FFFFFF"/>
          </w:tcPr>
          <w:p w14:paraId="55CD156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0.072–0.112</w:t>
            </w:r>
          </w:p>
        </w:tc>
        <w:tc>
          <w:tcPr>
            <w:tcW w:w="1880" w:type="dxa"/>
            <w:vAlign w:val="center"/>
            <w:shd w:fill="FFFFFF"/>
          </w:tcPr>
          <w:p w14:paraId="37BA91D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&lt;.001</w:t>
            </w:r>
          </w:p>
        </w:tc>
        <w:tc>
          <w:tcPr>
            <w:tcW w:w="1802" w:type="dxa"/>
            <w:vAlign w:val="center"/>
            <w:shd w:fill="FFFFFF"/>
          </w:tcPr>
          <w:p w14:paraId="0B79D04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+0.095</w:t>
            </w:r>
          </w:p>
        </w:tc>
        <w:tc>
          <w:tcPr>
            <w:tcW w:w="1802" w:type="dxa"/>
            <w:vAlign w:val="center"/>
            <w:shd w:fill="FFFFFF"/>
          </w:tcPr>
          <w:p w14:paraId="5B371DB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0.052–0.137</w:t>
            </w:r>
          </w:p>
        </w:tc>
        <w:tc>
          <w:tcPr>
            <w:tcW w:w="1821" w:type="dxa"/>
            <w:vAlign w:val="center"/>
            <w:shd w:fill="FFFFFF"/>
          </w:tcPr>
          <w:p w14:paraId="6C7BAF9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r>
      <w:tr w:rsidR="006E4139" w14:paraId="32D14094" w14:textId="77777777">
        <w:trPr>
          <w:jc w:val="center"/>
          <w:cantSplit/>
        </w:trPr>
        <w:tc>
          <w:tcPr>
            <w:tcW w:w="1721" w:type="dxa"/>
            <w:vAlign w:val="center"/>
            <w:shd w:fill="FFFFFF"/>
          </w:tcPr>
          <w:p w14:paraId="7CEEE694"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In-hospital</w:t>
            </w:r>
          </w:p>
        </w:tc>
        <w:tc>
          <w:tcPr>
            <w:tcW w:w="2216" w:type="dxa"/>
            <w:vAlign w:val="center"/>
            <w:shd w:fill="FFFFFF"/>
          </w:tcPr>
          <w:p w14:paraId="7410B24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Transformer</w:t>
            </w:r>
          </w:p>
        </w:tc>
        <w:tc>
          <w:tcPr>
            <w:tcW w:w="1862" w:type="dxa"/>
            <w:vAlign w:val="center"/>
            <w:shd w:fill="FFFFFF"/>
          </w:tcPr>
          <w:p w14:paraId="3F951B7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+0.079</w:t>
            </w:r>
          </w:p>
        </w:tc>
        <w:tc>
          <w:tcPr>
            <w:tcW w:w="1862" w:type="dxa"/>
            <w:vAlign w:val="center"/>
            <w:shd w:fill="FFFFFF"/>
          </w:tcPr>
          <w:p w14:paraId="564ADEC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0.061–0.097</w:t>
            </w:r>
          </w:p>
        </w:tc>
        <w:tc>
          <w:tcPr>
            <w:tcW w:w="1880" w:type="dxa"/>
            <w:vAlign w:val="center"/>
            <w:shd w:fill="FFFFFF"/>
          </w:tcPr>
          <w:p w14:paraId="11511D2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&lt;.001</w:t>
            </w:r>
          </w:p>
        </w:tc>
        <w:tc>
          <w:tcPr>
            <w:tcW w:w="1802" w:type="dxa"/>
            <w:vAlign w:val="center"/>
            <w:shd w:fill="FFFFFF"/>
          </w:tcPr>
          <w:p w14:paraId="6FD86F7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+0.040</w:t>
            </w:r>
          </w:p>
        </w:tc>
        <w:tc>
          <w:tcPr>
            <w:tcW w:w="1802" w:type="dxa"/>
            <w:vAlign w:val="center"/>
            <w:shd w:fill="FFFFFF"/>
          </w:tcPr>
          <w:p w14:paraId="5D38B2D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0.009–0.071</w:t>
            </w:r>
          </w:p>
        </w:tc>
        <w:tc>
          <w:tcPr>
            <w:tcW w:w="1821" w:type="dxa"/>
            <w:vAlign w:val="center"/>
            <w:shd w:fill="FFFFFF"/>
          </w:tcPr>
          <w:p w14:paraId="6332E6E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w:t>
            </w:r>
          </w:p>
        </w:tc>
      </w:tr>
      <w:tr w:rsidR="006E4139" w14:paraId="51703578" w14:textId="77777777">
        <w:trPr>
          <w:jc w:val="center"/>
          <w:cantSplit/>
        </w:trPr>
        <w:tc>
          <w:tcPr>
            <w:tcW w:w="1721" w:type="dxa"/>
            <w:vAlign w:val="center"/>
            <w:shd w:fill="FFFFFF"/>
          </w:tcPr>
          <w:p w14:paraId="20A72FA1" w14:textId="77777777" w:rsidR="006E4139" w:rsidRDefault="006E4139">
            <w:pPr>
              <w:keepNext w:val="0"/>
              <w:keepLines w:val="0"/>
              <w:widowControl/>
              <w:spacing w:before="0" w:after="0" w:line="480" w:lineRule="auto"/>
              <w:ind w:left="0" w:right="0" w:firstLine="0"/>
              <w:jc w:val="left"/>
            </w:pPr>
          </w:p>
        </w:tc>
        <w:tc>
          <w:tcPr>
            <w:tcW w:w="2216" w:type="dxa"/>
            <w:vAlign w:val="center"/>
            <w:shd w:fill="FFFFFF"/>
          </w:tcPr>
          <w:p w14:paraId="48DB005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TBAL</w:t>
            </w:r>
          </w:p>
        </w:tc>
        <w:tc>
          <w:tcPr>
            <w:tcW w:w="1862" w:type="dxa"/>
            <w:vAlign w:val="center"/>
            <w:shd w:fill="FFFFFF"/>
          </w:tcPr>
          <w:p w14:paraId="14A9D79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+0.096</w:t>
            </w:r>
          </w:p>
        </w:tc>
        <w:tc>
          <w:tcPr>
            <w:tcW w:w="1862" w:type="dxa"/>
            <w:vAlign w:val="center"/>
            <w:shd w:fill="FFFFFF"/>
          </w:tcPr>
          <w:p w14:paraId="52BF78B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0.075–0.117</w:t>
            </w:r>
          </w:p>
        </w:tc>
        <w:tc>
          <w:tcPr>
            <w:tcW w:w="1880" w:type="dxa"/>
            <w:vAlign w:val="center"/>
            <w:shd w:fill="FFFFFF"/>
          </w:tcPr>
          <w:p w14:paraId="1687EB2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&lt;.001</w:t>
            </w:r>
          </w:p>
        </w:tc>
        <w:tc>
          <w:tcPr>
            <w:tcW w:w="1802" w:type="dxa"/>
            <w:vAlign w:val="center"/>
            <w:shd w:fill="FFFFFF"/>
          </w:tcPr>
          <w:p w14:paraId="7755717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+0.065</w:t>
            </w:r>
          </w:p>
        </w:tc>
        <w:tc>
          <w:tcPr>
            <w:tcW w:w="1802" w:type="dxa"/>
            <w:vAlign w:val="center"/>
            <w:shd w:fill="FFFFFF"/>
          </w:tcPr>
          <w:p w14:paraId="23EDC4F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0.027–0.102</w:t>
            </w:r>
          </w:p>
        </w:tc>
        <w:tc>
          <w:tcPr>
            <w:tcW w:w="1821" w:type="dxa"/>
            <w:vAlign w:val="center"/>
            <w:shd w:fill="FFFFFF"/>
          </w:tcPr>
          <w:p w14:paraId="73A9BAC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w:t>
            </w:r>
          </w:p>
        </w:tc>
      </w:tr>
      <w:tr w:rsidR="006E4139" w14:paraId="3680587B" w14:textId="77777777">
        <w:trPr>
          <w:jc w:val="center"/>
          <w:cantSplit/>
        </w:trPr>
        <w:tc>
          <w:tcPr>
            <w:tcW w:w="1721" w:type="dxa"/>
            <w:vAlign w:val="center"/>
            <w:shd w:fill="FFFFFF"/>
          </w:tcPr>
          <w:p w14:paraId="58C0251E" w14:textId="77777777" w:rsidR="006E4139" w:rsidRDefault="006E4139">
            <w:pPr>
              <w:keepNext w:val="0"/>
              <w:keepLines w:val="0"/>
              <w:widowControl/>
              <w:spacing w:before="0" w:after="0" w:line="480" w:lineRule="auto"/>
              <w:ind w:left="0" w:right="0" w:firstLine="0"/>
              <w:jc w:val="left"/>
            </w:pPr>
          </w:p>
        </w:tc>
        <w:tc>
          <w:tcPr>
            <w:tcW w:w="2216" w:type="dxa"/>
            <w:vAlign w:val="center"/>
            <w:shd w:fill="FFFFFF"/>
          </w:tcPr>
          <w:p w14:paraId="5E5CD8A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LSTM</w:t>
            </w:r>
          </w:p>
        </w:tc>
        <w:tc>
          <w:tcPr>
            <w:tcW w:w="1862" w:type="dxa"/>
            <w:vAlign w:val="center"/>
            <w:shd w:fill="FFFFFF"/>
          </w:tcPr>
          <w:p w14:paraId="2AF02F9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+0.060</w:t>
            </w:r>
          </w:p>
        </w:tc>
        <w:tc>
          <w:tcPr>
            <w:tcW w:w="1862" w:type="dxa"/>
            <w:vAlign w:val="center"/>
            <w:shd w:fill="FFFFFF"/>
          </w:tcPr>
          <w:p w14:paraId="5B5ECB8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0.028–0.091</w:t>
            </w:r>
          </w:p>
        </w:tc>
        <w:tc>
          <w:tcPr>
            <w:tcW w:w="1880" w:type="dxa"/>
            <w:vAlign w:val="center"/>
            <w:shd w:fill="FFFFFF"/>
          </w:tcPr>
          <w:p w14:paraId="5EB22CA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&lt;.005</w:t>
            </w:r>
          </w:p>
        </w:tc>
        <w:tc>
          <w:tcPr>
            <w:tcW w:w="1802" w:type="dxa"/>
            <w:vAlign w:val="center"/>
            <w:shd w:fill="FFFFFF"/>
          </w:tcPr>
          <w:p w14:paraId="7467776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+0.070</w:t>
            </w:r>
          </w:p>
        </w:tc>
        <w:tc>
          <w:tcPr>
            <w:tcW w:w="1802" w:type="dxa"/>
            <w:vAlign w:val="center"/>
            <w:shd w:fill="FFFFFF"/>
          </w:tcPr>
          <w:p w14:paraId="405D875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0.009–0.136</w:t>
            </w:r>
          </w:p>
        </w:tc>
        <w:tc>
          <w:tcPr>
            <w:tcW w:w="1821" w:type="dxa"/>
            <w:vAlign w:val="center"/>
            <w:shd w:fill="FFFFFF"/>
          </w:tcPr>
          <w:p w14:paraId="5F1EAA8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w:t>
            </w:r>
          </w:p>
        </w:tc>
      </w:tr>
      <w:tr w:rsidR="006E4139" w14:paraId="3462FB03" w14:textId="77777777">
        <w:trPr>
          <w:jc w:val="center"/>
          <w:cantSplit/>
        </w:trPr>
        <w:tc>
          <w:tcPr>
            <w:tcW w:w="1721" w:type="dxa"/>
            <w:vAlign w:val="center"/>
            <w:shd w:fill="FFFFFF"/>
          </w:tcPr>
          <w:p w14:paraId="74CF27F1"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7-day</w:t>
            </w:r>
          </w:p>
        </w:tc>
        <w:tc>
          <w:tcPr>
            <w:tcW w:w="2216" w:type="dxa"/>
            <w:vAlign w:val="center"/>
            <w:shd w:fill="FFFFFF"/>
          </w:tcPr>
          <w:p w14:paraId="4A3C50C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Transformer</w:t>
            </w:r>
          </w:p>
        </w:tc>
        <w:tc>
          <w:tcPr>
            <w:tcW w:w="1862" w:type="dxa"/>
            <w:vAlign w:val="center"/>
            <w:shd w:fill="FFFFFF"/>
          </w:tcPr>
          <w:p w14:paraId="06F377F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+0.042</w:t>
            </w:r>
          </w:p>
        </w:tc>
        <w:tc>
          <w:tcPr>
            <w:tcW w:w="1862" w:type="dxa"/>
            <w:vAlign w:val="center"/>
            <w:shd w:fill="FFFFFF"/>
          </w:tcPr>
          <w:p w14:paraId="454D6BB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0.011–0.073</w:t>
            </w:r>
          </w:p>
        </w:tc>
        <w:tc>
          <w:tcPr>
            <w:tcW w:w="1880" w:type="dxa"/>
            <w:vAlign w:val="center"/>
            <w:shd w:fill="FFFFFF"/>
          </w:tcPr>
          <w:p w14:paraId="4629F51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.008</w:t>
            </w:r>
          </w:p>
        </w:tc>
        <w:tc>
          <w:tcPr>
            <w:tcW w:w="1802" w:type="dxa"/>
            <w:vAlign w:val="center"/>
            <w:shd w:fill="FFFFFF"/>
          </w:tcPr>
          <w:p w14:paraId="52AB5FB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+0.047</w:t>
            </w:r>
          </w:p>
        </w:tc>
        <w:tc>
          <w:tcPr>
            <w:tcW w:w="1802" w:type="dxa"/>
            <w:vAlign w:val="center"/>
            <w:shd w:fill="FFFFFF"/>
          </w:tcPr>
          <w:p w14:paraId="138502A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−0.007–0.106</w:t>
            </w:r>
          </w:p>
        </w:tc>
        <w:tc>
          <w:tcPr>
            <w:tcW w:w="1821" w:type="dxa"/>
            <w:vAlign w:val="center"/>
            <w:shd w:fill="FFFFFF"/>
          </w:tcPr>
          <w:p w14:paraId="70C4439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w:t>
            </w:r>
          </w:p>
        </w:tc>
      </w:tr>
      <w:tr w:rsidR="006E4139" w14:paraId="1C4BDB11" w14:textId="77777777">
        <w:trPr>
          <w:jc w:val="center"/>
          <w:cantSplit/>
        </w:trPr>
        <w:tc>
          <w:tcPr>
            <w:tcW w:w="1721" w:type="dxa"/>
            <w:vAlign w:val="center"/>
            <w:shd w:fill="FFFFFF"/>
          </w:tcPr>
          <w:p w14:paraId="54446A3F" w14:textId="77777777" w:rsidR="006E4139" w:rsidRDefault="006E4139">
            <w:pPr>
              <w:keepNext w:val="0"/>
              <w:keepLines w:val="0"/>
              <w:widowControl/>
              <w:spacing w:before="0" w:after="0" w:line="480" w:lineRule="auto"/>
              <w:ind w:left="0" w:right="0" w:firstLine="0"/>
              <w:jc w:val="left"/>
            </w:pPr>
          </w:p>
        </w:tc>
        <w:tc>
          <w:tcPr>
            <w:tcW w:w="2216" w:type="dxa"/>
            <w:vAlign w:val="center"/>
            <w:shd w:fill="FFFFFF"/>
          </w:tcPr>
          <w:p w14:paraId="5FACC9A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 vs. TBAL</w:t>
            </w:r>
          </w:p>
        </w:tc>
        <w:tc>
          <w:tcPr>
            <w:tcW w:w="1862" w:type="dxa"/>
            <w:vAlign w:val="center"/>
            <w:shd w:fill="FFFFFF"/>
          </w:tcPr>
          <w:p w14:paraId="02C0F28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+0.023</w:t>
            </w:r>
          </w:p>
        </w:tc>
        <w:tc>
          <w:tcPr>
            <w:tcW w:w="1862" w:type="dxa"/>
            <w:vAlign w:val="center"/>
            <w:shd w:fill="FFFFFF"/>
          </w:tcPr>
          <w:p w14:paraId="3F25A76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−0.003–0.049</w:t>
            </w:r>
          </w:p>
        </w:tc>
        <w:tc>
          <w:tcPr>
            <w:tcW w:w="1880" w:type="dxa"/>
            <w:vAlign w:val="center"/>
            <w:shd w:fill="FFFFFF"/>
          </w:tcPr>
          <w:p w14:paraId="2293B2E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w:t>
            </w:r>
          </w:p>
        </w:tc>
        <w:tc>
          <w:tcPr>
            <w:tcW w:w="1802" w:type="dxa"/>
            <w:vAlign w:val="center"/>
            <w:shd w:fill="FFFFFF"/>
          </w:tcPr>
          <w:p w14:paraId="1743E16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+0.033</w:t>
            </w:r>
          </w:p>
        </w:tc>
        <w:tc>
          <w:tcPr>
            <w:tcW w:w="1802" w:type="dxa"/>
            <w:vAlign w:val="center"/>
            <w:shd w:fill="FFFFFF"/>
          </w:tcPr>
          <w:p w14:paraId="222BD65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−0.014–0.083</w:t>
            </w:r>
          </w:p>
        </w:tc>
        <w:tc>
          <w:tcPr>
            <w:tcW w:w="1821" w:type="dxa"/>
            <w:vAlign w:val="center"/>
            <w:shd w:fill="FFFFFF"/>
          </w:tcPr>
          <w:p w14:paraId="06CA5C8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w:t>
            </w:r>
          </w:p>
        </w:tc>
      </w:tr>
    </w:tbl>
    <w:p w14:paraId="251FEDF9" w14:textId="77777777" w:rsidR="006E4139"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lastRenderedPageBreak/>
        <w:t>Contrasts are PatchFusion − baseline on the locked MIMIC-IV–trained models applied to Hallym. ∆AUROC used the DeLong test for correlated ROC curves, ∆AUPRC used patient-cluster bootstrap (1,044 patients resampled with replacement, linked stays included, 2000 resamples) with percentile 95% CIs and two-sided empirical P values (not normal approximation). For 7-day mortality, event counts were small (65 deaths), so AUPRC contrasts are less precise, the PatchFusion−Transformer and PatchFusion−TBAL AUPRC differences did not reach P&lt;.05. AUROC contrasts used the standard DeLong variance for paired predictions; because some patients contributed multiple stays, we additionally confirmed that patient-cluster bootstrap ΔAUROC intervals for the same contrasts excluded 0 whenever the reported DeLong P was &lt;.05 (Table S5b). For transparency, Table S5b DeLong P values were computed from the reported Wald-style CIs; patient-cluster bootstrap ΔAUROC 95% CIs for Hallym in-hospital PatchFusion−LSTM, PatchFusion−Transformer, and PatchFusion−TBAL were 0.070–0.113, 0.059–0.100, and 0.073–0.118, respectively, and for 7-day PatchFusion−Transformer 0.009–0.074 (all exclude 0 when DeLong P&lt;.05).</w:t>
      </w:r>
    </w:p>
    <w:p w14:paraId="54F93848" w14:textId="77777777" w:rsidR="00092AD1" w:rsidRPr="00A729E3" w:rsidRDefault="00092AD1">
      <w:pPr>
        <w:widowControl/>
        <w:spacing w:after="120" w:line="269" w:lineRule="auto"/>
        <w:rPr>
          <w:rFonts w:cs="Times New Roman"/>
          <w:sz w:val="24"/>
        </w:rPr>
        <w:sectPr w:rsidR="00092AD1" w:rsidRPr="00A729E3">
          <w:footerReference w:type="default" r:id="rId15"/>
          <w:pgSz w:w="16838" w:h="11906" w:orient="landscape"/>
          <w:pgMar w:top="936" w:right="936" w:bottom="936" w:left="936" w:header="360" w:footer="360" w:gutter="0"/>
          <w:cols w:space="720" w:num="1"/>
        </w:sectPr>
      </w:pPr>
    </w:p>
    <w:p w14:paraId="77F0FF4A" w14:textId="77777777" w:rsidR="00A729E3" w:rsidRPr="00A729E3" w:rsidRDefault="00A729E3" w:rsidP="00A729E3">
      <w:pPr>
        <w:keepNext/>
        <w:keepLines w:val="0"/>
        <w:widowControl/>
        <w:tabs>
          <w:tab w:val="left" w:pos="1508"/>
        </w:tabs>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lastRenderedPageBreak/>
        <w:t>Table S6. Performance of Mortality Prediction Models on eICU-CRD (Locked MIMIC-IV–Trained Models, Including In-Hospital Mortality)</w:t>
      </w:r>
    </w:p>
    <w:p w14:paraId="737EB19E" w14:textId="77777777" w:rsidR="006E4139" w:rsidRDefault="00000000">
      <w:pPr>
        <w:keepNext/>
        <w:keepLines w:val="0"/>
        <w:widowControl/>
        <w:spacing w:after="80" w:line="480" w:lineRule="auto" w:before="0"/>
        <w:ind w:left="0" w:right="0" w:firstLine="0"/>
      </w:pPr>
      <w:r>
        <w:rPr>
          <w:rFonts w:eastAsia="Times New Roman" w:cs="Times New Roman" w:ascii="Times New Roman" w:hAnsi="Times New Roman"/>
          <w:vanish w:val="0"/>
          <w:color w:val="000000"/>
          <w:sz w:val="22"/>
        </w:rPr>
        <w:t xml:space="preserve">Table S6 evaluates final full-cohort MIMIC-IV-trained endpoint models on eICU-CRD without target-cohort retraining or cross-validation. Each model used its pooled MIMIC-IV out-of-fold Youden cutpoint, applied unchanged to the corresponding final model's scores. AUROC and AUPRC are threshold-independent; 95% CIs use patient-level bootstrap resampling.</w:t>
      </w:r>
    </w:p>
    <w:tbl>
      <w:tblPr>
        <w:tblStyle w:val="a7"/>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741"/>
        <w:gridCol w:w="3741"/>
        <w:gridCol w:w="3742"/>
        <w:gridCol w:w="3742"/>
      </w:tblGrid>
      <w:tr w:rsidR="0081392D" w14:paraId="524B1A4F" w14:textId="77777777">
        <w:trPr>
          <w:jc w:val="center"/>
          <w:cantSplit/>
          <w:tblHeader/>
        </w:trPr>
        <w:tc>
          <w:tcPr>
            <w:tcW w:w="3741" w:type="dxa"/>
            <w:vAlign w:val="center"/>
            <w:shd w:fill="E7E7E7"/>
          </w:tcPr>
          <w:p w14:paraId="2B0C2894"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Model</w:t>
            </w:r>
          </w:p>
        </w:tc>
        <w:tc>
          <w:tcPr>
            <w:tcW w:w="3741" w:type="dxa"/>
            <w:vAlign w:val="center"/>
            <w:shd w:fill="E7E7E7"/>
          </w:tcPr>
          <w:p w14:paraId="0C7D86F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Metric</w:t>
            </w:r>
          </w:p>
        </w:tc>
        <w:tc>
          <w:tcPr>
            <w:tcW w:w="3742" w:type="dxa"/>
            <w:vAlign w:val="center"/>
            <w:shd w:fill="E7E7E7"/>
          </w:tcPr>
          <w:p w14:paraId="46B06DD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Horizon</w:t>
            </w:r>
          </w:p>
        </w:tc>
        <w:tc>
          <w:tcPr>
            <w:tcW w:w="3742" w:type="dxa"/>
            <w:vAlign w:val="center"/>
            <w:shd w:fill="E7E7E7"/>
          </w:tcPr>
          <w:p w14:paraId="79732B2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Score (95% CI)</w:t>
            </w:r>
          </w:p>
        </w:tc>
      </w:tr>
      <w:tr w:rsidR="0081392D" w14:paraId="00F57987" w14:textId="77777777">
        <w:trPr>
          <w:jc w:val="center"/>
          <w:cantSplit/>
        </w:trPr>
        <w:tc>
          <w:tcPr>
            <w:tcW w:w="3741" w:type="dxa"/>
            <w:vAlign w:val="center"/>
            <w:shd w:fill="FFFFFF"/>
          </w:tcPr>
          <w:p w14:paraId="263D29E2"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LSTM</w:t>
            </w:r>
          </w:p>
        </w:tc>
        <w:tc>
          <w:tcPr>
            <w:tcW w:w="3741" w:type="dxa"/>
            <w:vAlign w:val="center"/>
            <w:shd w:fill="FFFFFF"/>
          </w:tcPr>
          <w:p w14:paraId="137C8D2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AUROC</w:t>
            </w:r>
          </w:p>
        </w:tc>
        <w:tc>
          <w:tcPr>
            <w:tcW w:w="3742" w:type="dxa"/>
            <w:vAlign w:val="center"/>
            <w:shd w:fill="FFFFFF"/>
          </w:tcPr>
          <w:p w14:paraId="2C3F168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0B4F6C2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0.919 (0.901–0.947)</w:t>
            </w:r>
          </w:p>
        </w:tc>
      </w:tr>
      <w:tr w:rsidR="0081392D" w14:paraId="6621B1EB" w14:textId="77777777">
        <w:trPr>
          <w:jc w:val="center"/>
          <w:cantSplit/>
        </w:trPr>
        <w:tc>
          <w:tcPr>
            <w:tcW w:w="3741" w:type="dxa"/>
            <w:vAlign w:val="center"/>
            <w:shd w:fill="FFFFFF"/>
          </w:tcPr>
          <w:p w14:paraId="6443E397"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1B7F16DD"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759CD6A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1CE3B19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0.906 (0.880–0.929)</w:t>
            </w:r>
          </w:p>
        </w:tc>
      </w:tr>
      <w:tr w:rsidR="0081392D" w14:paraId="7A0C8A53" w14:textId="77777777">
        <w:trPr>
          <w:jc w:val="center"/>
          <w:cantSplit/>
        </w:trPr>
        <w:tc>
          <w:tcPr>
            <w:tcW w:w="3741" w:type="dxa"/>
            <w:vAlign w:val="center"/>
            <w:shd w:fill="FFFFFF"/>
          </w:tcPr>
          <w:p w14:paraId="35B37510"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409EC7D8"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26658BE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20B5D08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0.881 (0.857–0.902)</w:t>
            </w:r>
          </w:p>
        </w:tc>
      </w:tr>
      <w:tr w:rsidR="0081392D" w14:paraId="5DA0523F" w14:textId="77777777">
        <w:trPr>
          <w:jc w:val="center"/>
          <w:cantSplit/>
        </w:trPr>
        <w:tc>
          <w:tcPr>
            <w:tcW w:w="3741" w:type="dxa"/>
            <w:vAlign w:val="center"/>
            <w:shd w:fill="FFFFFF"/>
          </w:tcPr>
          <w:p w14:paraId="4E238B76"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44AA0AB4"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4A69774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w:t>
            </w:r>
          </w:p>
        </w:tc>
        <w:tc>
          <w:tcPr>
            <w:tcW w:w="3742" w:type="dxa"/>
            <w:vAlign w:val="center"/>
            <w:shd w:fill="FFFFFF"/>
          </w:tcPr>
          <w:p w14:paraId="4B10C69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0.852 (0.841–0.863)</w:t>
            </w:r>
          </w:p>
        </w:tc>
      </w:tr>
      <w:tr w:rsidR="0081392D" w14:paraId="7AEB3D2B" w14:textId="77777777">
        <w:trPr>
          <w:jc w:val="center"/>
          <w:cantSplit/>
        </w:trPr>
        <w:tc>
          <w:tcPr>
            <w:tcW w:w="3741" w:type="dxa"/>
            <w:vAlign w:val="center"/>
            <w:shd w:fill="FFFFFF"/>
          </w:tcPr>
          <w:p w14:paraId="6A80133A"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4E6E77D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AUPRC</w:t>
            </w:r>
          </w:p>
        </w:tc>
        <w:tc>
          <w:tcPr>
            <w:tcW w:w="3742" w:type="dxa"/>
            <w:vAlign w:val="center"/>
            <w:shd w:fill="FFFFFF"/>
          </w:tcPr>
          <w:p w14:paraId="7EF7DF1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0636AF2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0.156 (0.133–0.184)</w:t>
            </w:r>
          </w:p>
        </w:tc>
      </w:tr>
      <w:tr w:rsidR="0081392D" w14:paraId="474900FE" w14:textId="77777777">
        <w:trPr>
          <w:jc w:val="center"/>
          <w:cantSplit/>
        </w:trPr>
        <w:tc>
          <w:tcPr>
            <w:tcW w:w="3741" w:type="dxa"/>
            <w:vAlign w:val="center"/>
            <w:shd w:fill="FFFFFF"/>
          </w:tcPr>
          <w:p w14:paraId="2D968313"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022F2B53"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669DC43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4D7CC97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0.267 (0.233–0.308)</w:t>
            </w:r>
          </w:p>
        </w:tc>
      </w:tr>
      <w:tr w:rsidR="0081392D" w14:paraId="085C3F47" w14:textId="77777777">
        <w:trPr>
          <w:jc w:val="center"/>
          <w:cantSplit/>
        </w:trPr>
        <w:tc>
          <w:tcPr>
            <w:tcW w:w="3741" w:type="dxa"/>
            <w:vAlign w:val="center"/>
            <w:shd w:fill="FFFFFF"/>
          </w:tcPr>
          <w:p w14:paraId="56B7DD4C"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66B1A252"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47AD0B5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5498E37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0.362 (0.318–0.405)</w:t>
            </w:r>
          </w:p>
        </w:tc>
      </w:tr>
      <w:tr w:rsidR="0081392D" w14:paraId="5F1A478A" w14:textId="77777777">
        <w:trPr>
          <w:jc w:val="center"/>
          <w:cantSplit/>
        </w:trPr>
        <w:tc>
          <w:tcPr>
            <w:tcW w:w="3741" w:type="dxa"/>
            <w:vAlign w:val="center"/>
            <w:shd w:fill="FFFFFF"/>
          </w:tcPr>
          <w:p w14:paraId="55F44CDA"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18351AAB"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484CD2E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w:t>
            </w:r>
          </w:p>
        </w:tc>
        <w:tc>
          <w:tcPr>
            <w:tcW w:w="3742" w:type="dxa"/>
            <w:vAlign w:val="center"/>
            <w:shd w:fill="FFFFFF"/>
          </w:tcPr>
          <w:p w14:paraId="4644F93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0.381 (0.360–0.402)</w:t>
            </w:r>
          </w:p>
        </w:tc>
      </w:tr>
      <w:tr w:rsidR="0081392D" w14:paraId="779CD644" w14:textId="77777777">
        <w:trPr>
          <w:jc w:val="center"/>
          <w:cantSplit/>
        </w:trPr>
        <w:tc>
          <w:tcPr>
            <w:tcW w:w="3741" w:type="dxa"/>
            <w:vAlign w:val="center"/>
            <w:shd w:fill="FFFFFF"/>
          </w:tcPr>
          <w:p w14:paraId="0E3763AF"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Transformer</w:t>
            </w:r>
          </w:p>
        </w:tc>
        <w:tc>
          <w:tcPr>
            <w:tcW w:w="3741" w:type="dxa"/>
            <w:vAlign w:val="center"/>
            <w:shd w:fill="FFFFFF"/>
          </w:tcPr>
          <w:p w14:paraId="7DF7EF4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AUROC</w:t>
            </w:r>
          </w:p>
        </w:tc>
        <w:tc>
          <w:tcPr>
            <w:tcW w:w="3742" w:type="dxa"/>
            <w:vAlign w:val="center"/>
            <w:shd w:fill="FFFFFF"/>
          </w:tcPr>
          <w:p w14:paraId="2BA3C4F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44C93FA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0.902 (0.878–0.923)</w:t>
            </w:r>
          </w:p>
        </w:tc>
      </w:tr>
      <w:tr w:rsidR="0081392D" w14:paraId="749C1E79" w14:textId="77777777">
        <w:trPr>
          <w:jc w:val="center"/>
          <w:cantSplit/>
        </w:trPr>
        <w:tc>
          <w:tcPr>
            <w:tcW w:w="3741" w:type="dxa"/>
            <w:vAlign w:val="center"/>
            <w:shd w:fill="FFFFFF"/>
          </w:tcPr>
          <w:p w14:paraId="56D4E9A9"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4114D515"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573F548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339BA1D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0.914 (0.892–0.936)</w:t>
            </w:r>
          </w:p>
        </w:tc>
      </w:tr>
      <w:tr w:rsidR="0081392D" w14:paraId="697808AD" w14:textId="77777777">
        <w:trPr>
          <w:jc w:val="center"/>
          <w:cantSplit/>
        </w:trPr>
        <w:tc>
          <w:tcPr>
            <w:tcW w:w="3741" w:type="dxa"/>
            <w:vAlign w:val="center"/>
            <w:shd w:fill="FFFFFF"/>
          </w:tcPr>
          <w:p w14:paraId="244A0DB5"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47FC9512"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3FEFB5D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6A20054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0.884 (0.861–0.905)</w:t>
            </w:r>
          </w:p>
        </w:tc>
      </w:tr>
      <w:tr w:rsidR="0081392D" w14:paraId="6A85A9AC" w14:textId="77777777">
        <w:trPr>
          <w:jc w:val="center"/>
          <w:cantSplit/>
        </w:trPr>
        <w:tc>
          <w:tcPr>
            <w:tcW w:w="3741" w:type="dxa"/>
            <w:vAlign w:val="center"/>
            <w:shd w:fill="FFFFFF"/>
          </w:tcPr>
          <w:p w14:paraId="3CF1CD68"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2361F296"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7FA43C3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w:t>
            </w:r>
          </w:p>
        </w:tc>
        <w:tc>
          <w:tcPr>
            <w:tcW w:w="3742" w:type="dxa"/>
            <w:vAlign w:val="center"/>
            <w:shd w:fill="FFFFFF"/>
          </w:tcPr>
          <w:p w14:paraId="5AA7982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0.861 (0.850–0.872)</w:t>
            </w:r>
          </w:p>
        </w:tc>
      </w:tr>
      <w:tr w:rsidR="0081392D" w14:paraId="136E9B89" w14:textId="77777777">
        <w:trPr>
          <w:jc w:val="center"/>
          <w:cantSplit/>
        </w:trPr>
        <w:tc>
          <w:tcPr>
            <w:tcW w:w="3741" w:type="dxa"/>
            <w:vAlign w:val="center"/>
            <w:shd w:fill="FFFFFF"/>
          </w:tcPr>
          <w:p w14:paraId="24CB1596"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1E07D6C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AUPRC</w:t>
            </w:r>
          </w:p>
        </w:tc>
        <w:tc>
          <w:tcPr>
            <w:tcW w:w="3742" w:type="dxa"/>
            <w:vAlign w:val="center"/>
            <w:shd w:fill="FFFFFF"/>
          </w:tcPr>
          <w:p w14:paraId="2DC6C45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3D662A3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0.148 (0.121–0.173)</w:t>
            </w:r>
          </w:p>
        </w:tc>
      </w:tr>
      <w:tr w:rsidR="0081392D" w14:paraId="498D693D" w14:textId="77777777">
        <w:trPr>
          <w:jc w:val="center"/>
          <w:cantSplit/>
        </w:trPr>
        <w:tc>
          <w:tcPr>
            <w:tcW w:w="3741" w:type="dxa"/>
            <w:vAlign w:val="center"/>
            <w:shd w:fill="FFFFFF"/>
          </w:tcPr>
          <w:p w14:paraId="15518D8C"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74AFDEDE"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1A05CE8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6BD0EFD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0.262 (0.234–0.297)</w:t>
            </w:r>
          </w:p>
        </w:tc>
      </w:tr>
      <w:tr w:rsidR="0081392D" w14:paraId="4CD52282" w14:textId="77777777">
        <w:trPr>
          <w:jc w:val="center"/>
          <w:cantSplit/>
        </w:trPr>
        <w:tc>
          <w:tcPr>
            <w:tcW w:w="3741" w:type="dxa"/>
            <w:vAlign w:val="center"/>
            <w:shd w:fill="FFFFFF"/>
          </w:tcPr>
          <w:p w14:paraId="510B1F1A"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32B50F66"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671C858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4C3CA00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0.385 (0.342–0.426)</w:t>
            </w:r>
          </w:p>
        </w:tc>
      </w:tr>
      <w:tr w:rsidR="0081392D" w14:paraId="55B0E2F4" w14:textId="77777777">
        <w:trPr>
          <w:jc w:val="center"/>
          <w:cantSplit/>
        </w:trPr>
        <w:tc>
          <w:tcPr>
            <w:tcW w:w="3741" w:type="dxa"/>
            <w:vAlign w:val="center"/>
            <w:shd w:fill="FFFFFF"/>
          </w:tcPr>
          <w:p w14:paraId="2799C4DF"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51226B37"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3077EC6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w:t>
            </w:r>
          </w:p>
        </w:tc>
        <w:tc>
          <w:tcPr>
            <w:tcW w:w="3742" w:type="dxa"/>
            <w:vAlign w:val="center"/>
            <w:shd w:fill="FFFFFF"/>
          </w:tcPr>
          <w:p w14:paraId="03B519F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0.402 (0.381–0.423)</w:t>
            </w:r>
          </w:p>
        </w:tc>
      </w:tr>
      <w:tr w:rsidR="0081392D" w14:paraId="226F5653" w14:textId="77777777">
        <w:trPr>
          <w:jc w:val="center"/>
          <w:cantSplit/>
        </w:trPr>
        <w:tc>
          <w:tcPr>
            <w:tcW w:w="3741" w:type="dxa"/>
            <w:vAlign w:val="center"/>
            <w:shd w:fill="FFFFFF"/>
          </w:tcPr>
          <w:p w14:paraId="7DFF9184"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TBAL</w:t>
            </w:r>
          </w:p>
        </w:tc>
        <w:tc>
          <w:tcPr>
            <w:tcW w:w="3741" w:type="dxa"/>
            <w:vAlign w:val="center"/>
            <w:shd w:fill="FFFFFF"/>
          </w:tcPr>
          <w:p w14:paraId="507E5DD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AUROC</w:t>
            </w:r>
          </w:p>
        </w:tc>
        <w:tc>
          <w:tcPr>
            <w:tcW w:w="3742" w:type="dxa"/>
            <w:vAlign w:val="center"/>
            <w:shd w:fill="FFFFFF"/>
          </w:tcPr>
          <w:p w14:paraId="1AE3596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1EEA6D4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0.930 (0.912–0.950)</w:t>
            </w:r>
          </w:p>
        </w:tc>
      </w:tr>
      <w:tr w:rsidR="0081392D" w14:paraId="3A790788" w14:textId="77777777">
        <w:trPr>
          <w:jc w:val="center"/>
          <w:cantSplit/>
        </w:trPr>
        <w:tc>
          <w:tcPr>
            <w:tcW w:w="3741" w:type="dxa"/>
            <w:vAlign w:val="center"/>
            <w:shd w:fill="FFFFFF"/>
          </w:tcPr>
          <w:p w14:paraId="244F6899"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156C8323"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7EEF891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466C0E9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0.898 (0.874–0.920)</w:t>
            </w:r>
          </w:p>
        </w:tc>
      </w:tr>
      <w:tr w:rsidR="0081392D" w14:paraId="1DC32369" w14:textId="77777777">
        <w:trPr>
          <w:jc w:val="center"/>
          <w:cantSplit/>
        </w:trPr>
        <w:tc>
          <w:tcPr>
            <w:tcW w:w="3741" w:type="dxa"/>
            <w:vAlign w:val="center"/>
            <w:shd w:fill="FFFFFF"/>
          </w:tcPr>
          <w:p w14:paraId="5022C139"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605B9939"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351200A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0EB0554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0.887 (0.866–0.909)</w:t>
            </w:r>
          </w:p>
        </w:tc>
      </w:tr>
      <w:tr w:rsidR="0081392D" w14:paraId="4D3D0596" w14:textId="77777777">
        <w:trPr>
          <w:jc w:val="center"/>
          <w:cantSplit/>
        </w:trPr>
        <w:tc>
          <w:tcPr>
            <w:tcW w:w="3741" w:type="dxa"/>
            <w:vAlign w:val="center"/>
            <w:shd w:fill="FFFFFF"/>
          </w:tcPr>
          <w:p w14:paraId="62323E98"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3C984A0D"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395D9FB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w:t>
            </w:r>
          </w:p>
        </w:tc>
        <w:tc>
          <w:tcPr>
            <w:tcW w:w="3742" w:type="dxa"/>
            <w:vAlign w:val="center"/>
            <w:shd w:fill="FFFFFF"/>
          </w:tcPr>
          <w:p w14:paraId="57C5759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0.870 (0.860–0.880)</w:t>
            </w:r>
          </w:p>
        </w:tc>
      </w:tr>
      <w:tr w:rsidR="0081392D" w14:paraId="415E3085" w14:textId="77777777">
        <w:trPr>
          <w:jc w:val="center"/>
          <w:cantSplit/>
        </w:trPr>
        <w:tc>
          <w:tcPr>
            <w:tcW w:w="3741" w:type="dxa"/>
            <w:vAlign w:val="center"/>
            <w:shd w:fill="FFFFFF"/>
          </w:tcPr>
          <w:p w14:paraId="390C1C44"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20A52F3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AUPRC</w:t>
            </w:r>
          </w:p>
        </w:tc>
        <w:tc>
          <w:tcPr>
            <w:tcW w:w="3742" w:type="dxa"/>
            <w:vAlign w:val="center"/>
            <w:shd w:fill="FFFFFF"/>
          </w:tcPr>
          <w:p w14:paraId="7C1090D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229175B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0.211 (0.182–0.243)</w:t>
            </w:r>
          </w:p>
        </w:tc>
      </w:tr>
      <w:tr w:rsidR="0081392D" w14:paraId="1C20A490" w14:textId="77777777">
        <w:trPr>
          <w:jc w:val="center"/>
          <w:cantSplit/>
        </w:trPr>
        <w:tc>
          <w:tcPr>
            <w:tcW w:w="3741" w:type="dxa"/>
            <w:vAlign w:val="center"/>
            <w:shd w:fill="FFFFFF"/>
          </w:tcPr>
          <w:p w14:paraId="557830E3"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7EF854BF"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17D80CE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567330B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0.354 (0.319–0.394)</w:t>
            </w:r>
          </w:p>
        </w:tc>
      </w:tr>
      <w:tr w:rsidR="0081392D" w14:paraId="24990618" w14:textId="77777777">
        <w:trPr>
          <w:jc w:val="center"/>
          <w:cantSplit/>
        </w:trPr>
        <w:tc>
          <w:tcPr>
            <w:tcW w:w="3741" w:type="dxa"/>
            <w:vAlign w:val="center"/>
            <w:shd w:fill="FFFFFF"/>
          </w:tcPr>
          <w:p w14:paraId="2B55F81D"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1C1C352C"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01309B2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40BCC33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0.391 (0.350–0.426)</w:t>
            </w:r>
          </w:p>
        </w:tc>
      </w:tr>
      <w:tr w:rsidR="0081392D" w14:paraId="7D653977" w14:textId="77777777">
        <w:trPr>
          <w:jc w:val="center"/>
          <w:cantSplit/>
        </w:trPr>
        <w:tc>
          <w:tcPr>
            <w:tcW w:w="3741" w:type="dxa"/>
            <w:vAlign w:val="center"/>
            <w:shd w:fill="FFFFFF"/>
          </w:tcPr>
          <w:p w14:paraId="1D8B9D1D"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10172593"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6309292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w:t>
            </w:r>
          </w:p>
        </w:tc>
        <w:tc>
          <w:tcPr>
            <w:tcW w:w="3742" w:type="dxa"/>
            <w:vAlign w:val="center"/>
            <w:shd w:fill="FFFFFF"/>
          </w:tcPr>
          <w:p w14:paraId="717DAD1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0.428 (0.407–0.449)</w:t>
            </w:r>
          </w:p>
        </w:tc>
      </w:tr>
      <w:tr w:rsidR="0081392D" w14:paraId="43740C47" w14:textId="77777777">
        <w:trPr>
          <w:jc w:val="center"/>
          <w:cantSplit/>
        </w:trPr>
        <w:tc>
          <w:tcPr>
            <w:tcW w:w="3741" w:type="dxa"/>
            <w:vAlign w:val="center"/>
            <w:shd w:fill="FFFFFF"/>
          </w:tcPr>
          <w:p w14:paraId="2F5A97C5"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PatchFusion</w:t>
            </w:r>
          </w:p>
        </w:tc>
        <w:tc>
          <w:tcPr>
            <w:tcW w:w="3741" w:type="dxa"/>
            <w:vAlign w:val="center"/>
            <w:shd w:fill="FFFFFF"/>
          </w:tcPr>
          <w:p w14:paraId="417D3F0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AUROC</w:t>
            </w:r>
          </w:p>
        </w:tc>
        <w:tc>
          <w:tcPr>
            <w:tcW w:w="3742" w:type="dxa"/>
            <w:vAlign w:val="center"/>
            <w:shd w:fill="FFFFFF"/>
          </w:tcPr>
          <w:p w14:paraId="7CE8B16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05EBD5C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0.951 (0.934–0.968)</w:t>
            </w:r>
          </w:p>
        </w:tc>
      </w:tr>
      <w:tr w:rsidR="0081392D" w14:paraId="5C222A33" w14:textId="77777777">
        <w:trPr>
          <w:jc w:val="center"/>
          <w:cantSplit/>
        </w:trPr>
        <w:tc>
          <w:tcPr>
            <w:tcW w:w="3741" w:type="dxa"/>
            <w:vAlign w:val="center"/>
            <w:shd w:fill="FFFFFF"/>
          </w:tcPr>
          <w:p w14:paraId="5607DE5A"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06EA0561"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5ADD162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6EA8C88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0.919 (0.910–0.946)</w:t>
            </w:r>
          </w:p>
        </w:tc>
      </w:tr>
      <w:tr w:rsidR="0081392D" w14:paraId="51B91ABA" w14:textId="77777777">
        <w:trPr>
          <w:jc w:val="center"/>
          <w:cantSplit/>
        </w:trPr>
        <w:tc>
          <w:tcPr>
            <w:tcW w:w="3741" w:type="dxa"/>
            <w:vAlign w:val="center"/>
            <w:shd w:fill="FFFFFF"/>
          </w:tcPr>
          <w:p w14:paraId="25B9DF17"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66B032CB"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109993D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6EC9E09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0.943 (0.926–0.960)</w:t>
            </w:r>
          </w:p>
        </w:tc>
      </w:tr>
      <w:tr w:rsidR="0081392D" w14:paraId="513964DC" w14:textId="77777777">
        <w:trPr>
          <w:jc w:val="center"/>
          <w:cantSplit/>
        </w:trPr>
        <w:tc>
          <w:tcPr>
            <w:tcW w:w="3741" w:type="dxa"/>
            <w:vAlign w:val="center"/>
            <w:shd w:fill="FFFFFF"/>
          </w:tcPr>
          <w:p w14:paraId="45433BBE"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3F57D0A0"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26EB537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w:t>
            </w:r>
          </w:p>
        </w:tc>
        <w:tc>
          <w:tcPr>
            <w:tcW w:w="3742" w:type="dxa"/>
            <w:vAlign w:val="center"/>
            <w:shd w:fill="FFFFFF"/>
          </w:tcPr>
          <w:p w14:paraId="2CEE68D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0.889 (0.880–0.898)</w:t>
            </w:r>
          </w:p>
        </w:tc>
      </w:tr>
      <w:tr w:rsidR="0081392D" w14:paraId="381FFE96" w14:textId="77777777">
        <w:trPr>
          <w:jc w:val="center"/>
          <w:cantSplit/>
        </w:trPr>
        <w:tc>
          <w:tcPr>
            <w:tcW w:w="3741" w:type="dxa"/>
            <w:vAlign w:val="center"/>
            <w:shd w:fill="FFFFFF"/>
          </w:tcPr>
          <w:p w14:paraId="21DF3AD1"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0BE0372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AUPRC</w:t>
            </w:r>
          </w:p>
        </w:tc>
        <w:tc>
          <w:tcPr>
            <w:tcW w:w="3742" w:type="dxa"/>
            <w:vAlign w:val="center"/>
            <w:shd w:fill="FFFFFF"/>
          </w:tcPr>
          <w:p w14:paraId="33B1654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3786596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0.354 (0.312–0.404)</w:t>
            </w:r>
          </w:p>
        </w:tc>
      </w:tr>
      <w:tr w:rsidR="0081392D" w14:paraId="6F63FE7A" w14:textId="77777777">
        <w:trPr>
          <w:jc w:val="center"/>
          <w:cantSplit/>
        </w:trPr>
        <w:tc>
          <w:tcPr>
            <w:tcW w:w="3741" w:type="dxa"/>
            <w:vAlign w:val="center"/>
            <w:shd w:fill="FFFFFF"/>
          </w:tcPr>
          <w:p w14:paraId="3E768F3E"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656213B0"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7E9A42C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7F01493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0.478 (0.435–0.531)</w:t>
            </w:r>
          </w:p>
        </w:tc>
      </w:tr>
      <w:tr w:rsidR="0081392D" w14:paraId="36EC1964" w14:textId="77777777">
        <w:trPr>
          <w:jc w:val="center"/>
          <w:cantSplit/>
        </w:trPr>
        <w:tc>
          <w:tcPr>
            <w:tcW w:w="3741" w:type="dxa"/>
            <w:vAlign w:val="center"/>
            <w:shd w:fill="FFFFFF"/>
          </w:tcPr>
          <w:p w14:paraId="6A26939E"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64F9F3A1"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6404628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17446BE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0.495 (0.452–0.540)</w:t>
            </w:r>
          </w:p>
        </w:tc>
      </w:tr>
      <w:tr w:rsidR="0081392D" w14:paraId="6092B23B" w14:textId="77777777">
        <w:trPr>
          <w:jc w:val="center"/>
          <w:cantSplit/>
        </w:trPr>
        <w:tc>
          <w:tcPr>
            <w:tcW w:w="3741" w:type="dxa"/>
            <w:vAlign w:val="center"/>
            <w:shd w:fill="FFFFFF"/>
          </w:tcPr>
          <w:p w14:paraId="1A96EC12"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2AEB20BE" w14:textId="77777777" w:rsidR="0081392D" w:rsidRDefault="0081392D">
            <w:pPr>
              <w:keepNext w:val="0"/>
              <w:keepLines w:val="0"/>
              <w:widowControl/>
              <w:spacing w:before="0" w:after="0" w:line="480" w:lineRule="auto"/>
              <w:ind w:left="0" w:right="0" w:firstLine="0"/>
              <w:jc w:val="center"/>
            </w:pPr>
          </w:p>
        </w:tc>
        <w:tc>
          <w:tcPr>
            <w:tcW w:w="3742" w:type="dxa"/>
            <w:vAlign w:val="center"/>
            <w:shd w:fill="FFFFFF"/>
          </w:tcPr>
          <w:p w14:paraId="1953E75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w:t>
            </w:r>
          </w:p>
        </w:tc>
        <w:tc>
          <w:tcPr>
            <w:tcW w:w="3742" w:type="dxa"/>
            <w:vAlign w:val="center"/>
            <w:shd w:fill="FFFFFF"/>
          </w:tcPr>
          <w:p w14:paraId="42DE2DE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0.472 (0.450–0.494)</w:t>
            </w:r>
          </w:p>
        </w:tc>
      </w:tr>
    </w:tbl>
    <w:p w14:paraId="76CC62B0" w14:textId="77777777" w:rsidR="00092AD1" w:rsidRPr="00A729E3" w:rsidRDefault="00000000">
      <w:pPr>
        <w:keepNext/>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Table S7. Ablation Study Results on MIMIC-IV</w:t>
      </w:r>
    </w:p>
    <w:tbl>
      <w:tblPr>
        <w:tblStyle w:val="a7"/>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741"/>
        <w:gridCol w:w="3741"/>
        <w:gridCol w:w="3742"/>
        <w:gridCol w:w="3742"/>
      </w:tblGrid>
      <w:tr w:rsidR="0081392D" w14:paraId="3E000CC0" w14:textId="77777777">
        <w:trPr>
          <w:jc w:val="center"/>
          <w:cantSplit/>
          <w:tblHeader/>
        </w:trPr>
        <w:tc>
          <w:tcPr>
            <w:tcW w:w="3741" w:type="dxa"/>
            <w:vAlign w:val="center"/>
            <w:shd w:fill="E7E7E7"/>
          </w:tcPr>
          <w:p w14:paraId="19F2F14D"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Model Variant</w:t>
            </w:r>
          </w:p>
        </w:tc>
        <w:tc>
          <w:tcPr>
            <w:tcW w:w="3741" w:type="dxa"/>
            <w:vAlign w:val="center"/>
            <w:shd w:fill="E7E7E7"/>
          </w:tcPr>
          <w:p w14:paraId="181FD81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Period</w:t>
            </w:r>
          </w:p>
        </w:tc>
        <w:tc>
          <w:tcPr>
            <w:tcW w:w="3742" w:type="dxa"/>
            <w:vAlign w:val="center"/>
            <w:shd w:fill="E7E7E7"/>
          </w:tcPr>
          <w:p w14:paraId="18B197E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w:t>
            </w:r>
          </w:p>
        </w:tc>
        <w:tc>
          <w:tcPr>
            <w:tcW w:w="3742" w:type="dxa"/>
            <w:vAlign w:val="center"/>
            <w:shd w:fill="E7E7E7"/>
          </w:tcPr>
          <w:p w14:paraId="701DB04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w:t>
            </w:r>
          </w:p>
        </w:tc>
      </w:tr>
      <w:tr w:rsidR="0081392D" w14:paraId="0DE07DF5" w14:textId="77777777">
        <w:trPr>
          <w:jc w:val="center"/>
          <w:cantSplit/>
        </w:trPr>
        <w:tc>
          <w:tcPr>
            <w:tcW w:w="3741" w:type="dxa"/>
            <w:vAlign w:val="center"/>
            <w:shd w:fill="FFFFFF"/>
          </w:tcPr>
          <w:p w14:paraId="22F5F8BE"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LSTM + Patch</w:t>
            </w:r>
          </w:p>
        </w:tc>
        <w:tc>
          <w:tcPr>
            <w:tcW w:w="3741" w:type="dxa"/>
            <w:vAlign w:val="center"/>
            <w:shd w:fill="FFFFFF"/>
          </w:tcPr>
          <w:p w14:paraId="5154667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2DEAD99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0.938 (0.921–0.951)</w:t>
            </w:r>
          </w:p>
        </w:tc>
        <w:tc>
          <w:tcPr>
            <w:tcW w:w="3742" w:type="dxa"/>
            <w:vAlign w:val="center"/>
            <w:shd w:fill="FFFFFF"/>
          </w:tcPr>
          <w:p w14:paraId="25AA35D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0.230 (0.201–0.262)</w:t>
            </w:r>
          </w:p>
        </w:tc>
      </w:tr>
      <w:tr w:rsidR="0081392D" w14:paraId="08FEE53C" w14:textId="77777777">
        <w:trPr>
          <w:jc w:val="center"/>
          <w:cantSplit/>
        </w:trPr>
        <w:tc>
          <w:tcPr>
            <w:tcW w:w="3741" w:type="dxa"/>
            <w:vAlign w:val="center"/>
            <w:shd w:fill="FFFFFF"/>
          </w:tcPr>
          <w:p w14:paraId="784CD55A"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36A1C42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76EDBEC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0.913 (0.894–0.930)</w:t>
            </w:r>
          </w:p>
        </w:tc>
        <w:tc>
          <w:tcPr>
            <w:tcW w:w="3742" w:type="dxa"/>
            <w:vAlign w:val="center"/>
            <w:shd w:fill="FFFFFF"/>
          </w:tcPr>
          <w:p w14:paraId="19BD29F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0.340 (0.305–0.378)</w:t>
            </w:r>
          </w:p>
        </w:tc>
      </w:tr>
      <w:tr w:rsidR="0081392D" w14:paraId="6A42449E" w14:textId="77777777">
        <w:trPr>
          <w:jc w:val="center"/>
          <w:cantSplit/>
        </w:trPr>
        <w:tc>
          <w:tcPr>
            <w:tcW w:w="3741" w:type="dxa"/>
            <w:vAlign w:val="center"/>
            <w:shd w:fill="FFFFFF"/>
          </w:tcPr>
          <w:p w14:paraId="35ACEABE"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45B63A7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7AEEA17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0.902 (0.882–0.920)</w:t>
            </w:r>
          </w:p>
        </w:tc>
        <w:tc>
          <w:tcPr>
            <w:tcW w:w="3742" w:type="dxa"/>
            <w:vAlign w:val="center"/>
            <w:shd w:fill="FFFFFF"/>
          </w:tcPr>
          <w:p w14:paraId="2FB5BDE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0.410 (0.368–0.451)</w:t>
            </w:r>
          </w:p>
        </w:tc>
      </w:tr>
      <w:tr w:rsidR="0081392D" w14:paraId="29CFE57C" w14:textId="77777777">
        <w:trPr>
          <w:jc w:val="center"/>
          <w:cantSplit/>
        </w:trPr>
        <w:tc>
          <w:tcPr>
            <w:tcW w:w="3741" w:type="dxa"/>
            <w:vAlign w:val="center"/>
            <w:shd w:fill="FFFFFF"/>
          </w:tcPr>
          <w:p w14:paraId="0B4F401D"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LSTM + RoPE</w:t>
            </w:r>
          </w:p>
        </w:tc>
        <w:tc>
          <w:tcPr>
            <w:tcW w:w="3741" w:type="dxa"/>
            <w:vAlign w:val="center"/>
            <w:shd w:fill="FFFFFF"/>
          </w:tcPr>
          <w:p w14:paraId="7A5B3C6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1929FBA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0.925 (0.906–0.936)</w:t>
            </w:r>
          </w:p>
        </w:tc>
        <w:tc>
          <w:tcPr>
            <w:tcW w:w="3742" w:type="dxa"/>
            <w:vAlign w:val="center"/>
            <w:shd w:fill="FFFFFF"/>
          </w:tcPr>
          <w:p w14:paraId="7AA868F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0.255 (0.224–0.287)</w:t>
            </w:r>
          </w:p>
        </w:tc>
      </w:tr>
      <w:tr w:rsidR="0081392D" w14:paraId="6828645C" w14:textId="77777777">
        <w:trPr>
          <w:jc w:val="center"/>
          <w:cantSplit/>
        </w:trPr>
        <w:tc>
          <w:tcPr>
            <w:tcW w:w="3741" w:type="dxa"/>
            <w:vAlign w:val="center"/>
            <w:shd w:fill="FFFFFF"/>
          </w:tcPr>
          <w:p w14:paraId="27A39566"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49A72B3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2D32C46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0.908 (0.886–0.919)</w:t>
            </w:r>
          </w:p>
        </w:tc>
        <w:tc>
          <w:tcPr>
            <w:tcW w:w="3742" w:type="dxa"/>
            <w:vAlign w:val="center"/>
            <w:shd w:fill="FFFFFF"/>
          </w:tcPr>
          <w:p w14:paraId="0FA5D6A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0.362 (0.325–0.400)</w:t>
            </w:r>
          </w:p>
        </w:tc>
      </w:tr>
      <w:tr w:rsidR="0081392D" w14:paraId="5605C5D9" w14:textId="77777777">
        <w:trPr>
          <w:jc w:val="center"/>
          <w:cantSplit/>
        </w:trPr>
        <w:tc>
          <w:tcPr>
            <w:tcW w:w="3741" w:type="dxa"/>
            <w:vAlign w:val="center"/>
            <w:shd w:fill="FFFFFF"/>
          </w:tcPr>
          <w:p w14:paraId="709F1741"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224BFFC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58A0C6D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0.896 (0.873–0.915)</w:t>
            </w:r>
          </w:p>
        </w:tc>
        <w:tc>
          <w:tcPr>
            <w:tcW w:w="3742" w:type="dxa"/>
            <w:vAlign w:val="center"/>
            <w:shd w:fill="FFFFFF"/>
          </w:tcPr>
          <w:p w14:paraId="2AFA0E5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0.425 (0.382–0.466)</w:t>
            </w:r>
          </w:p>
        </w:tc>
      </w:tr>
      <w:tr w:rsidR="0081392D" w14:paraId="265BA2A1" w14:textId="77777777">
        <w:trPr>
          <w:jc w:val="center"/>
          <w:cantSplit/>
        </w:trPr>
        <w:tc>
          <w:tcPr>
            <w:tcW w:w="3741" w:type="dxa"/>
            <w:vAlign w:val="center"/>
            <w:shd w:fill="FFFFFF"/>
          </w:tcPr>
          <w:p w14:paraId="3683FB49"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BiLSTM + Patch</w:t>
            </w:r>
          </w:p>
        </w:tc>
        <w:tc>
          <w:tcPr>
            <w:tcW w:w="3741" w:type="dxa"/>
            <w:vAlign w:val="center"/>
            <w:shd w:fill="FFFFFF"/>
          </w:tcPr>
          <w:p w14:paraId="004BF71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7D53D3F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0.949 (0.932–0.963)</w:t>
            </w:r>
          </w:p>
        </w:tc>
        <w:tc>
          <w:tcPr>
            <w:tcW w:w="3742" w:type="dxa"/>
            <w:vAlign w:val="center"/>
            <w:shd w:fill="FFFFFF"/>
          </w:tcPr>
          <w:p w14:paraId="13F7D96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0.298 (0.263–0.336)</w:t>
            </w:r>
          </w:p>
        </w:tc>
      </w:tr>
      <w:tr w:rsidR="0081392D" w14:paraId="369D347B" w14:textId="77777777">
        <w:trPr>
          <w:jc w:val="center"/>
          <w:cantSplit/>
        </w:trPr>
        <w:tc>
          <w:tcPr>
            <w:tcW w:w="3741" w:type="dxa"/>
            <w:vAlign w:val="center"/>
            <w:shd w:fill="FFFFFF"/>
          </w:tcPr>
          <w:p w14:paraId="247AB10A"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11E6891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5426745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0.920 (0.902–0.937)</w:t>
            </w:r>
          </w:p>
        </w:tc>
        <w:tc>
          <w:tcPr>
            <w:tcW w:w="3742" w:type="dxa"/>
            <w:vAlign w:val="center"/>
            <w:shd w:fill="FFFFFF"/>
          </w:tcPr>
          <w:p w14:paraId="624971B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0.415 (0.376–0.454)</w:t>
            </w:r>
          </w:p>
        </w:tc>
      </w:tr>
      <w:tr w:rsidR="0081392D" w14:paraId="0560ADC7" w14:textId="77777777">
        <w:trPr>
          <w:jc w:val="center"/>
          <w:cantSplit/>
        </w:trPr>
        <w:tc>
          <w:tcPr>
            <w:tcW w:w="3741" w:type="dxa"/>
            <w:vAlign w:val="center"/>
            <w:shd w:fill="FFFFFF"/>
          </w:tcPr>
          <w:p w14:paraId="47F31DD6"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54CC7BB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43B25D8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0.919 (0.904–0.945)</w:t>
            </w:r>
          </w:p>
        </w:tc>
        <w:tc>
          <w:tcPr>
            <w:tcW w:w="3742" w:type="dxa"/>
            <w:vAlign w:val="center"/>
            <w:shd w:fill="FFFFFF"/>
          </w:tcPr>
          <w:p w14:paraId="2CBA627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0.460 (0.416–0.501)</w:t>
            </w:r>
          </w:p>
        </w:tc>
      </w:tr>
      <w:tr w:rsidR="0081392D" w14:paraId="624414EC" w14:textId="77777777">
        <w:trPr>
          <w:jc w:val="center"/>
          <w:cantSplit/>
        </w:trPr>
        <w:tc>
          <w:tcPr>
            <w:tcW w:w="3741" w:type="dxa"/>
            <w:vAlign w:val="center"/>
            <w:shd w:fill="FFFFFF"/>
          </w:tcPr>
          <w:p w14:paraId="68F75B65"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BiLSTM + RoPE</w:t>
            </w:r>
          </w:p>
        </w:tc>
        <w:tc>
          <w:tcPr>
            <w:tcW w:w="3741" w:type="dxa"/>
            <w:vAlign w:val="center"/>
            <w:shd w:fill="FFFFFF"/>
          </w:tcPr>
          <w:p w14:paraId="747A230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0C9FC97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0.952 (0.936–0.966)</w:t>
            </w:r>
          </w:p>
        </w:tc>
        <w:tc>
          <w:tcPr>
            <w:tcW w:w="3742" w:type="dxa"/>
            <w:vAlign w:val="center"/>
            <w:shd w:fill="FFFFFF"/>
          </w:tcPr>
          <w:p w14:paraId="6900E45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0.325 (0.288–0.366)</w:t>
            </w:r>
          </w:p>
        </w:tc>
      </w:tr>
      <w:tr w:rsidR="0081392D" w14:paraId="04C38159" w14:textId="77777777">
        <w:trPr>
          <w:jc w:val="center"/>
          <w:cantSplit/>
        </w:trPr>
        <w:tc>
          <w:tcPr>
            <w:tcW w:w="3741" w:type="dxa"/>
            <w:vAlign w:val="center"/>
            <w:shd w:fill="FFFFFF"/>
          </w:tcPr>
          <w:p w14:paraId="68E39A97"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7EAE928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0A38590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0.923 (0.906–0.936)</w:t>
            </w:r>
          </w:p>
        </w:tc>
        <w:tc>
          <w:tcPr>
            <w:tcW w:w="3742" w:type="dxa"/>
            <w:vAlign w:val="center"/>
            <w:shd w:fill="FFFFFF"/>
          </w:tcPr>
          <w:p w14:paraId="2EBC317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0.448 (0.408–0.489)</w:t>
            </w:r>
          </w:p>
        </w:tc>
      </w:tr>
      <w:tr w:rsidR="0081392D" w14:paraId="27AB606E" w14:textId="77777777">
        <w:trPr>
          <w:jc w:val="center"/>
          <w:cantSplit/>
        </w:trPr>
        <w:tc>
          <w:tcPr>
            <w:tcW w:w="3741" w:type="dxa"/>
            <w:vAlign w:val="center"/>
            <w:shd w:fill="FFFFFF"/>
          </w:tcPr>
          <w:p w14:paraId="5B45ED40"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24AB99C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66362AF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0.930 (0.913–0.946)</w:t>
            </w:r>
          </w:p>
        </w:tc>
        <w:tc>
          <w:tcPr>
            <w:tcW w:w="3742" w:type="dxa"/>
            <w:vAlign w:val="center"/>
            <w:shd w:fill="FFFFFF"/>
          </w:tcPr>
          <w:p w14:paraId="471C671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0.478 (0.433–0.520)</w:t>
            </w:r>
          </w:p>
        </w:tc>
      </w:tr>
      <w:tr w:rsidR="0081392D" w14:paraId="578D0A86" w14:textId="77777777">
        <w:trPr>
          <w:jc w:val="center"/>
          <w:cantSplit/>
        </w:trPr>
        <w:tc>
          <w:tcPr>
            <w:tcW w:w="3741" w:type="dxa"/>
            <w:vAlign w:val="center"/>
            <w:shd w:fill="FFFFFF"/>
          </w:tcPr>
          <w:p w14:paraId="749F2098"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PatchFusion</w:t>
            </w:r>
          </w:p>
        </w:tc>
        <w:tc>
          <w:tcPr>
            <w:tcW w:w="3741" w:type="dxa"/>
            <w:vAlign w:val="center"/>
            <w:shd w:fill="FFFFFF"/>
          </w:tcPr>
          <w:p w14:paraId="17B24FB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1-day</w:t>
            </w:r>
          </w:p>
        </w:tc>
        <w:tc>
          <w:tcPr>
            <w:tcW w:w="3742" w:type="dxa"/>
            <w:vAlign w:val="center"/>
            <w:shd w:fill="FFFFFF"/>
          </w:tcPr>
          <w:p w14:paraId="2EAA14D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0.978 (0.965–0.989)</w:t>
            </w:r>
          </w:p>
        </w:tc>
        <w:tc>
          <w:tcPr>
            <w:tcW w:w="3742" w:type="dxa"/>
            <w:vAlign w:val="center"/>
            <w:shd w:fill="FFFFFF"/>
          </w:tcPr>
          <w:p w14:paraId="4DEEA71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0.578 (0.524–0.630)</w:t>
            </w:r>
          </w:p>
        </w:tc>
      </w:tr>
      <w:tr w:rsidR="0081392D" w14:paraId="1D70F428" w14:textId="77777777">
        <w:trPr>
          <w:jc w:val="center"/>
          <w:cantSplit/>
        </w:trPr>
        <w:tc>
          <w:tcPr>
            <w:tcW w:w="3741" w:type="dxa"/>
            <w:vAlign w:val="center"/>
            <w:shd w:fill="FFFFFF"/>
          </w:tcPr>
          <w:p w14:paraId="58D9A978"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314744E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2-day</w:t>
            </w:r>
          </w:p>
        </w:tc>
        <w:tc>
          <w:tcPr>
            <w:tcW w:w="3742" w:type="dxa"/>
            <w:vAlign w:val="center"/>
            <w:shd w:fill="FFFFFF"/>
          </w:tcPr>
          <w:p w14:paraId="162BF3E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0.954 (0.936–0.967)</w:t>
            </w:r>
          </w:p>
        </w:tc>
        <w:tc>
          <w:tcPr>
            <w:tcW w:w="3742" w:type="dxa"/>
            <w:vAlign w:val="center"/>
            <w:shd w:fill="FFFFFF"/>
          </w:tcPr>
          <w:p w14:paraId="2F3849B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0.552 (0.503–0.598)</w:t>
            </w:r>
          </w:p>
        </w:tc>
      </w:tr>
      <w:tr w:rsidR="0081392D" w14:paraId="1988D7EE" w14:textId="77777777">
        <w:trPr>
          <w:jc w:val="center"/>
          <w:cantSplit/>
        </w:trPr>
        <w:tc>
          <w:tcPr>
            <w:tcW w:w="3741" w:type="dxa"/>
            <w:vAlign w:val="center"/>
            <w:shd w:fill="FFFFFF"/>
          </w:tcPr>
          <w:p w14:paraId="115373FB" w14:textId="77777777" w:rsidR="0081392D" w:rsidRDefault="0081392D">
            <w:pPr>
              <w:keepNext w:val="0"/>
              <w:keepLines w:val="0"/>
              <w:widowControl/>
              <w:spacing w:before="0" w:after="0" w:line="480" w:lineRule="auto"/>
              <w:ind w:left="0" w:right="0" w:firstLine="0"/>
              <w:jc w:val="left"/>
            </w:pPr>
          </w:p>
        </w:tc>
        <w:tc>
          <w:tcPr>
            <w:tcW w:w="3741" w:type="dxa"/>
            <w:vAlign w:val="center"/>
            <w:shd w:fill="FFFFFF"/>
          </w:tcPr>
          <w:p w14:paraId="499528A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w:t>
            </w:r>
          </w:p>
        </w:tc>
        <w:tc>
          <w:tcPr>
            <w:tcW w:w="3742" w:type="dxa"/>
            <w:vAlign w:val="center"/>
            <w:shd w:fill="FFFFFF"/>
          </w:tcPr>
          <w:p w14:paraId="7A4602B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0.943 (0.919–0.951)</w:t>
            </w:r>
          </w:p>
        </w:tc>
        <w:tc>
          <w:tcPr>
            <w:tcW w:w="3742" w:type="dxa"/>
            <w:vAlign w:val="center"/>
            <w:shd w:fill="FFFFFF"/>
          </w:tcPr>
          <w:p w14:paraId="6AE2CAB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0.542 (0.491–0.589)</w:t>
            </w:r>
          </w:p>
        </w:tc>
      </w:tr>
    </w:tbl>
    <w:p w14:paraId="31D09782" w14:textId="77777777" w:rsidR="0081392D"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 xml:space="preserve">Values are on a 0–1 scale with 95% CIs. These incomplete-pathway configurations differ in capacity or structure. One-at-a-time comparisons and paired pathway reversals are reported separately in Tables S24–S24b.</w:t>
      </w:r>
    </w:p>
    <w:p w14:paraId="2A512C19" w14:textId="77777777" w:rsidR="006E4139" w:rsidRDefault="00000000">
      <w:pPr>
        <w:keepNext/>
        <w:keepLines w:val="0"/>
        <w:widowControl/>
        <w:spacing w:after="80" w:line="480" w:lineRule="auto" w:before="0"/>
        <w:ind w:left="0" w:right="0" w:firstLine="0"/>
      </w:pPr>
      <w:r>
        <w:rPr>
          <w:rFonts w:eastAsia="Times New Roman" w:cs="Times New Roman" w:ascii="Times New Roman" w:hAnsi="Times New Roman"/>
          <w:b/>
          <w:vanish w:val="0"/>
          <w:color w:val="000000"/>
          <w:sz w:val="22"/>
        </w:rPr>
        <w:lastRenderedPageBreak/>
        <w:t>Table S13. Patch-Size and Stride Sensitivity Analysis on MIMIC-IV (≈12–24-Hour Mortality Window)</w:t>
      </w:r>
    </w:p>
    <w:tbl>
      <w:tblPr>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94"/>
        <w:gridCol w:w="2993"/>
        <w:gridCol w:w="2993"/>
        <w:gridCol w:w="2993"/>
        <w:gridCol w:w="2993"/>
      </w:tblGrid>
      <w:tr w:rsidR="006E4139" w14:paraId="4E57C1B8" w14:textId="77777777">
        <w:trPr>
          <w:jc w:val="center"/>
          <w:cantSplit/>
          <w:tblHeader/>
        </w:trPr>
        <w:tc>
          <w:tcPr>
            <w:tcW w:w="2994" w:type="dxa"/>
            <w:vAlign w:val="center"/>
            <w:shd w:fill="E7E7E7"/>
          </w:tcPr>
          <w:p w14:paraId="071574B5"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Setting</w:t>
            </w:r>
          </w:p>
        </w:tc>
        <w:tc>
          <w:tcPr>
            <w:tcW w:w="2993" w:type="dxa"/>
            <w:vAlign w:val="center"/>
            <w:shd w:fill="E7E7E7"/>
          </w:tcPr>
          <w:p w14:paraId="5D2AEB0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Patch size, h</w:t>
            </w:r>
          </w:p>
        </w:tc>
        <w:tc>
          <w:tcPr>
            <w:tcW w:w="2993" w:type="dxa"/>
            <w:vAlign w:val="center"/>
            <w:shd w:fill="E7E7E7"/>
          </w:tcPr>
          <w:p w14:paraId="5286D92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Stride, h</w:t>
            </w:r>
          </w:p>
        </w:tc>
        <w:tc>
          <w:tcPr>
            <w:tcW w:w="2993" w:type="dxa"/>
            <w:vAlign w:val="center"/>
            <w:shd w:fill="E7E7E7"/>
          </w:tcPr>
          <w:p w14:paraId="1A46CD0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 (95% CI)</w:t>
            </w:r>
          </w:p>
        </w:tc>
        <w:tc>
          <w:tcPr>
            <w:tcW w:w="2993" w:type="dxa"/>
            <w:vAlign w:val="center"/>
            <w:shd w:fill="E7E7E7"/>
          </w:tcPr>
          <w:p w14:paraId="293416B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 (95% CI)</w:t>
            </w:r>
          </w:p>
        </w:tc>
      </w:tr>
      <w:tr w:rsidR="006E4139" w14:paraId="5E460708" w14:textId="77777777">
        <w:trPr>
          <w:jc w:val="center"/>
          <w:cantSplit/>
        </w:trPr>
        <w:tc>
          <w:tcPr>
            <w:tcW w:w="2994" w:type="dxa"/>
            <w:vAlign w:val="center"/>
            <w:shd w:fill="FFFFFF"/>
          </w:tcPr>
          <w:p w14:paraId="17AF90E1"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Patch-size sweep</w:t>
            </w:r>
          </w:p>
        </w:tc>
        <w:tc>
          <w:tcPr>
            <w:tcW w:w="2993" w:type="dxa"/>
            <w:vAlign w:val="center"/>
            <w:shd w:fill="FFFFFF"/>
          </w:tcPr>
          <w:p w14:paraId="4555C3D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w:t>
            </w:r>
          </w:p>
        </w:tc>
        <w:tc>
          <w:tcPr>
            <w:tcW w:w="2993" w:type="dxa"/>
            <w:vAlign w:val="center"/>
            <w:shd w:fill="FFFFFF"/>
          </w:tcPr>
          <w:p w14:paraId="06468FC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w:t>
            </w:r>
          </w:p>
        </w:tc>
        <w:tc>
          <w:tcPr>
            <w:tcW w:w="2993" w:type="dxa"/>
            <w:vAlign w:val="center"/>
            <w:shd w:fill="FFFFFF"/>
          </w:tcPr>
          <w:p w14:paraId="5C06B77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0.966 (0.949–0.980)</w:t>
            </w:r>
          </w:p>
        </w:tc>
        <w:tc>
          <w:tcPr>
            <w:tcW w:w="2993" w:type="dxa"/>
            <w:vAlign w:val="center"/>
            <w:shd w:fill="FFFFFF"/>
          </w:tcPr>
          <w:p w14:paraId="08B9E2F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0.541 (0.486–0.596)</w:t>
            </w:r>
          </w:p>
        </w:tc>
      </w:tr>
      <w:tr w:rsidR="006E4139" w14:paraId="3181AEFE" w14:textId="77777777">
        <w:trPr>
          <w:jc w:val="center"/>
          <w:cantSplit/>
        </w:trPr>
        <w:tc>
          <w:tcPr>
            <w:tcW w:w="2994" w:type="dxa"/>
            <w:vAlign w:val="center"/>
            <w:shd w:fill="FFFFFF"/>
          </w:tcPr>
          <w:p w14:paraId="3F88B92A" w14:textId="77777777" w:rsidR="006E4139" w:rsidRDefault="006E4139">
            <w:pPr>
              <w:keepNext w:val="0"/>
              <w:keepLines w:val="0"/>
              <w:widowControl/>
              <w:spacing w:before="0" w:after="0" w:line="480" w:lineRule="auto"/>
              <w:ind w:left="0" w:right="0" w:firstLine="0"/>
              <w:jc w:val="left"/>
            </w:pPr>
          </w:p>
        </w:tc>
        <w:tc>
          <w:tcPr>
            <w:tcW w:w="2993" w:type="dxa"/>
            <w:vAlign w:val="center"/>
            <w:shd w:fill="FFFFFF"/>
          </w:tcPr>
          <w:p w14:paraId="7B34526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w:t>
            </w:r>
          </w:p>
        </w:tc>
        <w:tc>
          <w:tcPr>
            <w:tcW w:w="2993" w:type="dxa"/>
            <w:vAlign w:val="center"/>
            <w:shd w:fill="FFFFFF"/>
          </w:tcPr>
          <w:p w14:paraId="2149301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w:t>
            </w:r>
          </w:p>
        </w:tc>
        <w:tc>
          <w:tcPr>
            <w:tcW w:w="2993" w:type="dxa"/>
            <w:vAlign w:val="center"/>
            <w:shd w:fill="FFFFFF"/>
          </w:tcPr>
          <w:p w14:paraId="0FC624D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0.975 (0.961–0.986)</w:t>
            </w:r>
          </w:p>
        </w:tc>
        <w:tc>
          <w:tcPr>
            <w:tcW w:w="2993" w:type="dxa"/>
            <w:vAlign w:val="center"/>
            <w:shd w:fill="FFFFFF"/>
          </w:tcPr>
          <w:p w14:paraId="3F80211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0.571 (0.516–0.624)</w:t>
            </w:r>
          </w:p>
        </w:tc>
      </w:tr>
      <w:tr w:rsidR="006E4139" w14:paraId="472E1041" w14:textId="77777777">
        <w:trPr>
          <w:jc w:val="center"/>
          <w:cantSplit/>
        </w:trPr>
        <w:tc>
          <w:tcPr>
            <w:tcW w:w="2994" w:type="dxa"/>
            <w:vAlign w:val="center"/>
            <w:shd w:fill="FFFFFF"/>
          </w:tcPr>
          <w:p w14:paraId="57231EFD" w14:textId="77777777" w:rsidR="006E4139" w:rsidRDefault="006E4139">
            <w:pPr>
              <w:keepNext w:val="0"/>
              <w:keepLines w:val="0"/>
              <w:widowControl/>
              <w:spacing w:before="0" w:after="0" w:line="480" w:lineRule="auto"/>
              <w:ind w:left="0" w:right="0" w:firstLine="0"/>
              <w:jc w:val="left"/>
            </w:pPr>
          </w:p>
        </w:tc>
        <w:tc>
          <w:tcPr>
            <w:tcW w:w="2993" w:type="dxa"/>
            <w:vAlign w:val="center"/>
            <w:shd w:fill="FFFFFF"/>
          </w:tcPr>
          <w:p w14:paraId="7968AC2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4</w:t>
            </w:r>
          </w:p>
        </w:tc>
        <w:tc>
          <w:tcPr>
            <w:tcW w:w="2993" w:type="dxa"/>
            <w:vAlign w:val="center"/>
            <w:shd w:fill="FFFFFF"/>
          </w:tcPr>
          <w:p w14:paraId="3FA0F84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w:t>
            </w:r>
          </w:p>
        </w:tc>
        <w:tc>
          <w:tcPr>
            <w:tcW w:w="2993" w:type="dxa"/>
            <w:vAlign w:val="center"/>
            <w:shd w:fill="FFFFFF"/>
          </w:tcPr>
          <w:p w14:paraId="1D61D12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0.971 (0.955–0.983)</w:t>
            </w:r>
          </w:p>
        </w:tc>
        <w:tc>
          <w:tcPr>
            <w:tcW w:w="2993" w:type="dxa"/>
            <w:vAlign w:val="center"/>
            <w:shd w:fill="FFFFFF"/>
          </w:tcPr>
          <w:p w14:paraId="4CA092D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0.556 (0.501–0.610)</w:t>
            </w:r>
          </w:p>
        </w:tc>
      </w:tr>
      <w:tr w:rsidR="006E4139" w14:paraId="721D4AC8" w14:textId="77777777">
        <w:trPr>
          <w:jc w:val="center"/>
          <w:cantSplit/>
        </w:trPr>
        <w:tc>
          <w:tcPr>
            <w:tcW w:w="2994" w:type="dxa"/>
            <w:vAlign w:val="center"/>
            <w:shd w:fill="FFFFFF"/>
          </w:tcPr>
          <w:p w14:paraId="4D3278C3"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Primary</w:t>
            </w:r>
          </w:p>
        </w:tc>
        <w:tc>
          <w:tcPr>
            <w:tcW w:w="2993" w:type="dxa"/>
            <w:vAlign w:val="center"/>
            <w:shd w:fill="FFFFFF"/>
          </w:tcPr>
          <w:p w14:paraId="244FA0F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w:t>
            </w:r>
          </w:p>
        </w:tc>
        <w:tc>
          <w:tcPr>
            <w:tcW w:w="2993" w:type="dxa"/>
            <w:vAlign w:val="center"/>
            <w:shd w:fill="FFFFFF"/>
          </w:tcPr>
          <w:p w14:paraId="1DDDF7B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w:t>
            </w:r>
          </w:p>
        </w:tc>
        <w:tc>
          <w:tcPr>
            <w:tcW w:w="2993" w:type="dxa"/>
            <w:vAlign w:val="center"/>
            <w:shd w:fill="FFFFFF"/>
          </w:tcPr>
          <w:p w14:paraId="67743FB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0.978 (0.965–0.989)</w:t>
            </w:r>
          </w:p>
        </w:tc>
        <w:tc>
          <w:tcPr>
            <w:tcW w:w="2993" w:type="dxa"/>
            <w:vAlign w:val="center"/>
            <w:shd w:fill="FFFFFF"/>
          </w:tcPr>
          <w:p w14:paraId="71BCC6A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0.578 (0.524–0.630)</w:t>
            </w:r>
          </w:p>
        </w:tc>
      </w:tr>
      <w:tr w:rsidR="006E4139" w14:paraId="009A3DA1" w14:textId="77777777">
        <w:trPr>
          <w:jc w:val="center"/>
          <w:cantSplit/>
        </w:trPr>
        <w:tc>
          <w:tcPr>
            <w:tcW w:w="2994" w:type="dxa"/>
            <w:vAlign w:val="center"/>
            <w:shd w:fill="FFFFFF"/>
          </w:tcPr>
          <w:p w14:paraId="68CAC653"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Stride sweep</w:t>
            </w:r>
          </w:p>
        </w:tc>
        <w:tc>
          <w:tcPr>
            <w:tcW w:w="2993" w:type="dxa"/>
            <w:vAlign w:val="center"/>
            <w:shd w:fill="FFFFFF"/>
          </w:tcPr>
          <w:p w14:paraId="46275F1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w:t>
            </w:r>
          </w:p>
        </w:tc>
        <w:tc>
          <w:tcPr>
            <w:tcW w:w="2993" w:type="dxa"/>
            <w:vAlign w:val="center"/>
            <w:shd w:fill="FFFFFF"/>
          </w:tcPr>
          <w:p w14:paraId="6F78596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w:t>
            </w:r>
          </w:p>
        </w:tc>
        <w:tc>
          <w:tcPr>
            <w:tcW w:w="2993" w:type="dxa"/>
            <w:vAlign w:val="center"/>
            <w:shd w:fill="FFFFFF"/>
          </w:tcPr>
          <w:p w14:paraId="770BF43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0.973 (0.958–0.985)</w:t>
            </w:r>
          </w:p>
        </w:tc>
        <w:tc>
          <w:tcPr>
            <w:tcW w:w="2993" w:type="dxa"/>
            <w:vAlign w:val="center"/>
            <w:shd w:fill="FFFFFF"/>
          </w:tcPr>
          <w:p w14:paraId="20A54D7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0.562 (0.507–0.616)</w:t>
            </w:r>
          </w:p>
        </w:tc>
      </w:tr>
      <w:tr w:rsidR="006E4139" w14:paraId="5B233552" w14:textId="77777777">
        <w:trPr>
          <w:jc w:val="center"/>
          <w:cantSplit/>
        </w:trPr>
        <w:tc>
          <w:tcPr>
            <w:tcW w:w="2994" w:type="dxa"/>
            <w:vAlign w:val="center"/>
            <w:shd w:fill="FFFFFF"/>
          </w:tcPr>
          <w:p w14:paraId="383B0A14" w14:textId="77777777" w:rsidR="006E4139" w:rsidRDefault="006E4139">
            <w:pPr>
              <w:keepNext w:val="0"/>
              <w:keepLines w:val="0"/>
              <w:widowControl/>
              <w:spacing w:before="0" w:after="0" w:line="480" w:lineRule="auto"/>
              <w:ind w:left="0" w:right="0" w:firstLine="0"/>
              <w:jc w:val="left"/>
            </w:pPr>
          </w:p>
        </w:tc>
        <w:tc>
          <w:tcPr>
            <w:tcW w:w="2993" w:type="dxa"/>
            <w:vAlign w:val="center"/>
            <w:shd w:fill="FFFFFF"/>
          </w:tcPr>
          <w:p w14:paraId="4BFE6AC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w:t>
            </w:r>
          </w:p>
        </w:tc>
        <w:tc>
          <w:tcPr>
            <w:tcW w:w="2993" w:type="dxa"/>
            <w:vAlign w:val="center"/>
            <w:shd w:fill="FFFFFF"/>
          </w:tcPr>
          <w:p w14:paraId="7A52F42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w:t>
            </w:r>
          </w:p>
        </w:tc>
        <w:tc>
          <w:tcPr>
            <w:tcW w:w="2993" w:type="dxa"/>
            <w:vAlign w:val="center"/>
            <w:shd w:fill="FFFFFF"/>
          </w:tcPr>
          <w:p w14:paraId="5B6CC41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0.977 (0.963–0.988)</w:t>
            </w:r>
          </w:p>
        </w:tc>
        <w:tc>
          <w:tcPr>
            <w:tcW w:w="2993" w:type="dxa"/>
            <w:vAlign w:val="center"/>
            <w:shd w:fill="FFFFFF"/>
          </w:tcPr>
          <w:p w14:paraId="76ACB83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0.574 (0.520–0.627)</w:t>
            </w:r>
          </w:p>
        </w:tc>
      </w:tr>
      <w:tr w:rsidR="006E4139" w14:paraId="0889D350" w14:textId="77777777">
        <w:trPr>
          <w:jc w:val="center"/>
          <w:cantSplit/>
        </w:trPr>
        <w:tc>
          <w:tcPr>
            <w:tcW w:w="2994" w:type="dxa"/>
            <w:vAlign w:val="center"/>
            <w:shd w:fill="FFFFFF"/>
          </w:tcPr>
          <w:p w14:paraId="70C17EDA" w14:textId="77777777" w:rsidR="006E4139" w:rsidRDefault="006E4139">
            <w:pPr>
              <w:keepNext w:val="0"/>
              <w:keepLines w:val="0"/>
              <w:widowControl/>
              <w:spacing w:before="0" w:after="0" w:line="480" w:lineRule="auto"/>
              <w:ind w:left="0" w:right="0" w:firstLine="0"/>
              <w:jc w:val="left"/>
            </w:pPr>
          </w:p>
        </w:tc>
        <w:tc>
          <w:tcPr>
            <w:tcW w:w="2993" w:type="dxa"/>
            <w:vAlign w:val="center"/>
            <w:shd w:fill="FFFFFF"/>
          </w:tcPr>
          <w:p w14:paraId="4A2C58E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w:t>
            </w:r>
          </w:p>
        </w:tc>
        <w:tc>
          <w:tcPr>
            <w:tcW w:w="2993" w:type="dxa"/>
            <w:vAlign w:val="center"/>
            <w:shd w:fill="FFFFFF"/>
          </w:tcPr>
          <w:p w14:paraId="225B320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w:t>
            </w:r>
          </w:p>
        </w:tc>
        <w:tc>
          <w:tcPr>
            <w:tcW w:w="2993" w:type="dxa"/>
            <w:vAlign w:val="center"/>
            <w:shd w:fill="FFFFFF"/>
          </w:tcPr>
          <w:p w14:paraId="1F9AA1B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0.978 (0.965–0.989)</w:t>
            </w:r>
          </w:p>
        </w:tc>
        <w:tc>
          <w:tcPr>
            <w:tcW w:w="2993" w:type="dxa"/>
            <w:vAlign w:val="center"/>
            <w:shd w:fill="FFFFFF"/>
          </w:tcPr>
          <w:p w14:paraId="0A3AB04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0.578 (0.524–0.630)</w:t>
            </w:r>
          </w:p>
        </w:tc>
      </w:tr>
      <w:tr w:rsidR="006E4139" w14:paraId="2632BAE1" w14:textId="77777777">
        <w:trPr>
          <w:jc w:val="center"/>
          <w:cantSplit/>
        </w:trPr>
        <w:tc>
          <w:tcPr>
            <w:tcW w:w="2994" w:type="dxa"/>
            <w:vAlign w:val="center"/>
            <w:shd w:fill="FFFFFF"/>
          </w:tcPr>
          <w:p w14:paraId="2A7C6208" w14:textId="77777777" w:rsidR="006E4139" w:rsidRDefault="006E4139">
            <w:pPr>
              <w:keepNext w:val="0"/>
              <w:keepLines w:val="0"/>
              <w:widowControl/>
              <w:spacing w:before="0" w:after="0" w:line="480" w:lineRule="auto"/>
              <w:ind w:left="0" w:right="0" w:firstLine="0"/>
              <w:jc w:val="left"/>
            </w:pPr>
          </w:p>
        </w:tc>
        <w:tc>
          <w:tcPr>
            <w:tcW w:w="2993" w:type="dxa"/>
            <w:vAlign w:val="center"/>
            <w:shd w:fill="FFFFFF"/>
          </w:tcPr>
          <w:p w14:paraId="00C988B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w:t>
            </w:r>
          </w:p>
        </w:tc>
        <w:tc>
          <w:tcPr>
            <w:tcW w:w="2993" w:type="dxa"/>
            <w:vAlign w:val="center"/>
            <w:shd w:fill="FFFFFF"/>
          </w:tcPr>
          <w:p w14:paraId="4E8E12E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4</w:t>
            </w:r>
          </w:p>
        </w:tc>
        <w:tc>
          <w:tcPr>
            <w:tcW w:w="2993" w:type="dxa"/>
            <w:vAlign w:val="center"/>
            <w:shd w:fill="FFFFFF"/>
          </w:tcPr>
          <w:p w14:paraId="3B789DA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0.969 (0.953–0.982)</w:t>
            </w:r>
          </w:p>
        </w:tc>
        <w:tc>
          <w:tcPr>
            <w:tcW w:w="2993" w:type="dxa"/>
            <w:vAlign w:val="center"/>
            <w:shd w:fill="FFFFFF"/>
          </w:tcPr>
          <w:p w14:paraId="1D461F7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0.547 (0.492–0.601)</w:t>
            </w:r>
          </w:p>
        </w:tc>
      </w:tr>
      <w:tr w:rsidR="006E4139" w14:paraId="5668E662" w14:textId="77777777">
        <w:trPr>
          <w:jc w:val="center"/>
          <w:cantSplit/>
        </w:trPr>
        <w:tc>
          <w:tcPr>
            <w:tcW w:w="2994" w:type="dxa"/>
            <w:vAlign w:val="center"/>
            <w:shd w:fill="FFFFFF"/>
          </w:tcPr>
          <w:p w14:paraId="0338139F" w14:textId="77777777" w:rsidR="006E4139" w:rsidRDefault="006E4139">
            <w:pPr>
              <w:keepNext w:val="0"/>
              <w:keepLines w:val="0"/>
              <w:widowControl/>
              <w:spacing w:before="0" w:after="0" w:line="480" w:lineRule="auto"/>
              <w:ind w:left="0" w:right="0" w:firstLine="0"/>
              <w:jc w:val="left"/>
            </w:pPr>
          </w:p>
        </w:tc>
        <w:tc>
          <w:tcPr>
            <w:tcW w:w="2993" w:type="dxa"/>
            <w:vAlign w:val="center"/>
            <w:shd w:fill="FFFFFF"/>
          </w:tcPr>
          <w:p w14:paraId="195571F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w:t>
            </w:r>
          </w:p>
        </w:tc>
        <w:tc>
          <w:tcPr>
            <w:tcW w:w="2993" w:type="dxa"/>
            <w:vAlign w:val="center"/>
            <w:shd w:fill="FFFFFF"/>
          </w:tcPr>
          <w:p w14:paraId="7E02A55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w:t>
            </w:r>
          </w:p>
        </w:tc>
        <w:tc>
          <w:tcPr>
            <w:tcW w:w="2993" w:type="dxa"/>
            <w:vAlign w:val="center"/>
            <w:shd w:fill="FFFFFF"/>
          </w:tcPr>
          <w:p w14:paraId="468EE94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0.961 (0.944–0.975)</w:t>
            </w:r>
          </w:p>
        </w:tc>
        <w:tc>
          <w:tcPr>
            <w:tcW w:w="2993" w:type="dxa"/>
            <w:vAlign w:val="center"/>
            <w:shd w:fill="FFFFFF"/>
          </w:tcPr>
          <w:p w14:paraId="73992D3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0.524 (0.469–0.578)</w:t>
            </w:r>
          </w:p>
        </w:tc>
      </w:tr>
    </w:tbl>
    <w:p w14:paraId="115B0F0D"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 xml:space="preserve">Patch-size and stride sweeps used the same development protocol for mortality in (12,24] hours. The patch-size sweep fixed stride at three hours; the stride sweep fixed patch length at six hours. The primary 6/3 setting was numerically highest in both AUROC and AUPRC and matches Table 2. Adjacent-setting bootstrap intervals overlapped substantially, and formal pairwise tests were not performed for this sensitivity grid. The sweep describes configuration dependence on the development cohort; inspecting multiple settings can introduce selection optimism.</w:t>
      </w:r>
    </w:p>
    <w:p>
      <w:pPr>
        <w:keepNext/>
        <w:keepLines w:val="0"/>
        <w:widowControl/>
        <w:spacing w:line="480" w:lineRule="auto" w:before="0" w:after="80"/>
        <w:ind w:left="0" w:right="0" w:firstLine="0"/>
      </w:pPr>
      <w:r>
        <w:rPr>
          <w:rFonts w:ascii="Times New Roman" w:hAnsi="Times New Roman" w:eastAsia="Times New Roman" w:cs="Times New Roman"/>
          <w:b/>
          <w:vanish w:val="0"/>
          <w:color w:val="000000"/>
          <w:sz w:val="22"/>
        </w:rPr>
        <w:t>Table S13b. Pathway Comparison Across Patch Settings (Local→Global vs Global→Local)</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67B1F" w14:paraId="6142E0DA" w14:textId="77777777">
        <w:trPr>
          <w:jc w:val="center"/>
          <w:cantSplit/>
          <w:tblHeader/>
        </w:trPr>
        <w:tc>
          <w:tcPr>
            <w:tcW w:w="2138" w:type="dxa"/>
            <w:vAlign w:val="center"/>
            <w:shd w:fill="E7E7E7"/>
          </w:tcPr>
          <w:p w14:paraId="422D16F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rPr>
              <w:t>Patch / stride (h)</w:t>
            </w:r>
          </w:p>
        </w:tc>
        <w:tc>
          <w:tcPr>
            <w:tcW w:w="2138" w:type="dxa"/>
            <w:vAlign w:val="center"/>
            <w:shd w:fill="E7E7E7"/>
          </w:tcPr>
          <w:p w14:paraId="56D75B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Tokens (attention)</w:t>
            </w:r>
          </w:p>
        </w:tc>
        <w:tc>
          <w:tcPr>
            <w:tcW w:w="2138" w:type="dxa"/>
            <w:vAlign w:val="center"/>
            <w:shd w:fill="E7E7E7"/>
          </w:tcPr>
          <w:p w14:paraId="1ED745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Local→global AUROC/AUPRC</w:t>
            </w:r>
          </w:p>
        </w:tc>
        <w:tc>
          <w:tcPr>
            <w:tcW w:w="2138" w:type="dxa"/>
            <w:vAlign w:val="center"/>
            <w:shd w:fill="E7E7E7"/>
          </w:tcPr>
          <w:p w14:paraId="4386FC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Global→local AUROC/AUPRC</w:t>
            </w:r>
          </w:p>
        </w:tc>
        <w:tc>
          <w:tcPr>
            <w:tcW w:w="2138" w:type="dxa"/>
            <w:vAlign w:val="center"/>
            <w:shd w:fill="E7E7E7"/>
          </w:tcPr>
          <w:p w14:paraId="2C81BF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ΔAUPRC (L→G − G→L) (95% CI)</w:t>
            </w:r>
          </w:p>
        </w:tc>
        <w:tc>
          <w:tcPr>
            <w:tcW w:w="2138" w:type="dxa"/>
            <w:vAlign w:val="center"/>
            <w:shd w:fill="E7E7E7"/>
          </w:tcPr>
          <w:p w14:paraId="088FB30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P</w:t>
            </w:r>
          </w:p>
        </w:tc>
        <w:tc>
          <w:tcPr>
            <w:tcW w:w="2138" w:type="dxa"/>
            <w:vAlign w:val="center"/>
            <w:shd w:fill="E7E7E7"/>
          </w:tcPr>
          <w:p w14:paraId="0BD40EA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r>
          </w:p>
        </w:tc>
      </w:tr>
      <w:tr w:rsidR="00067B1F" w14:paraId="6142E0DA" w14:textId="77777777">
        <w:trPr>
          <w:jc w:val="center"/>
          <w:cantSplit/>
        </w:trPr>
        <w:tc>
          <w:tcPr>
            <w:tcW w:w="2138" w:type="dxa"/>
            <w:vAlign w:val="center"/>
            <w:shd w:fill="FFFFFF"/>
          </w:tcPr>
          <w:p w14:paraId="422D16F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3 / 3</w:t>
            </w:r>
          </w:p>
        </w:tc>
        <w:tc>
          <w:tcPr>
            <w:tcW w:w="2138" w:type="dxa"/>
            <w:vAlign w:val="center"/>
            <w:shd w:fill="FFFFFF"/>
          </w:tcPr>
          <w:p w14:paraId="56D75B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4</w:t>
            </w:r>
          </w:p>
        </w:tc>
        <w:tc>
          <w:tcPr>
            <w:tcW w:w="2138" w:type="dxa"/>
            <w:vAlign w:val="center"/>
            <w:shd w:fill="FFFFFF"/>
          </w:tcPr>
          <w:p w14:paraId="1ED745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0.975 / 0.571</w:t>
            </w:r>
          </w:p>
        </w:tc>
        <w:tc>
          <w:tcPr>
            <w:tcW w:w="2138" w:type="dxa"/>
            <w:vAlign w:val="center"/>
            <w:shd w:fill="FFFFFF"/>
          </w:tcPr>
          <w:p w14:paraId="4386FC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0.968 / 0.547</w:t>
            </w:r>
          </w:p>
        </w:tc>
        <w:tc>
          <w:tcPr>
            <w:tcW w:w="2138" w:type="dxa"/>
            <w:vAlign w:val="center"/>
            <w:shd w:fill="FFFFFF"/>
          </w:tcPr>
          <w:p w14:paraId="2C81BF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+0.024 (0.005 to 0.044)</w:t>
            </w:r>
          </w:p>
        </w:tc>
        <w:tc>
          <w:tcPr>
            <w:tcW w:w="2138" w:type="dxa"/>
            <w:vAlign w:val="center"/>
            <w:shd w:fill="FFFFFF"/>
          </w:tcPr>
          <w:p w14:paraId="088FB30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0.014</w:t>
            </w:r>
          </w:p>
        </w:tc>
        <w:tc>
          <w:tcPr>
            <w:tcW w:w="2138" w:type="dxa"/>
            <w:vAlign w:val="center"/>
            <w:shd w:fill="FFFFFF"/>
          </w:tcPr>
          <w:p w14:paraId="0BD40EA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r>
          </w:p>
        </w:tc>
      </w:tr>
      <w:tr w:rsidR="00067B1F" w14:paraId="6142E0DA" w14:textId="77777777">
        <w:trPr>
          <w:jc w:val="center"/>
          <w:cantSplit/>
        </w:trPr>
        <w:tc>
          <w:tcPr>
            <w:tcW w:w="2138" w:type="dxa"/>
            <w:vAlign w:val="center"/>
            <w:shd w:fill="FFFFFF"/>
          </w:tcPr>
          <w:p w14:paraId="422D16F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6 / 3 (primary)</w:t>
            </w:r>
          </w:p>
        </w:tc>
        <w:tc>
          <w:tcPr>
            <w:tcW w:w="2138" w:type="dxa"/>
            <w:vAlign w:val="center"/>
            <w:shd w:fill="FFFFFF"/>
          </w:tcPr>
          <w:p w14:paraId="56D75B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3</w:t>
            </w:r>
          </w:p>
        </w:tc>
        <w:tc>
          <w:tcPr>
            <w:tcW w:w="2138" w:type="dxa"/>
            <w:vAlign w:val="center"/>
            <w:shd w:fill="FFFFFF"/>
          </w:tcPr>
          <w:p w14:paraId="1ED745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0.978 / 0.578</w:t>
            </w:r>
          </w:p>
        </w:tc>
        <w:tc>
          <w:tcPr>
            <w:tcW w:w="2138" w:type="dxa"/>
            <w:vAlign w:val="center"/>
            <w:shd w:fill="FFFFFF"/>
          </w:tcPr>
          <w:p w14:paraId="4386FC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0.970 / 0.518</w:t>
            </w:r>
          </w:p>
        </w:tc>
        <w:tc>
          <w:tcPr>
            <w:tcW w:w="2138" w:type="dxa"/>
            <w:vAlign w:val="center"/>
            <w:shd w:fill="FFFFFF"/>
          </w:tcPr>
          <w:p w14:paraId="2C81BF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+0.060 (0.039 to 0.072)</w:t>
            </w:r>
          </w:p>
        </w:tc>
        <w:tc>
          <w:tcPr>
            <w:tcW w:w="2138" w:type="dxa"/>
            <w:vAlign w:val="center"/>
            <w:shd w:fill="FFFFFF"/>
          </w:tcPr>
          <w:p w14:paraId="088FB30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&lt;0.001</w:t>
            </w:r>
          </w:p>
        </w:tc>
        <w:tc>
          <w:tcPr>
            <w:tcW w:w="2138" w:type="dxa"/>
            <w:vAlign w:val="center"/>
            <w:shd w:fill="FFFFFF"/>
          </w:tcPr>
          <w:p w14:paraId="0BD40EA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r>
          </w:p>
        </w:tc>
      </w:tr>
      <w:tr w:rsidR="00067B1F" w14:paraId="6142E0DA" w14:textId="77777777">
        <w:trPr>
          <w:jc w:val="center"/>
          <w:cantSplit/>
        </w:trPr>
        <w:tc>
          <w:tcPr>
            <w:tcW w:w="2138" w:type="dxa"/>
            <w:vAlign w:val="center"/>
            <w:shd w:fill="FFFFFF"/>
          </w:tcPr>
          <w:p w14:paraId="422D16F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6 / 6</w:t>
            </w:r>
          </w:p>
        </w:tc>
        <w:tc>
          <w:tcPr>
            <w:tcW w:w="2138" w:type="dxa"/>
            <w:vAlign w:val="center"/>
            <w:shd w:fill="FFFFFF"/>
          </w:tcPr>
          <w:p w14:paraId="56D75B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2</w:t>
            </w:r>
          </w:p>
        </w:tc>
        <w:tc>
          <w:tcPr>
            <w:tcW w:w="2138" w:type="dxa"/>
            <w:vAlign w:val="center"/>
            <w:shd w:fill="FFFFFF"/>
          </w:tcPr>
          <w:p w14:paraId="1ED745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0.961 / 0.524</w:t>
            </w:r>
          </w:p>
        </w:tc>
        <w:tc>
          <w:tcPr>
            <w:tcW w:w="2138" w:type="dxa"/>
            <w:vAlign w:val="center"/>
            <w:shd w:fill="FFFFFF"/>
          </w:tcPr>
          <w:p w14:paraId="4386FC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0.952 / 0.501</w:t>
            </w:r>
          </w:p>
        </w:tc>
        <w:tc>
          <w:tcPr>
            <w:tcW w:w="2138" w:type="dxa"/>
            <w:vAlign w:val="center"/>
            <w:shd w:fill="FFFFFF"/>
          </w:tcPr>
          <w:p w14:paraId="2C81BF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+0.023 (0.004 to 0.043)</w:t>
            </w:r>
          </w:p>
        </w:tc>
        <w:tc>
          <w:tcPr>
            <w:tcW w:w="2138" w:type="dxa"/>
            <w:vAlign w:val="center"/>
            <w:shd w:fill="FFFFFF"/>
          </w:tcPr>
          <w:p w14:paraId="088FB30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0.018</w:t>
            </w:r>
          </w:p>
        </w:tc>
        <w:tc>
          <w:tcPr>
            <w:tcW w:w="2138" w:type="dxa"/>
            <w:vAlign w:val="center"/>
            <w:shd w:fill="FFFFFF"/>
          </w:tcPr>
          <w:p w14:paraId="0BD40EA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r>
          </w:p>
        </w:tc>
      </w:tr>
    </w:tbl>
    <w:p>
      <w:pPr>
        <w:keepNext w:val="0"/>
        <w:keepLines w:val="0"/>
        <w:widowControl/>
        <w:spacing w:line="480" w:lineRule="auto" w:before="0" w:after="80"/>
        <w:ind w:left="0" w:right="0" w:firstLine="0"/>
      </w:pPr>
      <w:r>
        <w:rPr>
          <w:rFonts w:ascii="Times New Roman" w:hAnsi="Times New Roman" w:eastAsia="Times New Roman" w:cs="Times New Roman"/>
          <w:b w:val="0"/>
          <w:vanish w:val="0"/>
          <w:color w:val="000000"/>
          <w:sz w:val="22"/>
        </w:rPr>
        <w:t>Post hoc analysis. Paired patient-bootstrap (2,000 resamples) on identical GroupKFold OOF scores. Global→local used the parameter-identical module inventory at each patch/stride setting. Local→global values for 3/3, 6/3, and 6/6 match Table S13 PatchFusion rows.</w:t>
      </w:r>
    </w:p>
    <w:p w14:paraId="6D5D2A34" w14:textId="77777777" w:rsidR="006E4139" w:rsidRDefault="00000000">
      <w:pPr>
        <w:keepNext/>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S14. Locked PatchFusion Final-Model Score Distributions on External Cohorts</w:t>
      </w:r>
    </w:p>
    <w:p w14:paraId="2A290DD8" w14:textId="77777777" w:rsidR="006E4139"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Scores are predicted probabilities (sigmoid outputs) from the final full-cohort MIMIC-IV–retrained model after hyperparameter lock under frozen MIMIC-IV weights. “Above locked Youden cutpoint” uses the Youden threshold selected on pooled MIMIC-IV out-of-fold predictions under the locked configuration, with each stay scored only by the model from the fold in which that stay was held out, and applied without recalibration to final full-cohort–retrained MIMIC-IV scores on the external cohort. Hallym flag counts are stay-level, bootstrap uncertainty for discrimination metrics is reported elsewhere. Locked probability thresholds transported with each endpoint-specific final model were τ=0.0241 for ≈12–24-hour mortality, τ=0.150 for 7-day mortality, and τ=0.280 for in-hospital mortality (selected once on pooled MIMIC-IV out-of-fold scores). The same numeric τ is applied to eICU-CRD and Hallym for that endpoint; stratum quantiles below are consistent with these cutpoints and with the flagged counts in the rightmost column.</w:t>
      </w:r>
    </w:p>
    <w:tbl>
      <w:tblPr>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6E4139" w14:paraId="48F0E76B" w14:textId="77777777">
        <w:trPr>
          <w:jc w:val="center"/>
          <w:cantSplit/>
          <w:tblHeader/>
        </w:trPr>
        <w:tc>
          <w:tcPr>
            <w:tcW w:w="2138" w:type="dxa"/>
            <w:vAlign w:val="center"/>
            <w:shd w:fill="E7E7E7"/>
          </w:tcPr>
          <w:p w14:paraId="0404E22D"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Cohort</w:t>
            </w:r>
          </w:p>
        </w:tc>
        <w:tc>
          <w:tcPr>
            <w:tcW w:w="2138" w:type="dxa"/>
            <w:vAlign w:val="center"/>
            <w:shd w:fill="E7E7E7"/>
          </w:tcPr>
          <w:p w14:paraId="4A658F7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Endpoint</w:t>
            </w:r>
          </w:p>
        </w:tc>
        <w:tc>
          <w:tcPr>
            <w:tcW w:w="2138" w:type="dxa"/>
            <w:vAlign w:val="center"/>
            <w:shd w:fill="E7E7E7"/>
          </w:tcPr>
          <w:p w14:paraId="353EC8F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Stratum</w:t>
            </w:r>
          </w:p>
        </w:tc>
        <w:tc>
          <w:tcPr>
            <w:tcW w:w="2138" w:type="dxa"/>
            <w:vAlign w:val="center"/>
            <w:shd w:fill="E7E7E7"/>
          </w:tcPr>
          <w:p w14:paraId="44B1612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N</w:t>
            </w:r>
          </w:p>
        </w:tc>
        <w:tc>
          <w:tcPr>
            <w:tcW w:w="2138" w:type="dxa"/>
            <w:vAlign w:val="center"/>
            <w:shd w:fill="E7E7E7"/>
          </w:tcPr>
          <w:p w14:paraId="63EA28A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Score median (IQR)</w:t>
            </w:r>
          </w:p>
        </w:tc>
        <w:tc>
          <w:tcPr>
            <w:tcW w:w="2138" w:type="dxa"/>
            <w:vAlign w:val="center"/>
            <w:shd w:fill="E7E7E7"/>
          </w:tcPr>
          <w:p w14:paraId="2926940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90th percentile</w:t>
            </w:r>
          </w:p>
        </w:tc>
        <w:tc>
          <w:tcPr>
            <w:tcW w:w="2138" w:type="dxa"/>
            <w:vAlign w:val="center"/>
            <w:shd w:fill="E7E7E7"/>
          </w:tcPr>
          <w:p w14:paraId="480A29C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Above locked Youden cutpoint, n (%)</w:t>
            </w:r>
          </w:p>
        </w:tc>
      </w:tr>
      <w:tr w:rsidR="006E4139" w14:paraId="2550A5BB" w14:textId="77777777">
        <w:trPr>
          <w:jc w:val="center"/>
          <w:cantSplit/>
        </w:trPr>
        <w:tc>
          <w:tcPr>
            <w:tcW w:w="2138" w:type="dxa"/>
            <w:vAlign w:val="center"/>
            <w:shd w:fill="FFFFFF"/>
          </w:tcPr>
          <w:p w14:paraId="5CEADBF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eICU-CRD</w:t>
            </w:r>
          </w:p>
        </w:tc>
        <w:tc>
          <w:tcPr>
            <w:tcW w:w="2138" w:type="dxa"/>
            <w:vAlign w:val="center"/>
            <w:shd w:fill="FFFFFF"/>
          </w:tcPr>
          <w:p w14:paraId="3904B83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 mortality</w:t>
            </w:r>
          </w:p>
        </w:tc>
        <w:tc>
          <w:tcPr>
            <w:tcW w:w="2138" w:type="dxa"/>
            <w:vAlign w:val="center"/>
            <w:shd w:fill="FFFFFF"/>
          </w:tcPr>
          <w:p w14:paraId="051C060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Deaths</w:t>
            </w:r>
          </w:p>
        </w:tc>
        <w:tc>
          <w:tcPr>
            <w:tcW w:w="2138" w:type="dxa"/>
            <w:vAlign w:val="center"/>
            <w:shd w:fill="FFFFFF"/>
          </w:tcPr>
          <w:p w14:paraId="1F1EF6A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5,190</w:t>
            </w:r>
          </w:p>
        </w:tc>
        <w:tc>
          <w:tcPr>
            <w:tcW w:w="2138" w:type="dxa"/>
            <w:vAlign w:val="center"/>
            <w:shd w:fill="FFFFFF"/>
          </w:tcPr>
          <w:p w14:paraId="01EA526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0.38 (0.12–0.65)</w:t>
            </w:r>
          </w:p>
        </w:tc>
        <w:tc>
          <w:tcPr>
            <w:tcW w:w="2138" w:type="dxa"/>
            <w:vAlign w:val="center"/>
            <w:shd w:fill="FFFFFF"/>
          </w:tcPr>
          <w:p w14:paraId="1567B6B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0.84</w:t>
            </w:r>
          </w:p>
        </w:tc>
        <w:tc>
          <w:tcPr>
            <w:tcW w:w="2138" w:type="dxa"/>
            <w:vAlign w:val="center"/>
            <w:shd w:fill="FFFFFF"/>
          </w:tcPr>
          <w:p w14:paraId="46D99C5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3,737 (72.0)</w:t>
            </w:r>
          </w:p>
        </w:tc>
      </w:tr>
      <w:tr w:rsidR="006E4139" w14:paraId="267C0842" w14:textId="77777777">
        <w:trPr>
          <w:jc w:val="center"/>
          <w:cantSplit/>
        </w:trPr>
        <w:tc>
          <w:tcPr>
            <w:tcW w:w="2138" w:type="dxa"/>
            <w:vAlign w:val="center"/>
            <w:shd w:fill="FFFFFF"/>
          </w:tcPr>
          <w:p w14:paraId="21F2B9C6" w14:textId="77777777" w:rsidR="006E4139" w:rsidRDefault="006E4139">
            <w:pPr>
              <w:keepNext w:val="0"/>
              <w:keepLines w:val="0"/>
              <w:widowControl/>
              <w:spacing w:before="0" w:after="0" w:line="480" w:lineRule="auto"/>
              <w:ind w:left="0" w:right="0" w:firstLine="0"/>
              <w:jc w:val="left"/>
            </w:pPr>
          </w:p>
        </w:tc>
        <w:tc>
          <w:tcPr>
            <w:tcW w:w="2138" w:type="dxa"/>
            <w:vAlign w:val="center"/>
            <w:shd w:fill="FFFFFF"/>
          </w:tcPr>
          <w:p w14:paraId="77CD954D" w14:textId="77777777" w:rsidR="006E4139" w:rsidRDefault="006E4139">
            <w:pPr>
              <w:keepNext w:val="0"/>
              <w:keepLines w:val="0"/>
              <w:widowControl/>
              <w:spacing w:before="0" w:after="0" w:line="480" w:lineRule="auto"/>
              <w:ind w:left="0" w:right="0" w:firstLine="0"/>
              <w:jc w:val="center"/>
            </w:pPr>
          </w:p>
        </w:tc>
        <w:tc>
          <w:tcPr>
            <w:tcW w:w="2138" w:type="dxa"/>
            <w:vAlign w:val="center"/>
            <w:shd w:fill="FFFFFF"/>
          </w:tcPr>
          <w:p w14:paraId="24E5A9E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Survivors</w:t>
            </w:r>
          </w:p>
        </w:tc>
        <w:tc>
          <w:tcPr>
            <w:tcW w:w="2138" w:type="dxa"/>
            <w:vAlign w:val="center"/>
            <w:shd w:fill="FFFFFF"/>
          </w:tcPr>
          <w:p w14:paraId="19B3D13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112,831</w:t>
            </w:r>
          </w:p>
        </w:tc>
        <w:tc>
          <w:tcPr>
            <w:tcW w:w="2138" w:type="dxa"/>
            <w:vAlign w:val="center"/>
            <w:shd w:fill="FFFFFF"/>
          </w:tcPr>
          <w:p w14:paraId="226E241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0.05 (0.02–0.10)</w:t>
            </w:r>
          </w:p>
        </w:tc>
        <w:tc>
          <w:tcPr>
            <w:tcW w:w="2138" w:type="dxa"/>
            <w:vAlign w:val="center"/>
            <w:shd w:fill="FFFFFF"/>
          </w:tcPr>
          <w:p w14:paraId="766A680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0.18</w:t>
            </w:r>
          </w:p>
        </w:tc>
        <w:tc>
          <w:tcPr>
            <w:tcW w:w="2138" w:type="dxa"/>
            <w:vAlign w:val="center"/>
            <w:shd w:fill="FFFFFF"/>
          </w:tcPr>
          <w:p w14:paraId="6B25DC2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18,053 (16.0)</w:t>
            </w:r>
          </w:p>
        </w:tc>
      </w:tr>
      <w:tr w:rsidR="006E4139" w14:paraId="47B3C7D1" w14:textId="77777777">
        <w:trPr>
          <w:jc w:val="center"/>
          <w:cantSplit/>
        </w:trPr>
        <w:tc>
          <w:tcPr>
            <w:tcW w:w="2138" w:type="dxa"/>
            <w:vAlign w:val="center"/>
            <w:shd w:fill="FFFFFF"/>
          </w:tcPr>
          <w:p w14:paraId="7F558D16" w14:textId="77777777" w:rsidR="006E4139" w:rsidRDefault="006E4139">
            <w:pPr>
              <w:keepNext w:val="0"/>
              <w:keepLines w:val="0"/>
              <w:widowControl/>
              <w:spacing w:before="0" w:after="0" w:line="480" w:lineRule="auto"/>
              <w:ind w:left="0" w:right="0" w:firstLine="0"/>
              <w:jc w:val="left"/>
            </w:pPr>
          </w:p>
        </w:tc>
        <w:tc>
          <w:tcPr>
            <w:tcW w:w="2138" w:type="dxa"/>
            <w:vAlign w:val="center"/>
            <w:shd w:fill="FFFFFF"/>
          </w:tcPr>
          <w:p w14:paraId="10127F47" w14:textId="77777777" w:rsidR="006E4139" w:rsidRDefault="006E4139">
            <w:pPr>
              <w:keepNext w:val="0"/>
              <w:keepLines w:val="0"/>
              <w:widowControl/>
              <w:spacing w:before="0" w:after="0" w:line="480" w:lineRule="auto"/>
              <w:ind w:left="0" w:right="0" w:firstLine="0"/>
              <w:jc w:val="center"/>
            </w:pPr>
          </w:p>
        </w:tc>
        <w:tc>
          <w:tcPr>
            <w:tcW w:w="2138" w:type="dxa"/>
            <w:vAlign w:val="center"/>
            <w:shd w:fill="FFFFFF"/>
          </w:tcPr>
          <w:p w14:paraId="30A98B0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All stays</w:t>
            </w:r>
          </w:p>
        </w:tc>
        <w:tc>
          <w:tcPr>
            <w:tcW w:w="2138" w:type="dxa"/>
            <w:vAlign w:val="center"/>
            <w:shd w:fill="FFFFFF"/>
          </w:tcPr>
          <w:p w14:paraId="73485DC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118,021</w:t>
            </w:r>
          </w:p>
        </w:tc>
        <w:tc>
          <w:tcPr>
            <w:tcW w:w="2138" w:type="dxa"/>
            <w:vAlign w:val="center"/>
            <w:shd w:fill="FFFFFF"/>
          </w:tcPr>
          <w:p w14:paraId="3A42258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0.06 (0.02–0.12)</w:t>
            </w:r>
          </w:p>
        </w:tc>
        <w:tc>
          <w:tcPr>
            <w:tcW w:w="2138" w:type="dxa"/>
            <w:vAlign w:val="center"/>
            <w:shd w:fill="FFFFFF"/>
          </w:tcPr>
          <w:p w14:paraId="16A7B47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0.25</w:t>
            </w:r>
          </w:p>
        </w:tc>
        <w:tc>
          <w:tcPr>
            <w:tcW w:w="2138" w:type="dxa"/>
            <w:vAlign w:val="center"/>
            <w:shd w:fill="FFFFFF"/>
          </w:tcPr>
          <w:p w14:paraId="3AC2368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21,790 (18.5)</w:t>
            </w:r>
          </w:p>
        </w:tc>
      </w:tr>
      <w:tr w:rsidR="006E4139" w14:paraId="1B6FF98A" w14:textId="77777777">
        <w:trPr>
          <w:jc w:val="center"/>
          <w:cantSplit/>
        </w:trPr>
        <w:tc>
          <w:tcPr>
            <w:tcW w:w="2138" w:type="dxa"/>
            <w:vAlign w:val="center"/>
            <w:shd w:fill="FFFFFF"/>
          </w:tcPr>
          <w:p w14:paraId="57057BC9"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Hallym</w:t>
            </w:r>
          </w:p>
        </w:tc>
        <w:tc>
          <w:tcPr>
            <w:tcW w:w="2138" w:type="dxa"/>
            <w:vAlign w:val="center"/>
            <w:shd w:fill="FFFFFF"/>
          </w:tcPr>
          <w:p w14:paraId="086AA63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In-hospital mortality</w:t>
            </w:r>
          </w:p>
        </w:tc>
        <w:tc>
          <w:tcPr>
            <w:tcW w:w="2138" w:type="dxa"/>
            <w:vAlign w:val="center"/>
            <w:shd w:fill="FFFFFF"/>
          </w:tcPr>
          <w:p w14:paraId="7E77376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Deaths</w:t>
            </w:r>
          </w:p>
        </w:tc>
        <w:tc>
          <w:tcPr>
            <w:tcW w:w="2138" w:type="dxa"/>
            <w:vAlign w:val="center"/>
            <w:shd w:fill="FFFFFF"/>
          </w:tcPr>
          <w:p w14:paraId="3E96AB0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328</w:t>
            </w:r>
          </w:p>
        </w:tc>
        <w:tc>
          <w:tcPr>
            <w:tcW w:w="2138" w:type="dxa"/>
            <w:vAlign w:val="center"/>
            <w:shd w:fill="FFFFFF"/>
          </w:tcPr>
          <w:p w14:paraId="352B7E8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0.48 (0.32–0.76)</w:t>
            </w:r>
          </w:p>
        </w:tc>
        <w:tc>
          <w:tcPr>
            <w:tcW w:w="2138" w:type="dxa"/>
            <w:vAlign w:val="center"/>
            <w:shd w:fill="FFFFFF"/>
          </w:tcPr>
          <w:p w14:paraId="60A13B0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0.84</w:t>
            </w:r>
          </w:p>
        </w:tc>
        <w:tc>
          <w:tcPr>
            <w:tcW w:w="2138" w:type="dxa"/>
            <w:vAlign w:val="center"/>
            <w:shd w:fill="FFFFFF"/>
          </w:tcPr>
          <w:p w14:paraId="246395A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289 (88.1)</w:t>
            </w:r>
          </w:p>
        </w:tc>
      </w:tr>
      <w:tr w:rsidR="006E4139" w14:paraId="0725FD6F" w14:textId="77777777">
        <w:trPr>
          <w:jc w:val="center"/>
          <w:cantSplit/>
        </w:trPr>
        <w:tc>
          <w:tcPr>
            <w:tcW w:w="2138" w:type="dxa"/>
            <w:vAlign w:val="center"/>
            <w:shd w:fill="FFFFFF"/>
          </w:tcPr>
          <w:p w14:paraId="31C4D184" w14:textId="77777777" w:rsidR="006E4139" w:rsidRDefault="006E4139">
            <w:pPr>
              <w:keepNext w:val="0"/>
              <w:keepLines w:val="0"/>
              <w:widowControl/>
              <w:spacing w:before="0" w:after="0" w:line="480" w:lineRule="auto"/>
              <w:ind w:left="0" w:right="0" w:firstLine="0"/>
              <w:jc w:val="left"/>
            </w:pPr>
          </w:p>
        </w:tc>
        <w:tc>
          <w:tcPr>
            <w:tcW w:w="2138" w:type="dxa"/>
            <w:vAlign w:val="center"/>
            <w:shd w:fill="FFFFFF"/>
          </w:tcPr>
          <w:p w14:paraId="66A67923" w14:textId="77777777" w:rsidR="006E4139" w:rsidRDefault="006E4139">
            <w:pPr>
              <w:keepNext w:val="0"/>
              <w:keepLines w:val="0"/>
              <w:widowControl/>
              <w:spacing w:before="0" w:after="0" w:line="480" w:lineRule="auto"/>
              <w:ind w:left="0" w:right="0" w:firstLine="0"/>
              <w:jc w:val="center"/>
            </w:pPr>
          </w:p>
        </w:tc>
        <w:tc>
          <w:tcPr>
            <w:tcW w:w="2138" w:type="dxa"/>
            <w:vAlign w:val="center"/>
            <w:shd w:fill="FFFFFF"/>
          </w:tcPr>
          <w:p w14:paraId="1B8218C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Survivors</w:t>
            </w:r>
          </w:p>
        </w:tc>
        <w:tc>
          <w:tcPr>
            <w:tcW w:w="2138" w:type="dxa"/>
            <w:vAlign w:val="center"/>
            <w:shd w:fill="FFFFFF"/>
          </w:tcPr>
          <w:p w14:paraId="68FDFED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772</w:t>
            </w:r>
          </w:p>
        </w:tc>
        <w:tc>
          <w:tcPr>
            <w:tcW w:w="2138" w:type="dxa"/>
            <w:vAlign w:val="center"/>
            <w:shd w:fill="FFFFFF"/>
          </w:tcPr>
          <w:p w14:paraId="732712F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0.23 (0.12–0.41)</w:t>
            </w:r>
          </w:p>
        </w:tc>
        <w:tc>
          <w:tcPr>
            <w:tcW w:w="2138" w:type="dxa"/>
            <w:vAlign w:val="center"/>
            <w:shd w:fill="FFFFFF"/>
          </w:tcPr>
          <w:p w14:paraId="3D0F6DC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0.52</w:t>
            </w:r>
          </w:p>
        </w:tc>
        <w:tc>
          <w:tcPr>
            <w:tcW w:w="2138" w:type="dxa"/>
            <w:vAlign w:val="center"/>
            <w:shd w:fill="FFFFFF"/>
          </w:tcPr>
          <w:p w14:paraId="13F3B2F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332 (43.0)</w:t>
            </w:r>
          </w:p>
        </w:tc>
      </w:tr>
      <w:tr w:rsidR="006E4139" w14:paraId="199A373B" w14:textId="77777777">
        <w:trPr>
          <w:jc w:val="center"/>
          <w:cantSplit/>
        </w:trPr>
        <w:tc>
          <w:tcPr>
            <w:tcW w:w="2138" w:type="dxa"/>
            <w:vAlign w:val="center"/>
            <w:shd w:fill="FFFFFF"/>
          </w:tcPr>
          <w:p w14:paraId="57785248" w14:textId="77777777" w:rsidR="006E4139" w:rsidRDefault="006E4139">
            <w:pPr>
              <w:keepNext w:val="0"/>
              <w:keepLines w:val="0"/>
              <w:widowControl/>
              <w:spacing w:before="0" w:after="0" w:line="480" w:lineRule="auto"/>
              <w:ind w:left="0" w:right="0" w:firstLine="0"/>
              <w:jc w:val="left"/>
            </w:pPr>
          </w:p>
        </w:tc>
        <w:tc>
          <w:tcPr>
            <w:tcW w:w="2138" w:type="dxa"/>
            <w:vAlign w:val="center"/>
            <w:shd w:fill="FFFFFF"/>
          </w:tcPr>
          <w:p w14:paraId="3DF96E85" w14:textId="77777777" w:rsidR="006E4139" w:rsidRDefault="006E4139">
            <w:pPr>
              <w:keepNext w:val="0"/>
              <w:keepLines w:val="0"/>
              <w:widowControl/>
              <w:spacing w:before="0" w:after="0" w:line="480" w:lineRule="auto"/>
              <w:ind w:left="0" w:right="0" w:firstLine="0"/>
              <w:jc w:val="center"/>
            </w:pPr>
          </w:p>
        </w:tc>
        <w:tc>
          <w:tcPr>
            <w:tcW w:w="2138" w:type="dxa"/>
            <w:vAlign w:val="center"/>
            <w:shd w:fill="FFFFFF"/>
          </w:tcPr>
          <w:p w14:paraId="2511C06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All stays</w:t>
            </w:r>
          </w:p>
        </w:tc>
        <w:tc>
          <w:tcPr>
            <w:tcW w:w="2138" w:type="dxa"/>
            <w:vAlign w:val="center"/>
            <w:shd w:fill="FFFFFF"/>
          </w:tcPr>
          <w:p w14:paraId="350F125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1,100</w:t>
            </w:r>
          </w:p>
        </w:tc>
        <w:tc>
          <w:tcPr>
            <w:tcW w:w="2138" w:type="dxa"/>
            <w:vAlign w:val="center"/>
            <w:shd w:fill="FFFFFF"/>
          </w:tcPr>
          <w:p w14:paraId="1E3ECB0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0.30 (0.17–0.49)</w:t>
            </w:r>
          </w:p>
        </w:tc>
        <w:tc>
          <w:tcPr>
            <w:tcW w:w="2138" w:type="dxa"/>
            <w:vAlign w:val="center"/>
            <w:shd w:fill="FFFFFF"/>
          </w:tcPr>
          <w:p w14:paraId="69FE987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0.70</w:t>
            </w:r>
          </w:p>
        </w:tc>
        <w:tc>
          <w:tcPr>
            <w:tcW w:w="2138" w:type="dxa"/>
            <w:vAlign w:val="center"/>
            <w:shd w:fill="FFFFFF"/>
          </w:tcPr>
          <w:p w14:paraId="672BE26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621 (56.5)</w:t>
            </w:r>
          </w:p>
        </w:tc>
      </w:tr>
      <w:tr w:rsidR="006E4139" w14:paraId="2DCB615C" w14:textId="77777777">
        <w:trPr>
          <w:jc w:val="center"/>
          <w:cantSplit/>
        </w:trPr>
        <w:tc>
          <w:tcPr>
            <w:tcW w:w="2138" w:type="dxa"/>
            <w:vAlign w:val="center"/>
            <w:shd w:fill="FFFFFF"/>
          </w:tcPr>
          <w:p w14:paraId="4C459EC9"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lastRenderedPageBreak/>
              <w:t>Hallym</w:t>
            </w:r>
          </w:p>
        </w:tc>
        <w:tc>
          <w:tcPr>
            <w:tcW w:w="2138" w:type="dxa"/>
            <w:vAlign w:val="center"/>
            <w:shd w:fill="FFFFFF"/>
          </w:tcPr>
          <w:p w14:paraId="25E9626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7-day mortality</w:t>
            </w:r>
          </w:p>
        </w:tc>
        <w:tc>
          <w:tcPr>
            <w:tcW w:w="2138" w:type="dxa"/>
            <w:vAlign w:val="center"/>
            <w:shd w:fill="FFFFFF"/>
          </w:tcPr>
          <w:p w14:paraId="0570098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Deaths</w:t>
            </w:r>
          </w:p>
        </w:tc>
        <w:tc>
          <w:tcPr>
            <w:tcW w:w="2138" w:type="dxa"/>
            <w:vAlign w:val="center"/>
            <w:shd w:fill="FFFFFF"/>
          </w:tcPr>
          <w:p w14:paraId="3629E47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65</w:t>
            </w:r>
          </w:p>
        </w:tc>
        <w:tc>
          <w:tcPr>
            <w:tcW w:w="2138" w:type="dxa"/>
            <w:vAlign w:val="center"/>
            <w:shd w:fill="FFFFFF"/>
          </w:tcPr>
          <w:p w14:paraId="002EAF6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0.29 (0.17–0.33)</w:t>
            </w:r>
          </w:p>
        </w:tc>
        <w:tc>
          <w:tcPr>
            <w:tcW w:w="2138" w:type="dxa"/>
            <w:vAlign w:val="center"/>
            <w:shd w:fill="FFFFFF"/>
          </w:tcPr>
          <w:p w14:paraId="1A0CCEA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0.34</w:t>
            </w:r>
          </w:p>
        </w:tc>
        <w:tc>
          <w:tcPr>
            <w:tcW w:w="2138" w:type="dxa"/>
            <w:vAlign w:val="center"/>
            <w:shd w:fill="FFFFFF"/>
          </w:tcPr>
          <w:p w14:paraId="78609F4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59 (90.8)</w:t>
            </w:r>
          </w:p>
        </w:tc>
      </w:tr>
      <w:tr w:rsidR="006E4139" w14:paraId="47EA64E4" w14:textId="77777777">
        <w:trPr>
          <w:jc w:val="center"/>
          <w:cantSplit/>
        </w:trPr>
        <w:tc>
          <w:tcPr>
            <w:tcW w:w="2138" w:type="dxa"/>
            <w:vAlign w:val="center"/>
            <w:shd w:fill="FFFFFF"/>
          </w:tcPr>
          <w:p w14:paraId="6E62C7FB" w14:textId="77777777" w:rsidR="006E4139" w:rsidRDefault="006E4139">
            <w:pPr>
              <w:keepNext w:val="0"/>
              <w:keepLines w:val="0"/>
              <w:widowControl/>
              <w:spacing w:before="0" w:after="0" w:line="480" w:lineRule="auto"/>
              <w:ind w:left="0" w:right="0" w:firstLine="0"/>
              <w:jc w:val="left"/>
            </w:pPr>
          </w:p>
        </w:tc>
        <w:tc>
          <w:tcPr>
            <w:tcW w:w="2138" w:type="dxa"/>
            <w:vAlign w:val="center"/>
            <w:shd w:fill="FFFFFF"/>
          </w:tcPr>
          <w:p w14:paraId="5E9EE5E9" w14:textId="77777777" w:rsidR="006E4139" w:rsidRDefault="006E4139">
            <w:pPr>
              <w:keepNext w:val="0"/>
              <w:keepLines w:val="0"/>
              <w:widowControl/>
              <w:spacing w:before="0" w:after="0" w:line="480" w:lineRule="auto"/>
              <w:ind w:left="0" w:right="0" w:firstLine="0"/>
              <w:jc w:val="center"/>
            </w:pPr>
          </w:p>
        </w:tc>
        <w:tc>
          <w:tcPr>
            <w:tcW w:w="2138" w:type="dxa"/>
            <w:vAlign w:val="center"/>
            <w:shd w:fill="FFFFFF"/>
          </w:tcPr>
          <w:p w14:paraId="10E713E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Survivors</w:t>
            </w:r>
          </w:p>
        </w:tc>
        <w:tc>
          <w:tcPr>
            <w:tcW w:w="2138" w:type="dxa"/>
            <w:vAlign w:val="center"/>
            <w:shd w:fill="FFFFFF"/>
          </w:tcPr>
          <w:p w14:paraId="0BF3733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1,035</w:t>
            </w:r>
          </w:p>
        </w:tc>
        <w:tc>
          <w:tcPr>
            <w:tcW w:w="2138" w:type="dxa"/>
            <w:vAlign w:val="center"/>
            <w:shd w:fill="FFFFFF"/>
          </w:tcPr>
          <w:p w14:paraId="1597C6D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0.09 (0.04–0.18)</w:t>
            </w:r>
          </w:p>
        </w:tc>
        <w:tc>
          <w:tcPr>
            <w:tcW w:w="2138" w:type="dxa"/>
            <w:vAlign w:val="center"/>
            <w:shd w:fill="FFFFFF"/>
          </w:tcPr>
          <w:p w14:paraId="7AB4195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0.28</w:t>
            </w:r>
          </w:p>
        </w:tc>
        <w:tc>
          <w:tcPr>
            <w:tcW w:w="2138" w:type="dxa"/>
            <w:vAlign w:val="center"/>
            <w:shd w:fill="FFFFFF"/>
          </w:tcPr>
          <w:p w14:paraId="6A3D2CB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330 (31.9)</w:t>
            </w:r>
          </w:p>
        </w:tc>
      </w:tr>
      <w:tr w:rsidR="006E4139" w14:paraId="06C20E2F" w14:textId="77777777">
        <w:trPr>
          <w:jc w:val="center"/>
          <w:cantSplit/>
        </w:trPr>
        <w:tc>
          <w:tcPr>
            <w:tcW w:w="2138" w:type="dxa"/>
            <w:vAlign w:val="center"/>
            <w:shd w:fill="FFFFFF"/>
          </w:tcPr>
          <w:p w14:paraId="062D5FF0" w14:textId="77777777" w:rsidR="006E4139" w:rsidRDefault="006E4139">
            <w:pPr>
              <w:keepNext w:val="0"/>
              <w:keepLines w:val="0"/>
              <w:widowControl/>
              <w:spacing w:before="0" w:after="0" w:line="480" w:lineRule="auto"/>
              <w:ind w:left="0" w:right="0" w:firstLine="0"/>
              <w:jc w:val="left"/>
            </w:pPr>
          </w:p>
        </w:tc>
        <w:tc>
          <w:tcPr>
            <w:tcW w:w="2138" w:type="dxa"/>
            <w:vAlign w:val="center"/>
            <w:shd w:fill="FFFFFF"/>
          </w:tcPr>
          <w:p w14:paraId="15C63D40" w14:textId="77777777" w:rsidR="006E4139" w:rsidRDefault="006E4139">
            <w:pPr>
              <w:keepNext w:val="0"/>
              <w:keepLines w:val="0"/>
              <w:widowControl/>
              <w:spacing w:before="0" w:after="0" w:line="480" w:lineRule="auto"/>
              <w:ind w:left="0" w:right="0" w:firstLine="0"/>
              <w:jc w:val="center"/>
            </w:pPr>
          </w:p>
        </w:tc>
        <w:tc>
          <w:tcPr>
            <w:tcW w:w="2138" w:type="dxa"/>
            <w:vAlign w:val="center"/>
            <w:shd w:fill="FFFFFF"/>
          </w:tcPr>
          <w:p w14:paraId="7128898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All stays</w:t>
            </w:r>
          </w:p>
        </w:tc>
        <w:tc>
          <w:tcPr>
            <w:tcW w:w="2138" w:type="dxa"/>
            <w:vAlign w:val="center"/>
            <w:shd w:fill="FFFFFF"/>
          </w:tcPr>
          <w:p w14:paraId="3B30F29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1,100</w:t>
            </w:r>
          </w:p>
        </w:tc>
        <w:tc>
          <w:tcPr>
            <w:tcW w:w="2138" w:type="dxa"/>
            <w:vAlign w:val="center"/>
            <w:shd w:fill="FFFFFF"/>
          </w:tcPr>
          <w:p w14:paraId="5FD81A2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0.09 (0.04–0.19)</w:t>
            </w:r>
          </w:p>
        </w:tc>
        <w:tc>
          <w:tcPr>
            <w:tcW w:w="2138" w:type="dxa"/>
            <w:vAlign w:val="center"/>
            <w:shd w:fill="FFFFFF"/>
          </w:tcPr>
          <w:p w14:paraId="0070D91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0.30</w:t>
            </w:r>
          </w:p>
        </w:tc>
        <w:tc>
          <w:tcPr>
            <w:tcW w:w="2138" w:type="dxa"/>
            <w:vAlign w:val="center"/>
            <w:shd w:fill="FFFFFF"/>
          </w:tcPr>
          <w:p w14:paraId="0445D9D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389 (35.4)</w:t>
            </w:r>
          </w:p>
        </w:tc>
      </w:tr>
    </w:tbl>
    <w:p w14:paraId="5DA6C53A" w14:textId="77777777" w:rsidR="00092AD1" w:rsidRPr="00A729E3" w:rsidRDefault="00000000">
      <w:pPr>
        <w:keepNext/>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Table S8. Influenza Subcohort Performance</w:t>
      </w:r>
    </w:p>
    <w:tbl>
      <w:tblPr>
        <w:tblStyle w:val="TableNormal"/>
        <w:tblW w:w="15106" w:type="dxa"/>
        <w:jc w:val="center"/>
        <w:tblLook w:val="01E0" w:firstRow="1" w:lastRow="1" w:firstColumn="1" w:lastColumn="1" w:noHBand="0" w:noVBand="0"/>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5529"/>
        <w:gridCol w:w="4717"/>
        <w:gridCol w:w="4720"/>
      </w:tblGrid>
      <w:tr w:rsidR="00092AD1" w:rsidRPr="00A729E3" w14:paraId="45B1FD46" w14:textId="77777777">
        <w:trPr>
          <w:jc w:val="center"/>
          <w:cantSplit/>
          <w:tblHeader/>
        </w:trPr>
        <w:tc>
          <w:tcPr>
            <w:tcW w:w="5529" w:type="dxa"/>
            <w:vAlign w:val="center"/>
            <w:shd w:fill="E7E7E7"/>
          </w:tcPr>
          <w:p w14:paraId="47B0F1FA"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Model</w:t>
            </w:r>
          </w:p>
        </w:tc>
        <w:tc>
          <w:tcPr>
            <w:tcW w:w="4717" w:type="dxa"/>
            <w:vAlign w:val="center"/>
            <w:shd w:fill="E7E7E7"/>
          </w:tcPr>
          <w:p w14:paraId="6A3FE8D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w:t>
            </w:r>
          </w:p>
        </w:tc>
        <w:tc>
          <w:tcPr>
            <w:tcW w:w="4720" w:type="dxa"/>
            <w:vAlign w:val="center"/>
            <w:shd w:fill="E7E7E7"/>
          </w:tcPr>
          <w:p w14:paraId="30D3BAC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w:t>
            </w:r>
          </w:p>
        </w:tc>
      </w:tr>
      <w:tr w:rsidR="00092AD1" w:rsidRPr="00A729E3" w14:paraId="6809D4C3" w14:textId="77777777">
        <w:trPr>
          <w:jc w:val="center"/>
          <w:cantSplit/>
        </w:trPr>
        <w:tc>
          <w:tcPr>
            <w:tcW w:w="5529" w:type="dxa"/>
            <w:vAlign w:val="center"/>
            <w:shd w:fill="FFFFFF"/>
          </w:tcPr>
          <w:p w14:paraId="584E461D"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LSTM</w:t>
            </w:r>
          </w:p>
        </w:tc>
        <w:tc>
          <w:tcPr>
            <w:tcW w:w="4717" w:type="dxa"/>
            <w:vAlign w:val="center"/>
            <w:shd w:fill="FFFFFF"/>
          </w:tcPr>
          <w:p w14:paraId="4DE49EA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0.785 ± 0.012</w:t>
            </w:r>
          </w:p>
        </w:tc>
        <w:tc>
          <w:tcPr>
            <w:tcW w:w="4720" w:type="dxa"/>
            <w:vAlign w:val="center"/>
            <w:shd w:fill="FFFFFF"/>
          </w:tcPr>
          <w:p w14:paraId="56A7378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0.518 ± 0.018</w:t>
            </w:r>
          </w:p>
        </w:tc>
      </w:tr>
      <w:tr w:rsidR="00092AD1" w:rsidRPr="00A729E3" w14:paraId="4C776E11" w14:textId="77777777">
        <w:trPr>
          <w:jc w:val="center"/>
          <w:cantSplit/>
        </w:trPr>
        <w:tc>
          <w:tcPr>
            <w:tcW w:w="5529" w:type="dxa"/>
            <w:vAlign w:val="center"/>
            <w:shd w:fill="FFFFFF"/>
          </w:tcPr>
          <w:p w14:paraId="5C3428CF"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Transformer</w:t>
            </w:r>
          </w:p>
        </w:tc>
        <w:tc>
          <w:tcPr>
            <w:tcW w:w="4717" w:type="dxa"/>
            <w:vAlign w:val="center"/>
            <w:shd w:fill="FFFFFF"/>
          </w:tcPr>
          <w:p w14:paraId="580E839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0.762 ± 0.011</w:t>
            </w:r>
          </w:p>
        </w:tc>
        <w:tc>
          <w:tcPr>
            <w:tcW w:w="4720" w:type="dxa"/>
            <w:vAlign w:val="center"/>
            <w:shd w:fill="FFFFFF"/>
          </w:tcPr>
          <w:p w14:paraId="3FDAEB0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0.490 ± 0.016</w:t>
            </w:r>
          </w:p>
        </w:tc>
      </w:tr>
      <w:tr w:rsidR="00092AD1" w:rsidRPr="00A729E3" w14:paraId="27073313" w14:textId="77777777">
        <w:trPr>
          <w:jc w:val="center"/>
          <w:cantSplit/>
        </w:trPr>
        <w:tc>
          <w:tcPr>
            <w:tcW w:w="5529" w:type="dxa"/>
            <w:vAlign w:val="center"/>
            <w:shd w:fill="FFFFFF"/>
          </w:tcPr>
          <w:p w14:paraId="1CC66C0D"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TBAL</w:t>
            </w:r>
          </w:p>
        </w:tc>
        <w:tc>
          <w:tcPr>
            <w:tcW w:w="4717" w:type="dxa"/>
            <w:vAlign w:val="center"/>
            <w:shd w:fill="FFFFFF"/>
          </w:tcPr>
          <w:p w14:paraId="032BFB7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0.801 ± 0.010</w:t>
            </w:r>
          </w:p>
        </w:tc>
        <w:tc>
          <w:tcPr>
            <w:tcW w:w="4720" w:type="dxa"/>
            <w:vAlign w:val="center"/>
            <w:shd w:fill="FFFFFF"/>
          </w:tcPr>
          <w:p w14:paraId="495A449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0.531 ± 0.017</w:t>
            </w:r>
          </w:p>
        </w:tc>
      </w:tr>
      <w:tr w:rsidR="00092AD1" w:rsidRPr="00A729E3" w14:paraId="4639B187" w14:textId="77777777">
        <w:trPr>
          <w:jc w:val="center"/>
          <w:cantSplit/>
        </w:trPr>
        <w:tc>
          <w:tcPr>
            <w:tcW w:w="5529" w:type="dxa"/>
            <w:vAlign w:val="center"/>
            <w:shd w:fill="FFFFFF"/>
          </w:tcPr>
          <w:p w14:paraId="5A3F29EE"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PatchFusion</w:t>
            </w:r>
          </w:p>
        </w:tc>
        <w:tc>
          <w:tcPr>
            <w:tcW w:w="4717" w:type="dxa"/>
            <w:vAlign w:val="center"/>
            <w:shd w:fill="FFFFFF"/>
          </w:tcPr>
          <w:p w14:paraId="44387AF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0.864 ± 0.009</w:t>
            </w:r>
          </w:p>
        </w:tc>
        <w:tc>
          <w:tcPr>
            <w:tcW w:w="4720" w:type="dxa"/>
            <w:vAlign w:val="center"/>
            <w:shd w:fill="FFFFFF"/>
          </w:tcPr>
          <w:p w14:paraId="45D2E22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0.610 ± 0.014</w:t>
            </w:r>
          </w:p>
        </w:tc>
      </w:tr>
    </w:tbl>
    <w:p w14:paraId="2E5C61F5" w14:textId="77777777" w:rsidR="00092AD1" w:rsidRPr="00A729E3" w:rsidRDefault="00000000">
      <w:pPr>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AUROC and AUPRC values are reported on a 0–1 scale as mean ± sample SD across five independently trained seeds, with one test evaluation per seed from its validation-selected checkpoint.</w:t>
      </w:r>
    </w:p>
    <w:p w14:paraId="2926CCA5" w14:textId="77777777" w:rsidR="00092AD1" w:rsidRPr="00A729E3" w:rsidRDefault="00092AD1">
      <w:pPr>
        <w:widowControl/>
        <w:spacing w:after="120" w:line="269" w:lineRule="auto"/>
        <w:rPr>
          <w:rFonts w:cs="Times New Roman"/>
        </w:rPr>
        <w:sectPr w:rsidR="00092AD1" w:rsidRPr="00A729E3">
          <w:footerReference w:type="default" r:id="rId16"/>
          <w:pgSz w:w="16838" w:h="11906" w:orient="landscape"/>
          <w:pgMar w:top="936" w:right="936" w:bottom="936" w:left="936" w:header="360" w:footer="360" w:gutter="0"/>
          <w:cols w:space="720" w:num="1"/>
        </w:sectPr>
      </w:pPr>
    </w:p>
    <w:p w14:paraId="5085AB36" w14:textId="77777777" w:rsidR="00092AD1" w:rsidRPr="00A729E3" w:rsidRDefault="00000000">
      <w:pPr>
        <w:keepNext/>
        <w:keepLines w:val="0"/>
        <w:widowControl/>
        <w:tabs>
          <w:tab w:val="left" w:pos="1602"/>
        </w:tabs>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lastRenderedPageBreak/>
        <w:t>Table S9. MIMIC-IV Model Input Variables Applied to the Hallym Cohort (Intersection Used, Unavailable Features and Their Temporal Deltas Masked)</w:t>
      </w:r>
    </w:p>
    <w:p w14:paraId="33060538"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Availability refers to base channels under the locked 66-d tensor (Table S4b). Unavailable base channels: value=0, delta=0, raw mask=0 (no separate delta mask).</w:t>
      </w:r>
    </w:p>
    <w:tbl>
      <w:tblPr>
        <w:tblStyle w:val="a7"/>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559"/>
        <w:gridCol w:w="5756"/>
        <w:gridCol w:w="2238"/>
        <w:gridCol w:w="2238"/>
        <w:gridCol w:w="2175"/>
      </w:tblGrid>
      <w:tr w:rsidR="0081392D" w14:paraId="3F6A1C81" w14:textId="77777777">
        <w:trPr>
          <w:jc w:val="center"/>
          <w:cantSplit/>
          <w:tblHeader/>
        </w:trPr>
        <w:tc>
          <w:tcPr>
            <w:tcW w:w="2559" w:type="dxa"/>
            <w:vAlign w:val="center"/>
            <w:shd w:fill="E7E7E7"/>
          </w:tcPr>
          <w:p w14:paraId="0902FD94"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Feature</w:t>
            </w:r>
          </w:p>
        </w:tc>
        <w:tc>
          <w:tcPr>
            <w:tcW w:w="5756" w:type="dxa"/>
            <w:vAlign w:val="center"/>
            <w:shd w:fill="E7E7E7"/>
          </w:tcPr>
          <w:p w14:paraId="52C6CE2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Description</w:t>
            </w:r>
          </w:p>
        </w:tc>
        <w:tc>
          <w:tcPr>
            <w:tcW w:w="2238" w:type="dxa"/>
            <w:vAlign w:val="center"/>
            <w:shd w:fill="E7E7E7"/>
          </w:tcPr>
          <w:p w14:paraId="2FDEF77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Type</w:t>
            </w:r>
          </w:p>
        </w:tc>
        <w:tc>
          <w:tcPr>
            <w:tcW w:w="2238" w:type="dxa"/>
            <w:vAlign w:val="center"/>
            <w:shd w:fill="E7E7E7"/>
          </w:tcPr>
          <w:p w14:paraId="17C89FD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Unit</w:t>
            </w:r>
          </w:p>
        </w:tc>
        <w:tc>
          <w:tcPr>
            <w:tcW w:w="2175" w:type="dxa"/>
            <w:vAlign w:val="center"/>
            <w:shd w:fill="E7E7E7"/>
          </w:tcPr>
          <w:p w14:paraId="06A9E95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Hallym availability</w:t>
            </w:r>
          </w:p>
        </w:tc>
      </w:tr>
      <w:tr w:rsidR="0081392D" w14:paraId="5F632C96" w14:textId="77777777">
        <w:trPr>
          <w:jc w:val="center"/>
          <w:cantSplit/>
        </w:trPr>
        <w:tc>
          <w:tcPr>
            <w:tcW w:w="2559" w:type="dxa"/>
            <w:vAlign w:val="center"/>
            <w:shd w:fill="FFFFFF"/>
          </w:tcPr>
          <w:p w14:paraId="64D44F89"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Respiratory rate</w:t>
            </w:r>
          </w:p>
        </w:tc>
        <w:tc>
          <w:tcPr>
            <w:tcW w:w="5756" w:type="dxa"/>
            <w:vAlign w:val="center"/>
            <w:shd w:fill="FFFFFF"/>
          </w:tcPr>
          <w:p w14:paraId="3FFC305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Respiratory rate</w:t>
            </w:r>
          </w:p>
        </w:tc>
        <w:tc>
          <w:tcPr>
            <w:tcW w:w="2238" w:type="dxa"/>
            <w:vAlign w:val="center"/>
            <w:shd w:fill="FFFFFF"/>
          </w:tcPr>
          <w:p w14:paraId="48D7067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7C20F2E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breaths/min</w:t>
            </w:r>
          </w:p>
        </w:tc>
        <w:tc>
          <w:tcPr>
            <w:tcW w:w="2175" w:type="dxa"/>
            <w:vAlign w:val="center"/>
            <w:shd w:fill="FFFFFF"/>
          </w:tcPr>
          <w:p w14:paraId="17136DA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4EBAC74C" w14:textId="77777777">
        <w:trPr>
          <w:jc w:val="center"/>
          <w:cantSplit/>
        </w:trPr>
        <w:tc>
          <w:tcPr>
            <w:tcW w:w="2559" w:type="dxa"/>
            <w:vAlign w:val="center"/>
            <w:shd w:fill="FFFFFF"/>
          </w:tcPr>
          <w:p w14:paraId="7AB24CCE"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Body temperature</w:t>
            </w:r>
          </w:p>
        </w:tc>
        <w:tc>
          <w:tcPr>
            <w:tcW w:w="5756" w:type="dxa"/>
            <w:vAlign w:val="center"/>
            <w:shd w:fill="FFFFFF"/>
          </w:tcPr>
          <w:p w14:paraId="253984A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Body temperature</w:t>
            </w:r>
          </w:p>
        </w:tc>
        <w:tc>
          <w:tcPr>
            <w:tcW w:w="2238" w:type="dxa"/>
            <w:vAlign w:val="center"/>
            <w:shd w:fill="FFFFFF"/>
          </w:tcPr>
          <w:p w14:paraId="2AA1EFD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217A5B9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w:t>
            </w:r>
          </w:p>
        </w:tc>
        <w:tc>
          <w:tcPr>
            <w:tcW w:w="2175" w:type="dxa"/>
            <w:vAlign w:val="center"/>
            <w:shd w:fill="FFFFFF"/>
          </w:tcPr>
          <w:p w14:paraId="6E18F6A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22798D34" w14:textId="77777777">
        <w:trPr>
          <w:jc w:val="center"/>
          <w:cantSplit/>
        </w:trPr>
        <w:tc>
          <w:tcPr>
            <w:tcW w:w="2559" w:type="dxa"/>
            <w:vAlign w:val="center"/>
            <w:shd w:fill="FFFFFF"/>
          </w:tcPr>
          <w:p w14:paraId="6E7C80A7"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Heart rate</w:t>
            </w:r>
          </w:p>
        </w:tc>
        <w:tc>
          <w:tcPr>
            <w:tcW w:w="5756" w:type="dxa"/>
            <w:vAlign w:val="center"/>
            <w:shd w:fill="FFFFFF"/>
          </w:tcPr>
          <w:p w14:paraId="396082E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Heart rate or pulse</w:t>
            </w:r>
          </w:p>
        </w:tc>
        <w:tc>
          <w:tcPr>
            <w:tcW w:w="2238" w:type="dxa"/>
            <w:vAlign w:val="center"/>
            <w:shd w:fill="FFFFFF"/>
          </w:tcPr>
          <w:p w14:paraId="468A918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4CFE28C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bpm</w:t>
            </w:r>
          </w:p>
        </w:tc>
        <w:tc>
          <w:tcPr>
            <w:tcW w:w="2175" w:type="dxa"/>
            <w:vAlign w:val="center"/>
            <w:shd w:fill="FFFFFF"/>
          </w:tcPr>
          <w:p w14:paraId="4D6E7B3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535025BD" w14:textId="77777777">
        <w:trPr>
          <w:jc w:val="center"/>
          <w:cantSplit/>
        </w:trPr>
        <w:tc>
          <w:tcPr>
            <w:tcW w:w="2559" w:type="dxa"/>
            <w:vAlign w:val="center"/>
            <w:shd w:fill="FFFFFF"/>
          </w:tcPr>
          <w:p w14:paraId="2C2ABB6A"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SpO2</w:t>
            </w:r>
          </w:p>
        </w:tc>
        <w:tc>
          <w:tcPr>
            <w:tcW w:w="5756" w:type="dxa"/>
            <w:vAlign w:val="center"/>
            <w:shd w:fill="FFFFFF"/>
          </w:tcPr>
          <w:p w14:paraId="7E649BD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Oxygen saturation level</w:t>
            </w:r>
          </w:p>
        </w:tc>
        <w:tc>
          <w:tcPr>
            <w:tcW w:w="2238" w:type="dxa"/>
            <w:vAlign w:val="center"/>
            <w:shd w:fill="FFFFFF"/>
          </w:tcPr>
          <w:p w14:paraId="74BB41C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4ED72B7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175" w:type="dxa"/>
            <w:vAlign w:val="center"/>
            <w:shd w:fill="FFFFFF"/>
          </w:tcPr>
          <w:p w14:paraId="2FAB225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4F52A7CA" w14:textId="77777777">
        <w:trPr>
          <w:jc w:val="center"/>
          <w:cantSplit/>
        </w:trPr>
        <w:tc>
          <w:tcPr>
            <w:tcW w:w="2559" w:type="dxa"/>
            <w:vAlign w:val="center"/>
            <w:shd w:fill="FFFFFF"/>
          </w:tcPr>
          <w:p w14:paraId="44C492DC"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SBP</w:t>
            </w:r>
          </w:p>
        </w:tc>
        <w:tc>
          <w:tcPr>
            <w:tcW w:w="5756" w:type="dxa"/>
            <w:vAlign w:val="center"/>
            <w:shd w:fill="FFFFFF"/>
          </w:tcPr>
          <w:p w14:paraId="4442DB8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Systolic blood pressure</w:t>
            </w:r>
          </w:p>
        </w:tc>
        <w:tc>
          <w:tcPr>
            <w:tcW w:w="2238" w:type="dxa"/>
            <w:vAlign w:val="center"/>
            <w:shd w:fill="FFFFFF"/>
          </w:tcPr>
          <w:p w14:paraId="53ECF9E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453BD24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mmHg</w:t>
            </w:r>
          </w:p>
        </w:tc>
        <w:tc>
          <w:tcPr>
            <w:tcW w:w="2175" w:type="dxa"/>
            <w:vAlign w:val="center"/>
            <w:shd w:fill="FFFFFF"/>
          </w:tcPr>
          <w:p w14:paraId="22FFEDC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3DD77BCD" w14:textId="77777777">
        <w:trPr>
          <w:jc w:val="center"/>
          <w:cantSplit/>
        </w:trPr>
        <w:tc>
          <w:tcPr>
            <w:tcW w:w="2559" w:type="dxa"/>
            <w:vAlign w:val="center"/>
            <w:shd w:fill="FFFFFF"/>
          </w:tcPr>
          <w:p w14:paraId="30FBD3D0"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DBP</w:t>
            </w:r>
          </w:p>
        </w:tc>
        <w:tc>
          <w:tcPr>
            <w:tcW w:w="5756" w:type="dxa"/>
            <w:vAlign w:val="center"/>
            <w:shd w:fill="FFFFFF"/>
          </w:tcPr>
          <w:p w14:paraId="47F9ADD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Diastolic blood pressure</w:t>
            </w:r>
          </w:p>
        </w:tc>
        <w:tc>
          <w:tcPr>
            <w:tcW w:w="2238" w:type="dxa"/>
            <w:vAlign w:val="center"/>
            <w:shd w:fill="FFFFFF"/>
          </w:tcPr>
          <w:p w14:paraId="508E5AA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0037D0A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mmHg</w:t>
            </w:r>
          </w:p>
        </w:tc>
        <w:tc>
          <w:tcPr>
            <w:tcW w:w="2175" w:type="dxa"/>
            <w:vAlign w:val="center"/>
            <w:shd w:fill="FFFFFF"/>
          </w:tcPr>
          <w:p w14:paraId="784D057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145A8F3D" w14:textId="77777777">
        <w:trPr>
          <w:jc w:val="center"/>
          <w:cantSplit/>
        </w:trPr>
        <w:tc>
          <w:tcPr>
            <w:tcW w:w="2559" w:type="dxa"/>
            <w:vAlign w:val="center"/>
            <w:shd w:fill="FFFFFF"/>
          </w:tcPr>
          <w:p w14:paraId="0EB539F9"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BUN</w:t>
            </w:r>
          </w:p>
        </w:tc>
        <w:tc>
          <w:tcPr>
            <w:tcW w:w="5756" w:type="dxa"/>
            <w:vAlign w:val="center"/>
            <w:shd w:fill="FFFFFF"/>
          </w:tcPr>
          <w:p w14:paraId="597DB86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Blood urea nitrogen</w:t>
            </w:r>
          </w:p>
        </w:tc>
        <w:tc>
          <w:tcPr>
            <w:tcW w:w="2238" w:type="dxa"/>
            <w:vAlign w:val="center"/>
            <w:shd w:fill="FFFFFF"/>
          </w:tcPr>
          <w:p w14:paraId="47185B6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0C774E4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mg/dL</w:t>
            </w:r>
          </w:p>
        </w:tc>
        <w:tc>
          <w:tcPr>
            <w:tcW w:w="2175" w:type="dxa"/>
            <w:vAlign w:val="center"/>
            <w:shd w:fill="FFFFFF"/>
          </w:tcPr>
          <w:p w14:paraId="58035ED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7C3F92D1" w14:textId="77777777">
        <w:trPr>
          <w:jc w:val="center"/>
          <w:cantSplit/>
        </w:trPr>
        <w:tc>
          <w:tcPr>
            <w:tcW w:w="2559" w:type="dxa"/>
            <w:vAlign w:val="center"/>
            <w:shd w:fill="FFFFFF"/>
          </w:tcPr>
          <w:p w14:paraId="7135D9EB"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Lactate</w:t>
            </w:r>
          </w:p>
        </w:tc>
        <w:tc>
          <w:tcPr>
            <w:tcW w:w="5756" w:type="dxa"/>
            <w:vAlign w:val="center"/>
            <w:shd w:fill="FFFFFF"/>
          </w:tcPr>
          <w:p w14:paraId="39F6068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Serum lactate concentration</w:t>
            </w:r>
          </w:p>
        </w:tc>
        <w:tc>
          <w:tcPr>
            <w:tcW w:w="2238" w:type="dxa"/>
            <w:vAlign w:val="center"/>
            <w:shd w:fill="FFFFFF"/>
          </w:tcPr>
          <w:p w14:paraId="2E645F8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5BB2722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mmol/L</w:t>
            </w:r>
          </w:p>
        </w:tc>
        <w:tc>
          <w:tcPr>
            <w:tcW w:w="2175" w:type="dxa"/>
            <w:vAlign w:val="center"/>
            <w:shd w:fill="FFFFFF"/>
          </w:tcPr>
          <w:p w14:paraId="67D1F20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5C27AA00" w14:textId="77777777">
        <w:trPr>
          <w:jc w:val="center"/>
          <w:cantSplit/>
        </w:trPr>
        <w:tc>
          <w:tcPr>
            <w:tcW w:w="2559" w:type="dxa"/>
            <w:vAlign w:val="center"/>
            <w:shd w:fill="FFFFFF"/>
          </w:tcPr>
          <w:p w14:paraId="2DF061AD"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WBC</w:t>
            </w:r>
          </w:p>
        </w:tc>
        <w:tc>
          <w:tcPr>
            <w:tcW w:w="5756" w:type="dxa"/>
            <w:vAlign w:val="center"/>
            <w:shd w:fill="FFFFFF"/>
          </w:tcPr>
          <w:p w14:paraId="79DFE62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White blood cell count</w:t>
            </w:r>
          </w:p>
        </w:tc>
        <w:tc>
          <w:tcPr>
            <w:tcW w:w="2238" w:type="dxa"/>
            <w:vAlign w:val="center"/>
            <w:shd w:fill="FFFFFF"/>
          </w:tcPr>
          <w:p w14:paraId="1D8DBB9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6161692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10³/µL</w:t>
            </w:r>
          </w:p>
        </w:tc>
        <w:tc>
          <w:tcPr>
            <w:tcW w:w="2175" w:type="dxa"/>
            <w:vAlign w:val="center"/>
            <w:shd w:fill="FFFFFF"/>
          </w:tcPr>
          <w:p w14:paraId="710B5E2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70E42482" w14:textId="77777777">
        <w:trPr>
          <w:jc w:val="center"/>
          <w:cantSplit/>
        </w:trPr>
        <w:tc>
          <w:tcPr>
            <w:tcW w:w="2559" w:type="dxa"/>
            <w:vAlign w:val="center"/>
            <w:shd w:fill="FFFFFF"/>
          </w:tcPr>
          <w:p w14:paraId="78B1A5E0"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Hemoglobin</w:t>
            </w:r>
          </w:p>
        </w:tc>
        <w:tc>
          <w:tcPr>
            <w:tcW w:w="5756" w:type="dxa"/>
            <w:vAlign w:val="center"/>
            <w:shd w:fill="FFFFFF"/>
          </w:tcPr>
          <w:p w14:paraId="5235877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Hemoglobin concentration</w:t>
            </w:r>
          </w:p>
        </w:tc>
        <w:tc>
          <w:tcPr>
            <w:tcW w:w="2238" w:type="dxa"/>
            <w:vAlign w:val="center"/>
            <w:shd w:fill="FFFFFF"/>
          </w:tcPr>
          <w:p w14:paraId="6A9A110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338C39F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g/dL</w:t>
            </w:r>
          </w:p>
        </w:tc>
        <w:tc>
          <w:tcPr>
            <w:tcW w:w="2175" w:type="dxa"/>
            <w:vAlign w:val="center"/>
            <w:shd w:fill="FFFFFF"/>
          </w:tcPr>
          <w:p w14:paraId="2598C5A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315F1683" w14:textId="77777777">
        <w:trPr>
          <w:jc w:val="center"/>
          <w:cantSplit/>
        </w:trPr>
        <w:tc>
          <w:tcPr>
            <w:tcW w:w="2559" w:type="dxa"/>
            <w:vAlign w:val="center"/>
            <w:shd w:fill="FFFFFF"/>
          </w:tcPr>
          <w:p w14:paraId="7B5984F0"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Na</w:t>
            </w:r>
          </w:p>
        </w:tc>
        <w:tc>
          <w:tcPr>
            <w:tcW w:w="5756" w:type="dxa"/>
            <w:vAlign w:val="center"/>
            <w:shd w:fill="FFFFFF"/>
          </w:tcPr>
          <w:p w14:paraId="344DD2D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Sodium level</w:t>
            </w:r>
          </w:p>
        </w:tc>
        <w:tc>
          <w:tcPr>
            <w:tcW w:w="2238" w:type="dxa"/>
            <w:vAlign w:val="center"/>
            <w:shd w:fill="FFFFFF"/>
          </w:tcPr>
          <w:p w14:paraId="289D577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3732662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mEq/L</w:t>
            </w:r>
          </w:p>
        </w:tc>
        <w:tc>
          <w:tcPr>
            <w:tcW w:w="2175" w:type="dxa"/>
            <w:vAlign w:val="center"/>
            <w:shd w:fill="FFFFFF"/>
          </w:tcPr>
          <w:p w14:paraId="23849BF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707A854F" w14:textId="77777777">
        <w:trPr>
          <w:jc w:val="center"/>
          <w:cantSplit/>
        </w:trPr>
        <w:tc>
          <w:tcPr>
            <w:tcW w:w="2559" w:type="dxa"/>
            <w:vAlign w:val="center"/>
            <w:shd w:fill="FFFFFF"/>
          </w:tcPr>
          <w:p w14:paraId="27EF6EA4"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K</w:t>
            </w:r>
          </w:p>
        </w:tc>
        <w:tc>
          <w:tcPr>
            <w:tcW w:w="5756" w:type="dxa"/>
            <w:vAlign w:val="center"/>
            <w:shd w:fill="FFFFFF"/>
          </w:tcPr>
          <w:p w14:paraId="2774554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Potassium level</w:t>
            </w:r>
          </w:p>
        </w:tc>
        <w:tc>
          <w:tcPr>
            <w:tcW w:w="2238" w:type="dxa"/>
            <w:vAlign w:val="center"/>
            <w:shd w:fill="FFFFFF"/>
          </w:tcPr>
          <w:p w14:paraId="34F789F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17756D8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mEq/L</w:t>
            </w:r>
          </w:p>
        </w:tc>
        <w:tc>
          <w:tcPr>
            <w:tcW w:w="2175" w:type="dxa"/>
            <w:vAlign w:val="center"/>
            <w:shd w:fill="FFFFFF"/>
          </w:tcPr>
          <w:p w14:paraId="0EF88E5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2001A3CE" w14:textId="77777777">
        <w:trPr>
          <w:jc w:val="center"/>
          <w:cantSplit/>
        </w:trPr>
        <w:tc>
          <w:tcPr>
            <w:tcW w:w="2559" w:type="dxa"/>
            <w:vAlign w:val="center"/>
            <w:shd w:fill="FFFFFF"/>
          </w:tcPr>
          <w:p w14:paraId="27592DBF"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Cl</w:t>
            </w:r>
          </w:p>
        </w:tc>
        <w:tc>
          <w:tcPr>
            <w:tcW w:w="5756" w:type="dxa"/>
            <w:vAlign w:val="center"/>
            <w:shd w:fill="FFFFFF"/>
          </w:tcPr>
          <w:p w14:paraId="233CD09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Chloride level</w:t>
            </w:r>
          </w:p>
        </w:tc>
        <w:tc>
          <w:tcPr>
            <w:tcW w:w="2238" w:type="dxa"/>
            <w:vAlign w:val="center"/>
            <w:shd w:fill="FFFFFF"/>
          </w:tcPr>
          <w:p w14:paraId="6F1A8F9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690354D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mEq/L</w:t>
            </w:r>
          </w:p>
        </w:tc>
        <w:tc>
          <w:tcPr>
            <w:tcW w:w="2175" w:type="dxa"/>
            <w:vAlign w:val="center"/>
            <w:shd w:fill="FFFFFF"/>
          </w:tcPr>
          <w:p w14:paraId="3FD9C25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Unavailable in Hallym (value=0, mask=0)</w:t>
            </w:r>
          </w:p>
        </w:tc>
      </w:tr>
      <w:tr w:rsidR="0081392D" w14:paraId="4138996A" w14:textId="77777777">
        <w:trPr>
          <w:jc w:val="center"/>
          <w:cantSplit/>
        </w:trPr>
        <w:tc>
          <w:tcPr>
            <w:tcW w:w="2559" w:type="dxa"/>
            <w:vAlign w:val="center"/>
            <w:shd w:fill="FFFFFF"/>
          </w:tcPr>
          <w:p w14:paraId="79F5D6A5"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pH</w:t>
            </w:r>
          </w:p>
        </w:tc>
        <w:tc>
          <w:tcPr>
            <w:tcW w:w="5756" w:type="dxa"/>
            <w:vAlign w:val="center"/>
            <w:shd w:fill="FFFFFF"/>
          </w:tcPr>
          <w:p w14:paraId="67387CB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Arterial pH</w:t>
            </w:r>
          </w:p>
        </w:tc>
        <w:tc>
          <w:tcPr>
            <w:tcW w:w="2238" w:type="dxa"/>
            <w:vAlign w:val="center"/>
            <w:shd w:fill="FFFFFF"/>
          </w:tcPr>
          <w:p w14:paraId="7D154D3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35406E4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175" w:type="dxa"/>
            <w:vAlign w:val="center"/>
            <w:shd w:fill="FFFFFF"/>
          </w:tcPr>
          <w:p w14:paraId="03D298B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Unavailable in Hallym (value=0, mask=0)</w:t>
            </w:r>
          </w:p>
        </w:tc>
      </w:tr>
      <w:tr w:rsidR="0081392D" w14:paraId="6D0BE662" w14:textId="77777777">
        <w:trPr>
          <w:jc w:val="center"/>
          <w:cantSplit/>
        </w:trPr>
        <w:tc>
          <w:tcPr>
            <w:tcW w:w="2559" w:type="dxa"/>
            <w:vAlign w:val="center"/>
            <w:shd w:fill="FFFFFF"/>
          </w:tcPr>
          <w:p w14:paraId="33624C8D"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Base excess</w:t>
            </w:r>
          </w:p>
        </w:tc>
        <w:tc>
          <w:tcPr>
            <w:tcW w:w="5756" w:type="dxa"/>
            <w:vAlign w:val="center"/>
            <w:shd w:fill="FFFFFF"/>
          </w:tcPr>
          <w:p w14:paraId="5D1F9D4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Base excess</w:t>
            </w:r>
          </w:p>
        </w:tc>
        <w:tc>
          <w:tcPr>
            <w:tcW w:w="2238" w:type="dxa"/>
            <w:vAlign w:val="center"/>
            <w:shd w:fill="FFFFFF"/>
          </w:tcPr>
          <w:p w14:paraId="20E1A7C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0BED4D5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mmol/L</w:t>
            </w:r>
          </w:p>
        </w:tc>
        <w:tc>
          <w:tcPr>
            <w:tcW w:w="2175" w:type="dxa"/>
            <w:vAlign w:val="center"/>
            <w:shd w:fill="FFFFFF"/>
          </w:tcPr>
          <w:p w14:paraId="29BDAFB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Unavailable in Hallym (value=0, mask=0)</w:t>
            </w:r>
          </w:p>
        </w:tc>
      </w:tr>
      <w:tr w:rsidR="0081392D" w14:paraId="6C0F738E" w14:textId="77777777">
        <w:trPr>
          <w:jc w:val="center"/>
          <w:cantSplit/>
        </w:trPr>
        <w:tc>
          <w:tcPr>
            <w:tcW w:w="2559" w:type="dxa"/>
            <w:vAlign w:val="center"/>
            <w:shd w:fill="FFFFFF"/>
          </w:tcPr>
          <w:p w14:paraId="7C92400C"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Anion gap</w:t>
            </w:r>
          </w:p>
        </w:tc>
        <w:tc>
          <w:tcPr>
            <w:tcW w:w="5756" w:type="dxa"/>
            <w:vAlign w:val="center"/>
            <w:shd w:fill="FFFFFF"/>
          </w:tcPr>
          <w:p w14:paraId="11B015B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Anion gap</w:t>
            </w:r>
          </w:p>
        </w:tc>
        <w:tc>
          <w:tcPr>
            <w:tcW w:w="2238" w:type="dxa"/>
            <w:vAlign w:val="center"/>
            <w:shd w:fill="FFFFFF"/>
          </w:tcPr>
          <w:p w14:paraId="2B3D724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6F56107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mEq/L</w:t>
            </w:r>
          </w:p>
        </w:tc>
        <w:tc>
          <w:tcPr>
            <w:tcW w:w="2175" w:type="dxa"/>
            <w:vAlign w:val="center"/>
            <w:shd w:fill="FFFFFF"/>
          </w:tcPr>
          <w:p w14:paraId="53C29D0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Unavailable in Hallym (value=0, mask=0)</w:t>
            </w:r>
          </w:p>
        </w:tc>
      </w:tr>
      <w:tr w:rsidR="0081392D" w14:paraId="6CAE1947" w14:textId="77777777">
        <w:trPr>
          <w:jc w:val="center"/>
          <w:cantSplit/>
        </w:trPr>
        <w:tc>
          <w:tcPr>
            <w:tcW w:w="2559" w:type="dxa"/>
            <w:vAlign w:val="center"/>
            <w:shd w:fill="FFFFFF"/>
          </w:tcPr>
          <w:p w14:paraId="27D0F025"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Norepinephrine dose</w:t>
            </w:r>
          </w:p>
        </w:tc>
        <w:tc>
          <w:tcPr>
            <w:tcW w:w="5756" w:type="dxa"/>
            <w:vAlign w:val="center"/>
            <w:shd w:fill="FFFFFF"/>
          </w:tcPr>
          <w:p w14:paraId="159981F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Norepinephrine infusion dose</w:t>
            </w:r>
          </w:p>
        </w:tc>
        <w:tc>
          <w:tcPr>
            <w:tcW w:w="2238" w:type="dxa"/>
            <w:vAlign w:val="center"/>
            <w:shd w:fill="FFFFFF"/>
          </w:tcPr>
          <w:p w14:paraId="3D1B1E3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5462329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µg/kg/min</w:t>
            </w:r>
          </w:p>
        </w:tc>
        <w:tc>
          <w:tcPr>
            <w:tcW w:w="2175" w:type="dxa"/>
            <w:vAlign w:val="center"/>
            <w:shd w:fill="FFFFFF"/>
          </w:tcPr>
          <w:p w14:paraId="563C91B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Unavailable in Hallym (value=0, mask=0)</w:t>
            </w:r>
          </w:p>
        </w:tc>
      </w:tr>
      <w:tr w:rsidR="0081392D" w14:paraId="0BE7E3E1" w14:textId="77777777">
        <w:trPr>
          <w:jc w:val="center"/>
          <w:cantSplit/>
        </w:trPr>
        <w:tc>
          <w:tcPr>
            <w:tcW w:w="2559" w:type="dxa"/>
            <w:vAlign w:val="center"/>
            <w:shd w:fill="FFFFFF"/>
          </w:tcPr>
          <w:p w14:paraId="6E0C9ACC"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lastRenderedPageBreak/>
              <w:t>Vasopressin used</w:t>
            </w:r>
          </w:p>
        </w:tc>
        <w:tc>
          <w:tcPr>
            <w:tcW w:w="5756" w:type="dxa"/>
            <w:vAlign w:val="center"/>
            <w:shd w:fill="FFFFFF"/>
          </w:tcPr>
          <w:p w14:paraId="749B746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Vasopressin administration flag</w:t>
            </w:r>
          </w:p>
        </w:tc>
        <w:tc>
          <w:tcPr>
            <w:tcW w:w="2238" w:type="dxa"/>
            <w:vAlign w:val="center"/>
            <w:shd w:fill="FFFFFF"/>
          </w:tcPr>
          <w:p w14:paraId="0ACE5E3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Binary</w:t>
            </w:r>
          </w:p>
        </w:tc>
        <w:tc>
          <w:tcPr>
            <w:tcW w:w="2238" w:type="dxa"/>
            <w:vAlign w:val="center"/>
            <w:shd w:fill="FFFFFF"/>
          </w:tcPr>
          <w:p w14:paraId="2A01AED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 1}</w:t>
            </w:r>
          </w:p>
        </w:tc>
        <w:tc>
          <w:tcPr>
            <w:tcW w:w="2175" w:type="dxa"/>
            <w:vAlign w:val="center"/>
            <w:shd w:fill="FFFFFF"/>
          </w:tcPr>
          <w:p w14:paraId="1D9C2FF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Unavailable in Hallym (value=0, mask=0)</w:t>
            </w:r>
          </w:p>
        </w:tc>
      </w:tr>
      <w:tr w:rsidR="0081392D" w14:paraId="543A5C7D" w14:textId="77777777">
        <w:trPr>
          <w:jc w:val="center"/>
          <w:cantSplit/>
        </w:trPr>
        <w:tc>
          <w:tcPr>
            <w:tcW w:w="2559" w:type="dxa"/>
            <w:vAlign w:val="center"/>
            <w:shd w:fill="FFFFFF"/>
          </w:tcPr>
          <w:p w14:paraId="5A1DF279"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FiO2</w:t>
            </w:r>
          </w:p>
        </w:tc>
        <w:tc>
          <w:tcPr>
            <w:tcW w:w="5756" w:type="dxa"/>
            <w:vAlign w:val="center"/>
            <w:shd w:fill="FFFFFF"/>
          </w:tcPr>
          <w:p w14:paraId="49EBED9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Fraction of inspired oxygen</w:t>
            </w:r>
          </w:p>
        </w:tc>
        <w:tc>
          <w:tcPr>
            <w:tcW w:w="2238" w:type="dxa"/>
            <w:vAlign w:val="center"/>
            <w:shd w:fill="FFFFFF"/>
          </w:tcPr>
          <w:p w14:paraId="7B06875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44829AA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175" w:type="dxa"/>
            <w:vAlign w:val="center"/>
            <w:shd w:fill="FFFFFF"/>
          </w:tcPr>
          <w:p w14:paraId="6174ADB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Unavailable in Hallym (value=0, mask=0)</w:t>
            </w:r>
          </w:p>
        </w:tc>
      </w:tr>
      <w:tr w:rsidR="0081392D" w14:paraId="16910513" w14:textId="77777777">
        <w:trPr>
          <w:jc w:val="center"/>
          <w:cantSplit/>
        </w:trPr>
        <w:tc>
          <w:tcPr>
            <w:tcW w:w="2559" w:type="dxa"/>
            <w:vAlign w:val="center"/>
            <w:shd w:fill="FFFFFF"/>
          </w:tcPr>
          <w:p w14:paraId="5DFB1B06"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Mechanical vent</w:t>
            </w:r>
          </w:p>
        </w:tc>
        <w:tc>
          <w:tcPr>
            <w:tcW w:w="5756" w:type="dxa"/>
            <w:vAlign w:val="center"/>
            <w:shd w:fill="FFFFFF"/>
          </w:tcPr>
          <w:p w14:paraId="0548997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Mechanical ventilation status</w:t>
            </w:r>
          </w:p>
        </w:tc>
        <w:tc>
          <w:tcPr>
            <w:tcW w:w="2238" w:type="dxa"/>
            <w:vAlign w:val="center"/>
            <w:shd w:fill="FFFFFF"/>
          </w:tcPr>
          <w:p w14:paraId="4D33128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Binary</w:t>
            </w:r>
          </w:p>
        </w:tc>
        <w:tc>
          <w:tcPr>
            <w:tcW w:w="2238" w:type="dxa"/>
            <w:vAlign w:val="center"/>
            <w:shd w:fill="FFFFFF"/>
          </w:tcPr>
          <w:p w14:paraId="3B5A079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 1}</w:t>
            </w:r>
          </w:p>
        </w:tc>
        <w:tc>
          <w:tcPr>
            <w:tcW w:w="2175" w:type="dxa"/>
            <w:vAlign w:val="center"/>
            <w:shd w:fill="FFFFFF"/>
          </w:tcPr>
          <w:p w14:paraId="07E27AE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2E0106BE" w14:textId="77777777">
        <w:trPr>
          <w:jc w:val="center"/>
          <w:cantSplit/>
        </w:trPr>
        <w:tc>
          <w:tcPr>
            <w:tcW w:w="2559" w:type="dxa"/>
            <w:vAlign w:val="center"/>
            <w:shd w:fill="FFFFFF"/>
          </w:tcPr>
          <w:p w14:paraId="547C5CA1"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Urine output</w:t>
            </w:r>
          </w:p>
        </w:tc>
        <w:tc>
          <w:tcPr>
            <w:tcW w:w="5756" w:type="dxa"/>
            <w:vAlign w:val="center"/>
            <w:shd w:fill="FFFFFF"/>
          </w:tcPr>
          <w:p w14:paraId="41FA653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Urine output per hour</w:t>
            </w:r>
          </w:p>
        </w:tc>
        <w:tc>
          <w:tcPr>
            <w:tcW w:w="2238" w:type="dxa"/>
            <w:vAlign w:val="center"/>
            <w:shd w:fill="FFFFFF"/>
          </w:tcPr>
          <w:p w14:paraId="3E09582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0786B47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mL/hr</w:t>
            </w:r>
          </w:p>
        </w:tc>
        <w:tc>
          <w:tcPr>
            <w:tcW w:w="2175" w:type="dxa"/>
            <w:vAlign w:val="center"/>
            <w:shd w:fill="FFFFFF"/>
          </w:tcPr>
          <w:p w14:paraId="55C6283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81392D" w14:paraId="0B9D3217" w14:textId="77777777">
        <w:trPr>
          <w:jc w:val="center"/>
          <w:cantSplit/>
        </w:trPr>
        <w:tc>
          <w:tcPr>
            <w:tcW w:w="2559" w:type="dxa"/>
            <w:vAlign w:val="center"/>
            <w:shd w:fill="FFFFFF"/>
          </w:tcPr>
          <w:p w14:paraId="786C752C"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GCS total</w:t>
            </w:r>
          </w:p>
        </w:tc>
        <w:tc>
          <w:tcPr>
            <w:tcW w:w="5756" w:type="dxa"/>
            <w:vAlign w:val="center"/>
            <w:shd w:fill="FFFFFF"/>
          </w:tcPr>
          <w:p w14:paraId="73D8042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Glasgow Coma Scale total score</w:t>
            </w:r>
          </w:p>
        </w:tc>
        <w:tc>
          <w:tcPr>
            <w:tcW w:w="2238" w:type="dxa"/>
            <w:vAlign w:val="center"/>
            <w:shd w:fill="FFFFFF"/>
          </w:tcPr>
          <w:p w14:paraId="41235C7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Discrete</w:t>
            </w:r>
          </w:p>
        </w:tc>
        <w:tc>
          <w:tcPr>
            <w:tcW w:w="2238" w:type="dxa"/>
            <w:vAlign w:val="center"/>
            <w:shd w:fill="FFFFFF"/>
          </w:tcPr>
          <w:p w14:paraId="049E885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3–15</w:t>
            </w:r>
          </w:p>
        </w:tc>
        <w:tc>
          <w:tcPr>
            <w:tcW w:w="2175" w:type="dxa"/>
            <w:vAlign w:val="center"/>
            <w:shd w:fill="FFFFFF"/>
          </w:tcPr>
          <w:p w14:paraId="50E2106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Observed in Hallym and used as model input</w:t>
            </w:r>
          </w:p>
        </w:tc>
      </w:tr>
      <w:tr w:rsidR="006E4139" w14:paraId="55AE6298" w14:textId="77777777">
        <w:trPr>
          <w:jc w:val="center"/>
          <w:cantSplit/>
        </w:trPr>
        <w:tc>
          <w:tcPr>
            <w:tcW w:w="2559" w:type="dxa"/>
            <w:vAlign w:val="center"/>
            <w:shd w:fill="FFFFFF"/>
          </w:tcPr>
          <w:p w14:paraId="289765F0"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Hourly temporal delta (each feature above)</w:t>
            </w:r>
          </w:p>
        </w:tc>
        <w:tc>
          <w:tcPr>
            <w:tcW w:w="5756" w:type="dxa"/>
            <w:vAlign w:val="center"/>
            <w:shd w:fill="FFFFFF"/>
          </w:tcPr>
          <w:p w14:paraId="532E69E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First difference of the filled hourly series (v_t − v_{t−1}); invalid or hour-0 deltas set to 0 (no separate delta mask; Table S4b)</w:t>
            </w:r>
          </w:p>
        </w:tc>
        <w:tc>
          <w:tcPr>
            <w:tcW w:w="2238" w:type="dxa"/>
            <w:vAlign w:val="center"/>
            <w:shd w:fill="FFFFFF"/>
          </w:tcPr>
          <w:p w14:paraId="36A181D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 (or binary-difference)</w:t>
            </w:r>
          </w:p>
        </w:tc>
        <w:tc>
          <w:tcPr>
            <w:tcW w:w="2238" w:type="dxa"/>
            <w:vAlign w:val="center"/>
            <w:shd w:fill="FFFFFF"/>
          </w:tcPr>
          <w:p w14:paraId="6CFF9E9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Same as parent feature</w:t>
            </w:r>
          </w:p>
        </w:tc>
        <w:tc>
          <w:tcPr>
            <w:tcW w:w="2175" w:type="dxa"/>
            <w:vAlign w:val="center"/>
            <w:shd w:fill="FFFFFF"/>
          </w:tcPr>
          <w:p w14:paraId="25735C7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Follows parent-channel availability, masked when parent unavailable</w:t>
            </w:r>
          </w:p>
        </w:tc>
      </w:tr>
    </w:tbl>
    <w:p w14:paraId="1E09519D"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 xml:space="preserve">Frozen Hallym models retained the 22-channel source input schema. Seven unavailable channels and their deltas were set to zero with raw masks zero; all deep learning models used the same intersection. For SOFA-2 only, FiO₂ was derived from Hallym oxygen-therapy fields using Tables S9b–S9c. These fields were not added to PatchFusion. The experiment therefore evaluates source models under incomplete feature availability, with unit harmonization and source standardization but no retraining on the 15-channel intersection.</w:t>
      </w:r>
    </w:p>
    <w:p w14:paraId="668CB931" w14:textId="77777777" w:rsidR="0081392D" w:rsidRDefault="00000000">
      <w:pPr>
        <w:keepNext/>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S9b. Hallym Variables Not Used as PatchFusion Model Inputs (Including SOFA-2 Oxygen Fields)</w:t>
      </w:r>
    </w:p>
    <w:tbl>
      <w:tblPr>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559"/>
        <w:gridCol w:w="5756"/>
        <w:gridCol w:w="2238"/>
        <w:gridCol w:w="2238"/>
        <w:gridCol w:w="2175"/>
      </w:tblGrid>
      <w:tr w:rsidR="0081392D" w14:paraId="59DCD85C" w14:textId="77777777">
        <w:trPr>
          <w:jc w:val="center"/>
          <w:cantSplit/>
          <w:tblHeader/>
        </w:trPr>
        <w:tc>
          <w:tcPr>
            <w:tcW w:w="2559" w:type="dxa"/>
            <w:vAlign w:val="center"/>
            <w:shd w:fill="E7E7E7"/>
          </w:tcPr>
          <w:p w14:paraId="3FA97FBE"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Feature</w:t>
            </w:r>
          </w:p>
        </w:tc>
        <w:tc>
          <w:tcPr>
            <w:tcW w:w="5756" w:type="dxa"/>
            <w:vAlign w:val="center"/>
            <w:shd w:fill="E7E7E7"/>
          </w:tcPr>
          <w:p w14:paraId="649667ED"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Description</w:t>
            </w:r>
          </w:p>
        </w:tc>
        <w:tc>
          <w:tcPr>
            <w:tcW w:w="2238" w:type="dxa"/>
            <w:vAlign w:val="center"/>
            <w:shd w:fill="E7E7E7"/>
          </w:tcPr>
          <w:p w14:paraId="791DC90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Type</w:t>
            </w:r>
          </w:p>
        </w:tc>
        <w:tc>
          <w:tcPr>
            <w:tcW w:w="2238" w:type="dxa"/>
            <w:vAlign w:val="center"/>
            <w:shd w:fill="E7E7E7"/>
          </w:tcPr>
          <w:p w14:paraId="06B550B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Unit</w:t>
            </w:r>
          </w:p>
        </w:tc>
        <w:tc>
          <w:tcPr>
            <w:tcW w:w="2175" w:type="dxa"/>
            <w:vAlign w:val="center"/>
            <w:shd w:fill="E7E7E7"/>
          </w:tcPr>
          <w:p w14:paraId="74E6EB4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Role</w:t>
            </w:r>
          </w:p>
        </w:tc>
      </w:tr>
      <w:tr w:rsidR="0081392D" w14:paraId="36336B56" w14:textId="77777777">
        <w:trPr>
          <w:jc w:val="center"/>
          <w:cantSplit/>
        </w:trPr>
        <w:tc>
          <w:tcPr>
            <w:tcW w:w="2559" w:type="dxa"/>
            <w:vAlign w:val="center"/>
            <w:shd w:fill="FFFFFF"/>
          </w:tcPr>
          <w:p w14:paraId="08652BE6"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age</w:t>
            </w:r>
          </w:p>
        </w:tc>
        <w:tc>
          <w:tcPr>
            <w:tcW w:w="5756" w:type="dxa"/>
            <w:vAlign w:val="center"/>
            <w:shd w:fill="FFFFFF"/>
          </w:tcPr>
          <w:p w14:paraId="2C51CE4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Age at admission</w:t>
            </w:r>
          </w:p>
        </w:tc>
        <w:tc>
          <w:tcPr>
            <w:tcW w:w="2238" w:type="dxa"/>
            <w:vAlign w:val="center"/>
            <w:shd w:fill="FFFFFF"/>
          </w:tcPr>
          <w:p w14:paraId="59643F3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75D9A8E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years</w:t>
            </w:r>
          </w:p>
        </w:tc>
        <w:tc>
          <w:tcPr>
            <w:tcW w:w="2175" w:type="dxa"/>
            <w:vAlign w:val="center"/>
            <w:shd w:fill="FFFFFF"/>
          </w:tcPr>
          <w:p w14:paraId="3A32495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Cohort descriptor (not model input)</w:t>
            </w:r>
          </w:p>
        </w:tc>
      </w:tr>
      <w:tr w:rsidR="0081392D" w14:paraId="1284A1E7" w14:textId="77777777">
        <w:trPr>
          <w:jc w:val="center"/>
          <w:cantSplit/>
        </w:trPr>
        <w:tc>
          <w:tcPr>
            <w:tcW w:w="2559" w:type="dxa"/>
            <w:vAlign w:val="center"/>
            <w:shd w:fill="FFFFFF"/>
          </w:tcPr>
          <w:p w14:paraId="6DA9A3F2"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sex</w:t>
            </w:r>
          </w:p>
        </w:tc>
        <w:tc>
          <w:tcPr>
            <w:tcW w:w="5756" w:type="dxa"/>
            <w:vAlign w:val="center"/>
            <w:shd w:fill="FFFFFF"/>
          </w:tcPr>
          <w:p w14:paraId="200375B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Biological sex</w:t>
            </w:r>
          </w:p>
        </w:tc>
        <w:tc>
          <w:tcPr>
            <w:tcW w:w="2238" w:type="dxa"/>
            <w:vAlign w:val="center"/>
            <w:shd w:fill="FFFFFF"/>
          </w:tcPr>
          <w:p w14:paraId="3FC808F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Binary</w:t>
            </w:r>
          </w:p>
        </w:tc>
        <w:tc>
          <w:tcPr>
            <w:tcW w:w="2238" w:type="dxa"/>
            <w:vAlign w:val="center"/>
            <w:shd w:fill="FFFFFF"/>
          </w:tcPr>
          <w:p w14:paraId="780C752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w:t>
            </w:r>
          </w:p>
        </w:tc>
        <w:tc>
          <w:tcPr>
            <w:tcW w:w="2175" w:type="dxa"/>
            <w:vAlign w:val="center"/>
            <w:shd w:fill="FFFFFF"/>
          </w:tcPr>
          <w:p w14:paraId="10F7EE7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Cohort descriptor (not model input)</w:t>
            </w:r>
          </w:p>
        </w:tc>
      </w:tr>
      <w:tr w:rsidR="0081392D" w14:paraId="703DC854" w14:textId="77777777">
        <w:trPr>
          <w:jc w:val="center"/>
          <w:cantSplit/>
        </w:trPr>
        <w:tc>
          <w:tcPr>
            <w:tcW w:w="2559" w:type="dxa"/>
            <w:vAlign w:val="center"/>
            <w:shd w:fill="FFFFFF"/>
          </w:tcPr>
          <w:p w14:paraId="0543DDC2"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height</w:t>
            </w:r>
          </w:p>
        </w:tc>
        <w:tc>
          <w:tcPr>
            <w:tcW w:w="5756" w:type="dxa"/>
            <w:vAlign w:val="center"/>
            <w:shd w:fill="FFFFFF"/>
          </w:tcPr>
          <w:p w14:paraId="179F0FD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Body height</w:t>
            </w:r>
          </w:p>
        </w:tc>
        <w:tc>
          <w:tcPr>
            <w:tcW w:w="2238" w:type="dxa"/>
            <w:vAlign w:val="center"/>
            <w:shd w:fill="FFFFFF"/>
          </w:tcPr>
          <w:p w14:paraId="4C2FF6C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671A652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cm</w:t>
            </w:r>
          </w:p>
        </w:tc>
        <w:tc>
          <w:tcPr>
            <w:tcW w:w="2175" w:type="dxa"/>
            <w:vAlign w:val="center"/>
            <w:shd w:fill="FFFFFF"/>
          </w:tcPr>
          <w:p w14:paraId="7AA6E8C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Available in Hallym EHR but not in the MIMIC-IV input vector</w:t>
            </w:r>
          </w:p>
        </w:tc>
      </w:tr>
      <w:tr w:rsidR="0081392D" w14:paraId="7A614F43" w14:textId="77777777">
        <w:trPr>
          <w:jc w:val="center"/>
          <w:cantSplit/>
        </w:trPr>
        <w:tc>
          <w:tcPr>
            <w:tcW w:w="2559" w:type="dxa"/>
            <w:vAlign w:val="center"/>
            <w:shd w:fill="FFFFFF"/>
          </w:tcPr>
          <w:p w14:paraId="0D3B1FDA"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weight</w:t>
            </w:r>
          </w:p>
        </w:tc>
        <w:tc>
          <w:tcPr>
            <w:tcW w:w="5756" w:type="dxa"/>
            <w:vAlign w:val="center"/>
            <w:shd w:fill="FFFFFF"/>
          </w:tcPr>
          <w:p w14:paraId="30419FE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Body weight</w:t>
            </w:r>
          </w:p>
        </w:tc>
        <w:tc>
          <w:tcPr>
            <w:tcW w:w="2238" w:type="dxa"/>
            <w:vAlign w:val="center"/>
            <w:shd w:fill="FFFFFF"/>
          </w:tcPr>
          <w:p w14:paraId="609F184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52728B8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kg</w:t>
            </w:r>
          </w:p>
        </w:tc>
        <w:tc>
          <w:tcPr>
            <w:tcW w:w="2175" w:type="dxa"/>
            <w:vAlign w:val="center"/>
            <w:shd w:fill="FFFFFF"/>
          </w:tcPr>
          <w:p w14:paraId="0F603F1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Available in Hallym EHR but not in the MIMIC-IV input vector</w:t>
            </w:r>
          </w:p>
        </w:tc>
      </w:tr>
      <w:tr w:rsidR="0081392D" w14:paraId="77C582AB" w14:textId="77777777">
        <w:trPr>
          <w:jc w:val="center"/>
          <w:cantSplit/>
        </w:trPr>
        <w:tc>
          <w:tcPr>
            <w:tcW w:w="2559" w:type="dxa"/>
            <w:vAlign w:val="center"/>
            <w:shd w:fill="FFFFFF"/>
          </w:tcPr>
          <w:p w14:paraId="022AAB7D"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BMI</w:t>
            </w:r>
          </w:p>
        </w:tc>
        <w:tc>
          <w:tcPr>
            <w:tcW w:w="5756" w:type="dxa"/>
            <w:vAlign w:val="center"/>
            <w:shd w:fill="FFFFFF"/>
          </w:tcPr>
          <w:p w14:paraId="3A018E5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Body mass index</w:t>
            </w:r>
          </w:p>
        </w:tc>
        <w:tc>
          <w:tcPr>
            <w:tcW w:w="2238" w:type="dxa"/>
            <w:vAlign w:val="center"/>
            <w:shd w:fill="FFFFFF"/>
          </w:tcPr>
          <w:p w14:paraId="68BE4E5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67D11D7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kg/m²</w:t>
            </w:r>
          </w:p>
        </w:tc>
        <w:tc>
          <w:tcPr>
            <w:tcW w:w="2175" w:type="dxa"/>
            <w:vAlign w:val="center"/>
            <w:shd w:fill="FFFFFF"/>
          </w:tcPr>
          <w:p w14:paraId="5C63B28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Available in Hallym EHR but not in the MIMIC-IV input vector</w:t>
            </w:r>
          </w:p>
        </w:tc>
      </w:tr>
      <w:tr w:rsidR="0081392D" w14:paraId="5145C77C" w14:textId="77777777">
        <w:trPr>
          <w:jc w:val="center"/>
          <w:cantSplit/>
        </w:trPr>
        <w:tc>
          <w:tcPr>
            <w:tcW w:w="2559" w:type="dxa"/>
            <w:vAlign w:val="center"/>
            <w:shd w:fill="FFFFFF"/>
          </w:tcPr>
          <w:p w14:paraId="6F32C3D8"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lastRenderedPageBreak/>
              <w:t>platelet</w:t>
            </w:r>
          </w:p>
        </w:tc>
        <w:tc>
          <w:tcPr>
            <w:tcW w:w="5756" w:type="dxa"/>
            <w:vAlign w:val="center"/>
            <w:shd w:fill="FFFFFF"/>
          </w:tcPr>
          <w:p w14:paraId="09901AB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Platelet count</w:t>
            </w:r>
          </w:p>
        </w:tc>
        <w:tc>
          <w:tcPr>
            <w:tcW w:w="2238" w:type="dxa"/>
            <w:vAlign w:val="center"/>
            <w:shd w:fill="FFFFFF"/>
          </w:tcPr>
          <w:p w14:paraId="785D07C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2400A42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10³/µL</w:t>
            </w:r>
          </w:p>
        </w:tc>
        <w:tc>
          <w:tcPr>
            <w:tcW w:w="2175" w:type="dxa"/>
            <w:vAlign w:val="center"/>
            <w:shd w:fill="FFFFFF"/>
          </w:tcPr>
          <w:p w14:paraId="47A648DB"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Available in Hallym EHR but not in the MIMIC-IV input vector</w:t>
            </w:r>
          </w:p>
        </w:tc>
      </w:tr>
      <w:tr w:rsidR="0081392D" w14:paraId="6FCB7E68" w14:textId="77777777">
        <w:trPr>
          <w:jc w:val="center"/>
          <w:cantSplit/>
        </w:trPr>
        <w:tc>
          <w:tcPr>
            <w:tcW w:w="2559" w:type="dxa"/>
            <w:vAlign w:val="center"/>
            <w:shd w:fill="FFFFFF"/>
          </w:tcPr>
          <w:p w14:paraId="7D02B649"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creatinine</w:t>
            </w:r>
          </w:p>
        </w:tc>
        <w:tc>
          <w:tcPr>
            <w:tcW w:w="5756" w:type="dxa"/>
            <w:vAlign w:val="center"/>
            <w:shd w:fill="FFFFFF"/>
          </w:tcPr>
          <w:p w14:paraId="6C18115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Serum creatinine</w:t>
            </w:r>
          </w:p>
        </w:tc>
        <w:tc>
          <w:tcPr>
            <w:tcW w:w="2238" w:type="dxa"/>
            <w:vAlign w:val="center"/>
            <w:shd w:fill="FFFFFF"/>
          </w:tcPr>
          <w:p w14:paraId="725E3C5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243E2B6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mg/dL</w:t>
            </w:r>
          </w:p>
        </w:tc>
        <w:tc>
          <w:tcPr>
            <w:tcW w:w="2175" w:type="dxa"/>
            <w:vAlign w:val="center"/>
            <w:shd w:fill="FFFFFF"/>
          </w:tcPr>
          <w:p w14:paraId="0012E44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Available in Hallym EHR but not in the MIMIC-IV input vector</w:t>
            </w:r>
          </w:p>
        </w:tc>
      </w:tr>
      <w:tr w:rsidR="0081392D" w14:paraId="050AF262" w14:textId="77777777">
        <w:trPr>
          <w:jc w:val="center"/>
          <w:cantSplit/>
        </w:trPr>
        <w:tc>
          <w:tcPr>
            <w:tcW w:w="2559" w:type="dxa"/>
            <w:vAlign w:val="center"/>
            <w:shd w:fill="FFFFFF"/>
          </w:tcPr>
          <w:p w14:paraId="6CBD5218"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CRP</w:t>
            </w:r>
          </w:p>
        </w:tc>
        <w:tc>
          <w:tcPr>
            <w:tcW w:w="5756" w:type="dxa"/>
            <w:vAlign w:val="center"/>
            <w:shd w:fill="FFFFFF"/>
          </w:tcPr>
          <w:p w14:paraId="3603430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C-reactive protein</w:t>
            </w:r>
          </w:p>
        </w:tc>
        <w:tc>
          <w:tcPr>
            <w:tcW w:w="2238" w:type="dxa"/>
            <w:vAlign w:val="center"/>
            <w:shd w:fill="FFFFFF"/>
          </w:tcPr>
          <w:p w14:paraId="362E409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27701E9F"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mg/L</w:t>
            </w:r>
          </w:p>
        </w:tc>
        <w:tc>
          <w:tcPr>
            <w:tcW w:w="2175" w:type="dxa"/>
            <w:vAlign w:val="center"/>
            <w:shd w:fill="FFFFFF"/>
          </w:tcPr>
          <w:p w14:paraId="13537DB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Available in Hallym EHR but not in the MIMIC-IV input vector</w:t>
            </w:r>
          </w:p>
        </w:tc>
      </w:tr>
      <w:tr w:rsidR="0081392D" w14:paraId="13769192" w14:textId="77777777">
        <w:trPr>
          <w:jc w:val="center"/>
          <w:cantSplit/>
        </w:trPr>
        <w:tc>
          <w:tcPr>
            <w:tcW w:w="2559" w:type="dxa"/>
            <w:vAlign w:val="center"/>
            <w:shd w:fill="FFFFFF"/>
          </w:tcPr>
          <w:p w14:paraId="10015AB8"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o2_therapy_ever</w:t>
            </w:r>
          </w:p>
        </w:tc>
        <w:tc>
          <w:tcPr>
            <w:tcW w:w="5756" w:type="dxa"/>
            <w:vAlign w:val="center"/>
            <w:shd w:fill="FFFFFF"/>
          </w:tcPr>
          <w:p w14:paraId="1F01F26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Any oxygen therapy during the observation window</w:t>
            </w:r>
          </w:p>
        </w:tc>
        <w:tc>
          <w:tcPr>
            <w:tcW w:w="2238" w:type="dxa"/>
            <w:vAlign w:val="center"/>
            <w:shd w:fill="FFFFFF"/>
          </w:tcPr>
          <w:p w14:paraId="28BD1DA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Binary</w:t>
            </w:r>
          </w:p>
        </w:tc>
        <w:tc>
          <w:tcPr>
            <w:tcW w:w="2238" w:type="dxa"/>
            <w:vAlign w:val="center"/>
            <w:shd w:fill="FFFFFF"/>
          </w:tcPr>
          <w:p w14:paraId="7A2861E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 / N</w:t>
            </w:r>
          </w:p>
        </w:tc>
        <w:tc>
          <w:tcPr>
            <w:tcW w:w="2175" w:type="dxa"/>
            <w:vAlign w:val="center"/>
            <w:shd w:fill="FFFFFF"/>
          </w:tcPr>
          <w:p w14:paraId="7A40652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SOFA-2 only: room-air FiO₂=0.21 if N, not a PatchFusion input</w:t>
            </w:r>
          </w:p>
        </w:tc>
      </w:tr>
      <w:tr w:rsidR="0081392D" w14:paraId="2C7A860C" w14:textId="77777777">
        <w:trPr>
          <w:jc w:val="center"/>
          <w:cantSplit/>
        </w:trPr>
        <w:tc>
          <w:tcPr>
            <w:tcW w:w="2559" w:type="dxa"/>
            <w:vAlign w:val="center"/>
            <w:shd w:fill="FFFFFF"/>
          </w:tcPr>
          <w:p w14:paraId="46BB4B41"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o2_therapy_intensity</w:t>
            </w:r>
          </w:p>
        </w:tc>
        <w:tc>
          <w:tcPr>
            <w:tcW w:w="5756" w:type="dxa"/>
            <w:vAlign w:val="center"/>
            <w:shd w:fill="FFFFFF"/>
          </w:tcPr>
          <w:p w14:paraId="1A42E5D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Recorded inspired-oxygen intensity (usually %)</w:t>
            </w:r>
          </w:p>
        </w:tc>
        <w:tc>
          <w:tcPr>
            <w:tcW w:w="2238" w:type="dxa"/>
            <w:vAlign w:val="center"/>
            <w:shd w:fill="FFFFFF"/>
          </w:tcPr>
          <w:p w14:paraId="1377374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 / text</w:t>
            </w:r>
          </w:p>
        </w:tc>
        <w:tc>
          <w:tcPr>
            <w:tcW w:w="2238" w:type="dxa"/>
            <w:vAlign w:val="center"/>
            <w:shd w:fill="FFFFFF"/>
          </w:tcPr>
          <w:p w14:paraId="5F915D8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 (or range text)</w:t>
            </w:r>
          </w:p>
        </w:tc>
        <w:tc>
          <w:tcPr>
            <w:tcW w:w="2175" w:type="dxa"/>
            <w:vAlign w:val="center"/>
            <w:shd w:fill="FFFFFF"/>
          </w:tcPr>
          <w:p w14:paraId="66BE456E"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SOFA-2 only: primary FiO₂ source (Table S9c), not a PatchFusion input</w:t>
            </w:r>
          </w:p>
        </w:tc>
      </w:tr>
      <w:tr w:rsidR="0081392D" w14:paraId="26E20C91" w14:textId="77777777">
        <w:trPr>
          <w:jc w:val="center"/>
          <w:cantSplit/>
        </w:trPr>
        <w:tc>
          <w:tcPr>
            <w:tcW w:w="2559" w:type="dxa"/>
            <w:vAlign w:val="center"/>
            <w:shd w:fill="FFFFFF"/>
          </w:tcPr>
          <w:p w14:paraId="73754236"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o2_therapy_method</w:t>
            </w:r>
          </w:p>
        </w:tc>
        <w:tc>
          <w:tcPr>
            <w:tcW w:w="5756" w:type="dxa"/>
            <w:vAlign w:val="center"/>
            <w:shd w:fill="FFFFFF"/>
          </w:tcPr>
          <w:p w14:paraId="747A193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Oxygen delivery / ventilatory modality</w:t>
            </w:r>
          </w:p>
        </w:tc>
        <w:tc>
          <w:tcPr>
            <w:tcW w:w="2238" w:type="dxa"/>
            <w:vAlign w:val="center"/>
            <w:shd w:fill="FFFFFF"/>
          </w:tcPr>
          <w:p w14:paraId="0B270A2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Categorical</w:t>
            </w:r>
          </w:p>
        </w:tc>
        <w:tc>
          <w:tcPr>
            <w:tcW w:w="2238" w:type="dxa"/>
            <w:vAlign w:val="center"/>
            <w:shd w:fill="FFFFFF"/>
          </w:tcPr>
          <w:p w14:paraId="73BD880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e.g., Ventilator, HF, TP, FM</w:t>
            </w:r>
          </w:p>
        </w:tc>
        <w:tc>
          <w:tcPr>
            <w:tcW w:w="2175" w:type="dxa"/>
            <w:vAlign w:val="center"/>
            <w:shd w:fill="FFFFFF"/>
          </w:tcPr>
          <w:p w14:paraId="491788A5"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SOFA-2 only: advanced-support flag (Table S9c), not a PatchFusion input</w:t>
            </w:r>
          </w:p>
        </w:tc>
      </w:tr>
      <w:tr w:rsidR="0081392D" w14:paraId="758A213E" w14:textId="77777777">
        <w:trPr>
          <w:jc w:val="center"/>
          <w:cantSplit/>
        </w:trPr>
        <w:tc>
          <w:tcPr>
            <w:tcW w:w="2559" w:type="dxa"/>
            <w:vAlign w:val="center"/>
            <w:shd w:fill="FFFFFF"/>
          </w:tcPr>
          <w:p w14:paraId="4908DC5C"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o2_therapy_pressure</w:t>
            </w:r>
          </w:p>
        </w:tc>
        <w:tc>
          <w:tcPr>
            <w:tcW w:w="5756" w:type="dxa"/>
            <w:vAlign w:val="center"/>
            <w:shd w:fill="FFFFFF"/>
          </w:tcPr>
          <w:p w14:paraId="73FA8C6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Device pressure when recorded</w:t>
            </w:r>
          </w:p>
        </w:tc>
        <w:tc>
          <w:tcPr>
            <w:tcW w:w="2238" w:type="dxa"/>
            <w:vAlign w:val="center"/>
            <w:shd w:fill="FFFFFF"/>
          </w:tcPr>
          <w:p w14:paraId="6DE993E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 / text</w:t>
            </w:r>
          </w:p>
        </w:tc>
        <w:tc>
          <w:tcPr>
            <w:tcW w:w="2238" w:type="dxa"/>
            <w:vAlign w:val="center"/>
            <w:shd w:fill="FFFFFF"/>
          </w:tcPr>
          <w:p w14:paraId="34DCC7A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cmH₂O</w:t>
            </w:r>
          </w:p>
        </w:tc>
        <w:tc>
          <w:tcPr>
            <w:tcW w:w="2175" w:type="dxa"/>
            <w:vAlign w:val="center"/>
            <w:shd w:fill="FFFFFF"/>
          </w:tcPr>
          <w:p w14:paraId="14E37848"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Available in Hallym EHR but not used for FiO₂ imputation or PatchFusion</w:t>
            </w:r>
          </w:p>
        </w:tc>
      </w:tr>
      <w:tr w:rsidR="0081392D" w14:paraId="3940D43F" w14:textId="77777777">
        <w:trPr>
          <w:jc w:val="center"/>
          <w:cantSplit/>
        </w:trPr>
        <w:tc>
          <w:tcPr>
            <w:tcW w:w="2559" w:type="dxa"/>
            <w:vAlign w:val="center"/>
            <w:shd w:fill="FFFFFF"/>
          </w:tcPr>
          <w:p w14:paraId="4F2A457A"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admission type</w:t>
            </w:r>
          </w:p>
        </w:tc>
        <w:tc>
          <w:tcPr>
            <w:tcW w:w="5756" w:type="dxa"/>
            <w:vAlign w:val="center"/>
            <w:shd w:fill="FFFFFF"/>
          </w:tcPr>
          <w:p w14:paraId="23B8403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Emergency or elective admission</w:t>
            </w:r>
          </w:p>
        </w:tc>
        <w:tc>
          <w:tcPr>
            <w:tcW w:w="2238" w:type="dxa"/>
            <w:vAlign w:val="center"/>
            <w:shd w:fill="FFFFFF"/>
          </w:tcPr>
          <w:p w14:paraId="6E83A71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Categorical</w:t>
            </w:r>
          </w:p>
        </w:tc>
        <w:tc>
          <w:tcPr>
            <w:tcW w:w="2238" w:type="dxa"/>
            <w:vAlign w:val="center"/>
            <w:shd w:fill="FFFFFF"/>
          </w:tcPr>
          <w:p w14:paraId="4BACF60A"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Emergency / Elective</w:t>
            </w:r>
          </w:p>
        </w:tc>
        <w:tc>
          <w:tcPr>
            <w:tcW w:w="2175" w:type="dxa"/>
            <w:vAlign w:val="center"/>
            <w:shd w:fill="FFFFFF"/>
          </w:tcPr>
          <w:p w14:paraId="4567C6C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Available in Hallym EHR but not in the MIMIC-IV input vector</w:t>
            </w:r>
          </w:p>
        </w:tc>
      </w:tr>
      <w:tr w:rsidR="0081392D" w14:paraId="7B0E5DA4" w14:textId="77777777">
        <w:trPr>
          <w:jc w:val="center"/>
          <w:cantSplit/>
        </w:trPr>
        <w:tc>
          <w:tcPr>
            <w:tcW w:w="2559" w:type="dxa"/>
            <w:vAlign w:val="center"/>
            <w:shd w:fill="FFFFFF"/>
          </w:tcPr>
          <w:p w14:paraId="071B5194"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patient id</w:t>
            </w:r>
          </w:p>
        </w:tc>
        <w:tc>
          <w:tcPr>
            <w:tcW w:w="5756" w:type="dxa"/>
            <w:vAlign w:val="center"/>
            <w:shd w:fill="FFFFFF"/>
          </w:tcPr>
          <w:p w14:paraId="3E15425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De-identified patient identifier</w:t>
            </w:r>
          </w:p>
        </w:tc>
        <w:tc>
          <w:tcPr>
            <w:tcW w:w="2238" w:type="dxa"/>
            <w:vAlign w:val="center"/>
            <w:shd w:fill="FFFFFF"/>
          </w:tcPr>
          <w:p w14:paraId="509E66C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Categorical</w:t>
            </w:r>
          </w:p>
        </w:tc>
        <w:tc>
          <w:tcPr>
            <w:tcW w:w="2238" w:type="dxa"/>
            <w:vAlign w:val="center"/>
            <w:shd w:fill="FFFFFF"/>
          </w:tcPr>
          <w:p w14:paraId="67D8FCF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175" w:type="dxa"/>
            <w:vAlign w:val="center"/>
            <w:shd w:fill="FFFFFF"/>
          </w:tcPr>
          <w:p w14:paraId="0A6C6293"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Outcome/admin</w:t>
            </w:r>
          </w:p>
        </w:tc>
      </w:tr>
      <w:tr w:rsidR="0081392D" w14:paraId="047E1BF1" w14:textId="77777777">
        <w:trPr>
          <w:jc w:val="center"/>
          <w:cantSplit/>
        </w:trPr>
        <w:tc>
          <w:tcPr>
            <w:tcW w:w="2559" w:type="dxa"/>
            <w:vAlign w:val="center"/>
            <w:shd w:fill="FFFFFF"/>
          </w:tcPr>
          <w:p w14:paraId="712B5E47"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icu admission</w:t>
            </w:r>
          </w:p>
        </w:tc>
        <w:tc>
          <w:tcPr>
            <w:tcW w:w="5756" w:type="dxa"/>
            <w:vAlign w:val="center"/>
            <w:shd w:fill="FFFFFF"/>
          </w:tcPr>
          <w:p w14:paraId="27CCB3D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ICU admission status</w:t>
            </w:r>
          </w:p>
        </w:tc>
        <w:tc>
          <w:tcPr>
            <w:tcW w:w="2238" w:type="dxa"/>
            <w:vAlign w:val="center"/>
            <w:shd w:fill="FFFFFF"/>
          </w:tcPr>
          <w:p w14:paraId="731B33A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Binary</w:t>
            </w:r>
          </w:p>
        </w:tc>
        <w:tc>
          <w:tcPr>
            <w:tcW w:w="2238" w:type="dxa"/>
            <w:vAlign w:val="center"/>
            <w:shd w:fill="FFFFFF"/>
          </w:tcPr>
          <w:p w14:paraId="7599D952"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w:t>
            </w:r>
          </w:p>
        </w:tc>
        <w:tc>
          <w:tcPr>
            <w:tcW w:w="2175" w:type="dxa"/>
            <w:vAlign w:val="center"/>
            <w:shd w:fill="FFFFFF"/>
          </w:tcPr>
          <w:p w14:paraId="2A33137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Outcome/admin</w:t>
            </w:r>
          </w:p>
        </w:tc>
      </w:tr>
      <w:tr w:rsidR="0081392D" w14:paraId="08EB8E56" w14:textId="77777777">
        <w:trPr>
          <w:jc w:val="center"/>
          <w:cantSplit/>
        </w:trPr>
        <w:tc>
          <w:tcPr>
            <w:tcW w:w="2559" w:type="dxa"/>
            <w:vAlign w:val="center"/>
            <w:shd w:fill="FFFFFF"/>
          </w:tcPr>
          <w:p w14:paraId="75029502"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discharge status</w:t>
            </w:r>
          </w:p>
        </w:tc>
        <w:tc>
          <w:tcPr>
            <w:tcW w:w="5756" w:type="dxa"/>
            <w:vAlign w:val="center"/>
            <w:shd w:fill="FFFFFF"/>
          </w:tcPr>
          <w:p w14:paraId="7F1B7139"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Survival outcome at discharge</w:t>
            </w:r>
          </w:p>
        </w:tc>
        <w:tc>
          <w:tcPr>
            <w:tcW w:w="2238" w:type="dxa"/>
            <w:vAlign w:val="center"/>
            <w:shd w:fill="FFFFFF"/>
          </w:tcPr>
          <w:p w14:paraId="5AD38F84"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Binary</w:t>
            </w:r>
          </w:p>
        </w:tc>
        <w:tc>
          <w:tcPr>
            <w:tcW w:w="2238" w:type="dxa"/>
            <w:vAlign w:val="center"/>
            <w:shd w:fill="FFFFFF"/>
          </w:tcPr>
          <w:p w14:paraId="0135A5E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Alive / Deceased</w:t>
            </w:r>
          </w:p>
        </w:tc>
        <w:tc>
          <w:tcPr>
            <w:tcW w:w="2175" w:type="dxa"/>
            <w:vAlign w:val="center"/>
            <w:shd w:fill="FFFFFF"/>
          </w:tcPr>
          <w:p w14:paraId="022963F0"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Outcome/admin</w:t>
            </w:r>
          </w:p>
        </w:tc>
      </w:tr>
      <w:tr w:rsidR="0081392D" w14:paraId="6F71B2BF" w14:textId="77777777">
        <w:trPr>
          <w:jc w:val="center"/>
          <w:cantSplit/>
        </w:trPr>
        <w:tc>
          <w:tcPr>
            <w:tcW w:w="2559" w:type="dxa"/>
            <w:vAlign w:val="center"/>
            <w:shd w:fill="FFFFFF"/>
          </w:tcPr>
          <w:p w14:paraId="4FC0354B" w14:textId="77777777" w:rsidR="0081392D"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length of stay</w:t>
            </w:r>
          </w:p>
        </w:tc>
        <w:tc>
          <w:tcPr>
            <w:tcW w:w="5756" w:type="dxa"/>
            <w:vAlign w:val="center"/>
            <w:shd w:fill="FFFFFF"/>
          </w:tcPr>
          <w:p w14:paraId="1BC96AB7"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Length of hospital stay</w:t>
            </w:r>
          </w:p>
        </w:tc>
        <w:tc>
          <w:tcPr>
            <w:tcW w:w="2238" w:type="dxa"/>
            <w:vAlign w:val="center"/>
            <w:shd w:fill="FFFFFF"/>
          </w:tcPr>
          <w:p w14:paraId="190FC181"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Continuous</w:t>
            </w:r>
          </w:p>
        </w:tc>
        <w:tc>
          <w:tcPr>
            <w:tcW w:w="2238" w:type="dxa"/>
            <w:vAlign w:val="center"/>
            <w:shd w:fill="FFFFFF"/>
          </w:tcPr>
          <w:p w14:paraId="0C7F2F3C"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days</w:t>
            </w:r>
          </w:p>
        </w:tc>
        <w:tc>
          <w:tcPr>
            <w:tcW w:w="2175" w:type="dxa"/>
            <w:vAlign w:val="center"/>
            <w:shd w:fill="FFFFFF"/>
          </w:tcPr>
          <w:p w14:paraId="0643BB36" w14:textId="77777777" w:rsidR="0081392D"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Outcome/admin</w:t>
            </w:r>
          </w:p>
        </w:tc>
      </w:tr>
    </w:tbl>
    <w:p w14:paraId="77E34910" w14:textId="77777777" w:rsidR="0081392D"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These Hallym fields were used for cohort description, bedside score calculation (including SOFA-2), or outcome labeling only and were not appended to the frozen MIMIC-IV PatchFusion input vector. Oxygenation for SOFA-2 used o2_therapy_ever, o2_therapy_intensity, and o2_therapy_method as detailed in Table S9c, the binary oxygen-therapy indicator alone was not used to impute FiO₂; when therapy was present without intensity, severity-preserving FiO₂ fallback was used (Table S9c).</w:t>
      </w:r>
    </w:p>
    <w:p w14:paraId="6576D86E" w14:textId="77777777" w:rsidR="006E4139" w:rsidRDefault="00000000">
      <w:pPr>
        <w:keepNext/>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S9c. Hallym Oxygen-Therapy Fields and Mapping to FiO₂ / Advanced Support for SOFA-2</w:t>
      </w:r>
    </w:p>
    <w:tbl>
      <w:tblPr>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4988"/>
        <w:gridCol w:w="4988"/>
      </w:tblGrid>
      <w:tr w:rsidR="006E4139" w14:paraId="28F475A8" w14:textId="77777777">
        <w:trPr>
          <w:jc w:val="center"/>
          <w:cantSplit/>
          <w:tblHeader/>
        </w:trPr>
        <w:tc>
          <w:tcPr>
            <w:tcW w:w="4989" w:type="dxa"/>
            <w:vAlign w:val="center"/>
            <w:shd w:fill="E7E7E7"/>
          </w:tcPr>
          <w:p w14:paraId="1B59EA46"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Source field</w:t>
            </w:r>
          </w:p>
        </w:tc>
        <w:tc>
          <w:tcPr>
            <w:tcW w:w="4988" w:type="dxa"/>
            <w:vAlign w:val="center"/>
            <w:shd w:fill="E7E7E7"/>
          </w:tcPr>
          <w:p w14:paraId="637D520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Recorded value / rule</w:t>
            </w:r>
          </w:p>
        </w:tc>
        <w:tc>
          <w:tcPr>
            <w:tcW w:w="4988" w:type="dxa"/>
            <w:vAlign w:val="center"/>
            <w:shd w:fill="E7E7E7"/>
          </w:tcPr>
          <w:p w14:paraId="59BFAA4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Mapped quantity for SOFA-2</w:t>
            </w:r>
          </w:p>
        </w:tc>
      </w:tr>
      <w:tr w:rsidR="006E4139" w14:paraId="75950100" w14:textId="77777777">
        <w:trPr>
          <w:jc w:val="center"/>
          <w:cantSplit/>
        </w:trPr>
        <w:tc>
          <w:tcPr>
            <w:tcW w:w="4989" w:type="dxa"/>
            <w:vAlign w:val="center"/>
            <w:shd w:fill="FFFFFF"/>
          </w:tcPr>
          <w:p w14:paraId="45527E48"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o2_therapy_ever</w:t>
            </w:r>
          </w:p>
        </w:tc>
        <w:tc>
          <w:tcPr>
            <w:tcW w:w="4988" w:type="dxa"/>
            <w:vAlign w:val="center"/>
            <w:shd w:fill="FFFFFF"/>
          </w:tcPr>
          <w:p w14:paraId="08C3583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 (no oxygen therapy)</w:t>
            </w:r>
          </w:p>
        </w:tc>
        <w:tc>
          <w:tcPr>
            <w:tcW w:w="4988" w:type="dxa"/>
            <w:vAlign w:val="center"/>
            <w:shd w:fill="FFFFFF"/>
          </w:tcPr>
          <w:p w14:paraId="491CEBF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FiO₂ = 0.21 (room air)</w:t>
            </w:r>
          </w:p>
        </w:tc>
      </w:tr>
      <w:tr w:rsidR="006E4139" w14:paraId="0E95F762" w14:textId="77777777">
        <w:trPr>
          <w:jc w:val="center"/>
          <w:cantSplit/>
        </w:trPr>
        <w:tc>
          <w:tcPr>
            <w:tcW w:w="4989" w:type="dxa"/>
            <w:vAlign w:val="center"/>
            <w:shd w:fill="FFFFFF"/>
          </w:tcPr>
          <w:p w14:paraId="70544586"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o2_therapy_intensity</w:t>
            </w:r>
          </w:p>
        </w:tc>
        <w:tc>
          <w:tcPr>
            <w:tcW w:w="4988" w:type="dxa"/>
            <w:vAlign w:val="center"/>
            <w:shd w:fill="FFFFFF"/>
          </w:tcPr>
          <w:p w14:paraId="6BFC0E8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Numeric 21–100 (optionally with “%”)</w:t>
            </w:r>
          </w:p>
        </w:tc>
        <w:tc>
          <w:tcPr>
            <w:tcW w:w="4988" w:type="dxa"/>
            <w:vAlign w:val="center"/>
            <w:shd w:fill="FFFFFF"/>
          </w:tcPr>
          <w:p w14:paraId="3FC5493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FiO₂ = value / 100</w:t>
            </w:r>
          </w:p>
        </w:tc>
      </w:tr>
      <w:tr w:rsidR="006E4139" w14:paraId="2A614567" w14:textId="77777777">
        <w:trPr>
          <w:jc w:val="center"/>
          <w:cantSplit/>
        </w:trPr>
        <w:tc>
          <w:tcPr>
            <w:tcW w:w="4989" w:type="dxa"/>
            <w:vAlign w:val="center"/>
            <w:shd w:fill="FFFFFF"/>
          </w:tcPr>
          <w:p w14:paraId="2A401384"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o2_therapy_intensity</w:t>
            </w:r>
          </w:p>
        </w:tc>
        <w:tc>
          <w:tcPr>
            <w:tcW w:w="4988" w:type="dxa"/>
            <w:vAlign w:val="center"/>
            <w:shd w:fill="FFFFFF"/>
          </w:tcPr>
          <w:p w14:paraId="7739692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Numeric 0.21–1.0 already as fraction</w:t>
            </w:r>
          </w:p>
        </w:tc>
        <w:tc>
          <w:tcPr>
            <w:tcW w:w="4988" w:type="dxa"/>
            <w:vAlign w:val="center"/>
            <w:shd w:fill="FFFFFF"/>
          </w:tcPr>
          <w:p w14:paraId="70849BF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FiO₂ = value</w:t>
            </w:r>
          </w:p>
        </w:tc>
      </w:tr>
      <w:tr w:rsidR="006E4139" w14:paraId="0424E318" w14:textId="77777777">
        <w:trPr>
          <w:jc w:val="center"/>
          <w:cantSplit/>
        </w:trPr>
        <w:tc>
          <w:tcPr>
            <w:tcW w:w="4989" w:type="dxa"/>
            <w:vAlign w:val="center"/>
            <w:shd w:fill="FFFFFF"/>
          </w:tcPr>
          <w:p w14:paraId="70B04A1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lastRenderedPageBreak/>
              <w:t>o2_therapy_intensity</w:t>
            </w:r>
          </w:p>
        </w:tc>
        <w:tc>
          <w:tcPr>
            <w:tcW w:w="4988" w:type="dxa"/>
            <w:vAlign w:val="center"/>
            <w:shd w:fill="FFFFFF"/>
          </w:tcPr>
          <w:p w14:paraId="3616839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Range/text with leading number (e.g., 80→70, &gt;60)</w:t>
            </w:r>
          </w:p>
        </w:tc>
        <w:tc>
          <w:tcPr>
            <w:tcW w:w="4988" w:type="dxa"/>
            <w:vAlign w:val="center"/>
            <w:shd w:fill="FFFFFF"/>
          </w:tcPr>
          <w:p w14:paraId="18C2CC5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FiO₂ from first parsable number in [21, 100] ÷ 100</w:t>
            </w:r>
          </w:p>
        </w:tc>
      </w:tr>
      <w:tr w:rsidR="006E4139" w14:paraId="62080B6E" w14:textId="77777777">
        <w:trPr>
          <w:jc w:val="center"/>
          <w:cantSplit/>
        </w:trPr>
        <w:tc>
          <w:tcPr>
            <w:tcW w:w="4989" w:type="dxa"/>
            <w:vAlign w:val="center"/>
            <w:shd w:fill="FFFFFF"/>
          </w:tcPr>
          <w:p w14:paraId="1628D4E1"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o2_therapy_intensity</w:t>
            </w:r>
          </w:p>
        </w:tc>
        <w:tc>
          <w:tcPr>
            <w:tcW w:w="4988" w:type="dxa"/>
            <w:vAlign w:val="center"/>
            <w:shd w:fill="FFFFFF"/>
          </w:tcPr>
          <w:p w14:paraId="377B885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Missing / “stop” / non-parsable, and o2_therapy_ever=Y</w:t>
            </w:r>
          </w:p>
        </w:tc>
        <w:tc>
          <w:tcPr>
            <w:tcW w:w="4988" w:type="dxa"/>
            <w:vAlign w:val="center"/>
            <w:shd w:fill="FFFFFF"/>
          </w:tcPr>
          <w:p w14:paraId="1929575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FiO₂ = 1.00 with advanced ventilatory support; otherwise FiO₂ = 0.40 (severity-preserving fallback)</w:t>
            </w:r>
          </w:p>
        </w:tc>
      </w:tr>
      <w:tr w:rsidR="006E4139" w14:paraId="0CF80870" w14:textId="77777777">
        <w:trPr>
          <w:jc w:val="center"/>
          <w:cantSplit/>
        </w:trPr>
        <w:tc>
          <w:tcPr>
            <w:tcW w:w="4989" w:type="dxa"/>
            <w:vAlign w:val="center"/>
            <w:shd w:fill="FFFFFF"/>
          </w:tcPr>
          <w:p w14:paraId="69AB5399"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o2_therapy_method</w:t>
            </w:r>
          </w:p>
        </w:tc>
        <w:tc>
          <w:tcPr>
            <w:tcW w:w="4988" w:type="dxa"/>
            <w:vAlign w:val="center"/>
            <w:shd w:fill="FFFFFF"/>
          </w:tcPr>
          <w:p w14:paraId="6CB3103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Ventilator, HF, HOME, NIV, CPAP, BIPAP, IMV</w:t>
            </w:r>
          </w:p>
        </w:tc>
        <w:tc>
          <w:tcPr>
            <w:tcW w:w="4988" w:type="dxa"/>
            <w:vAlign w:val="center"/>
            <w:shd w:fill="FFFFFF"/>
          </w:tcPr>
          <w:p w14:paraId="2C81DC9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Advanced ventilatory support = yes</w:t>
            </w:r>
          </w:p>
        </w:tc>
      </w:tr>
      <w:tr w:rsidR="006E4139" w14:paraId="754F6DD2" w14:textId="77777777">
        <w:trPr>
          <w:jc w:val="center"/>
          <w:cantSplit/>
        </w:trPr>
        <w:tc>
          <w:tcPr>
            <w:tcW w:w="4989" w:type="dxa"/>
            <w:vAlign w:val="center"/>
            <w:shd w:fill="FFFFFF"/>
          </w:tcPr>
          <w:p w14:paraId="22686F08"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o2_therapy_method</w:t>
            </w:r>
          </w:p>
        </w:tc>
        <w:tc>
          <w:tcPr>
            <w:tcW w:w="4988" w:type="dxa"/>
            <w:vAlign w:val="center"/>
            <w:shd w:fill="FFFFFF"/>
          </w:tcPr>
          <w:p w14:paraId="1B783E2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TP, FM, RM, OP, RF, or missing</w:t>
            </w:r>
          </w:p>
        </w:tc>
        <w:tc>
          <w:tcPr>
            <w:tcW w:w="4988" w:type="dxa"/>
            <w:vAlign w:val="center"/>
            <w:shd w:fill="FFFFFF"/>
          </w:tcPr>
          <w:p w14:paraId="6EF62DF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Advanced ventilatory support = no</w:t>
            </w:r>
          </w:p>
        </w:tc>
      </w:tr>
      <w:tr w:rsidR="006E4139" w14:paraId="27DD1DCD" w14:textId="77777777">
        <w:trPr>
          <w:jc w:val="center"/>
          <w:cantSplit/>
        </w:trPr>
        <w:tc>
          <w:tcPr>
            <w:tcW w:w="4989" w:type="dxa"/>
            <w:vAlign w:val="center"/>
            <w:shd w:fill="FFFFFF"/>
          </w:tcPr>
          <w:p w14:paraId="0334F79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Arterial blood gas (when available)</w:t>
            </w:r>
          </w:p>
        </w:tc>
        <w:tc>
          <w:tcPr>
            <w:tcW w:w="4988" w:type="dxa"/>
            <w:vAlign w:val="center"/>
            <w:shd w:fill="FFFFFF"/>
          </w:tcPr>
          <w:p w14:paraId="220A4D4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PaO₂ with ABG FiO₂ or intensity-derived FiO₂</w:t>
            </w:r>
          </w:p>
        </w:tc>
        <w:tc>
          <w:tcPr>
            <w:tcW w:w="4988" w:type="dxa"/>
            <w:vAlign w:val="center"/>
            <w:shd w:fill="FFFFFF"/>
          </w:tcPr>
          <w:p w14:paraId="0043108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PaO₂:FiO₂ pathway preferred over SpO₂:FiO₂</w:t>
            </w:r>
          </w:p>
        </w:tc>
      </w:tr>
      <w:tr w:rsidR="006E4139" w14:paraId="1A4738CB" w14:textId="77777777">
        <w:trPr>
          <w:jc w:val="center"/>
          <w:cantSplit/>
        </w:trPr>
        <w:tc>
          <w:tcPr>
            <w:tcW w:w="4989" w:type="dxa"/>
            <w:vAlign w:val="center"/>
            <w:shd w:fill="FFFFFF"/>
          </w:tcPr>
          <w:p w14:paraId="68CCFB64"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SpO₂ (vitals)</w:t>
            </w:r>
          </w:p>
        </w:tc>
        <w:tc>
          <w:tcPr>
            <w:tcW w:w="4988" w:type="dxa"/>
            <w:vAlign w:val="center"/>
            <w:shd w:fill="FFFFFF"/>
          </w:tcPr>
          <w:p w14:paraId="1AD5233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SpO₂ &lt; 98% with FiO₂ as above</w:t>
            </w:r>
          </w:p>
        </w:tc>
        <w:tc>
          <w:tcPr>
            <w:tcW w:w="4988" w:type="dxa"/>
            <w:vAlign w:val="center"/>
            <w:shd w:fill="FFFFFF"/>
          </w:tcPr>
          <w:p w14:paraId="7DB4C06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SpO₂:FiO₂ pathway (SOFA-2 rule, SpO₂ ≥98% not scored via S/F)</w:t>
            </w:r>
          </w:p>
        </w:tc>
      </w:tr>
    </w:tbl>
    <w:p w14:paraId="395A8EC0"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Mapping used only for SOFA-2 respiratory scoring on Hallym EHR fields (not PatchFusion inputs). Numeric intensity values were converted % → fraction (e.g., 40 → 0.40). Ranges such as “80→70” used the first parsable number in [21, 100]. If o2_therapy_ever=N, FiO₂=0.21 (true room air). If oxygen therapy was recorded but intensity was missing, a severity-preserving FiO₂ fallback was applied instead of room air—FiO₂=1.00 when advanced ventilatory support was documented and FiO₂=0.40 otherwise—to avoid underestimating the respiratory SOFA-2 component (applied in 17 of 1100 stays [1.5%]; labeled SF_fallback/PF_fallback in analytic logs). Advanced support flags higher SpO₂:FiO₂ / PaO₂:FiO₂ score tiers under SOFA-2 rules when SpO₂&lt;98% (or when PaO₂:FiO₂ was used). Sensitivity analysis: rescoring the 17 fallback stays as room air (FiO₂=0.21) changed Hallym 7-day SOFA-2 AUROC from 0.692 to 0.688 and AUPRC from 0.116 to 0.114; in-hospital SOFA-2 AUROC/AUPRC changed from 0.659/0.438 to 0.657/0.435. Cardiovascular SOFA-2 used mapped vasopressor fields available in the Hallym EHR even though norepinephrine/vasopressin dose channels were masked for PatchFusion (Tables S9–S9b). GCS for PatchFusion used the numeric/neurologic channel when present; qSOFA altered mentation used the Table S9d map only when hour-level GCS was absent.</w:t>
      </w:r>
    </w:p>
    <w:p w14:paraId="62232EC5" w14:textId="77777777" w:rsidR="006E4139" w:rsidRDefault="00000000">
      <w:pPr>
        <w:keepNext/>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S9d. Pre-specified Glasgow Coma Scale Equivalence Map for qSOFA Altered Mentation (Hallym)</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4988"/>
        <w:gridCol w:w="4988"/>
      </w:tblGrid>
      <w:tr w:rsidR="006E4139" w14:paraId="34D64166" w14:textId="77777777">
        <w:trPr>
          <w:jc w:val="center"/>
          <w:cantSplit/>
          <w:tblHeader/>
        </w:trPr>
        <w:tc>
          <w:tcPr>
            <w:tcW w:w="4989" w:type="dxa"/>
            <w:vAlign w:val="center"/>
            <w:shd w:fill="E7E7E7"/>
          </w:tcPr>
          <w:p w14:paraId="7AC61F4B"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Documented neurologic status</w:t>
            </w:r>
          </w:p>
        </w:tc>
        <w:tc>
          <w:tcPr>
            <w:tcW w:w="4988" w:type="dxa"/>
            <w:vAlign w:val="center"/>
            <w:shd w:fill="E7E7E7"/>
          </w:tcPr>
          <w:p w14:paraId="1DAB776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GCS-equivalent assigned</w:t>
            </w:r>
          </w:p>
        </w:tc>
        <w:tc>
          <w:tcPr>
            <w:tcW w:w="4988" w:type="dxa"/>
            <w:vAlign w:val="center"/>
            <w:shd w:fill="E7E7E7"/>
          </w:tcPr>
          <w:p w14:paraId="560FBD1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qSOFA altered mentation (GCS &lt;15)</w:t>
            </w:r>
          </w:p>
        </w:tc>
      </w:tr>
      <w:tr w:rsidR="006E4139" w14:paraId="1CE030CA" w14:textId="77777777">
        <w:trPr>
          <w:jc w:val="center"/>
          <w:cantSplit/>
        </w:trPr>
        <w:tc>
          <w:tcPr>
            <w:tcW w:w="4989" w:type="dxa"/>
            <w:vAlign w:val="center"/>
            <w:shd w:fill="FFFFFF"/>
          </w:tcPr>
          <w:p w14:paraId="1A97AD50"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Alert</w:t>
            </w:r>
          </w:p>
        </w:tc>
        <w:tc>
          <w:tcPr>
            <w:tcW w:w="4988" w:type="dxa"/>
            <w:vAlign w:val="center"/>
            <w:shd w:fill="FFFFFF"/>
          </w:tcPr>
          <w:p w14:paraId="47E0A5F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15</w:t>
            </w:r>
          </w:p>
        </w:tc>
        <w:tc>
          <w:tcPr>
            <w:tcW w:w="4988" w:type="dxa"/>
            <w:vAlign w:val="center"/>
            <w:shd w:fill="FFFFFF"/>
          </w:tcPr>
          <w:p w14:paraId="104AB3C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w:t>
            </w:r>
          </w:p>
        </w:tc>
      </w:tr>
      <w:tr w:rsidR="006E4139" w14:paraId="44EB1143" w14:textId="77777777">
        <w:trPr>
          <w:jc w:val="center"/>
          <w:cantSplit/>
        </w:trPr>
        <w:tc>
          <w:tcPr>
            <w:tcW w:w="4989" w:type="dxa"/>
            <w:vAlign w:val="center"/>
            <w:shd w:fill="FFFFFF"/>
          </w:tcPr>
          <w:p w14:paraId="5FBC7824"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Drowsy</w:t>
            </w:r>
          </w:p>
        </w:tc>
        <w:tc>
          <w:tcPr>
            <w:tcW w:w="4988" w:type="dxa"/>
            <w:vAlign w:val="center"/>
            <w:shd w:fill="FFFFFF"/>
          </w:tcPr>
          <w:p w14:paraId="5C59F73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13–14</w:t>
            </w:r>
          </w:p>
        </w:tc>
        <w:tc>
          <w:tcPr>
            <w:tcW w:w="4988" w:type="dxa"/>
            <w:vAlign w:val="center"/>
            <w:shd w:fill="FFFFFF"/>
          </w:tcPr>
          <w:p w14:paraId="026DAF4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r>
      <w:tr w:rsidR="006E4139" w14:paraId="11AF7434" w14:textId="77777777">
        <w:trPr>
          <w:jc w:val="center"/>
          <w:cantSplit/>
        </w:trPr>
        <w:tc>
          <w:tcPr>
            <w:tcW w:w="4989" w:type="dxa"/>
            <w:vAlign w:val="center"/>
            <w:shd w:fill="FFFFFF"/>
          </w:tcPr>
          <w:p w14:paraId="09020D97"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Confused</w:t>
            </w:r>
          </w:p>
        </w:tc>
        <w:tc>
          <w:tcPr>
            <w:tcW w:w="4988" w:type="dxa"/>
            <w:vAlign w:val="center"/>
            <w:shd w:fill="FFFFFF"/>
          </w:tcPr>
          <w:p w14:paraId="2ED0009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9–12</w:t>
            </w:r>
          </w:p>
        </w:tc>
        <w:tc>
          <w:tcPr>
            <w:tcW w:w="4988" w:type="dxa"/>
            <w:vAlign w:val="center"/>
            <w:shd w:fill="FFFFFF"/>
          </w:tcPr>
          <w:p w14:paraId="7CB39D8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r>
      <w:tr w:rsidR="006E4139" w14:paraId="39A71B91" w14:textId="77777777">
        <w:trPr>
          <w:jc w:val="center"/>
          <w:cantSplit/>
        </w:trPr>
        <w:tc>
          <w:tcPr>
            <w:tcW w:w="4989" w:type="dxa"/>
            <w:vAlign w:val="center"/>
            <w:shd w:fill="FFFFFF"/>
          </w:tcPr>
          <w:p w14:paraId="1309A3DE"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Semicomatose</w:t>
            </w:r>
          </w:p>
        </w:tc>
        <w:tc>
          <w:tcPr>
            <w:tcW w:w="4988" w:type="dxa"/>
            <w:vAlign w:val="center"/>
            <w:shd w:fill="FFFFFF"/>
          </w:tcPr>
          <w:p w14:paraId="73E03F3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6–8</w:t>
            </w:r>
          </w:p>
        </w:tc>
        <w:tc>
          <w:tcPr>
            <w:tcW w:w="4988" w:type="dxa"/>
            <w:vAlign w:val="center"/>
            <w:shd w:fill="FFFFFF"/>
          </w:tcPr>
          <w:p w14:paraId="7CE6B47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r>
      <w:tr w:rsidR="006E4139" w14:paraId="06FC2B28" w14:textId="77777777">
        <w:trPr>
          <w:jc w:val="center"/>
          <w:cantSplit/>
        </w:trPr>
        <w:tc>
          <w:tcPr>
            <w:tcW w:w="4989" w:type="dxa"/>
            <w:vAlign w:val="center"/>
            <w:shd w:fill="FFFFFF"/>
          </w:tcPr>
          <w:p w14:paraId="5AD962C4"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Comatose</w:t>
            </w:r>
          </w:p>
        </w:tc>
        <w:tc>
          <w:tcPr>
            <w:tcW w:w="4988" w:type="dxa"/>
            <w:vAlign w:val="center"/>
            <w:shd w:fill="FFFFFF"/>
          </w:tcPr>
          <w:p w14:paraId="60AED1E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3–5</w:t>
            </w:r>
          </w:p>
        </w:tc>
        <w:tc>
          <w:tcPr>
            <w:tcW w:w="4988" w:type="dxa"/>
            <w:vAlign w:val="center"/>
            <w:shd w:fill="FFFFFF"/>
          </w:tcPr>
          <w:p w14:paraId="2DB8009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Yes</w:t>
            </w:r>
          </w:p>
        </w:tc>
      </w:tr>
      <w:tr w:rsidR="006E4139" w14:paraId="5ADE5214" w14:textId="77777777">
        <w:trPr>
          <w:jc w:val="center"/>
          <w:cantSplit/>
        </w:trPr>
        <w:tc>
          <w:tcPr>
            <w:tcW w:w="4989" w:type="dxa"/>
            <w:vAlign w:val="center"/>
            <w:shd w:fill="FFFFFF"/>
          </w:tcPr>
          <w:p w14:paraId="13103FC7"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Missing / not documented</w:t>
            </w:r>
          </w:p>
        </w:tc>
        <w:tc>
          <w:tcPr>
            <w:tcW w:w="4988" w:type="dxa"/>
            <w:vAlign w:val="center"/>
            <w:shd w:fill="FFFFFF"/>
          </w:tcPr>
          <w:p w14:paraId="716B692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Not scored as altered (GCS treated as 15)</w:t>
            </w:r>
          </w:p>
        </w:tc>
        <w:tc>
          <w:tcPr>
            <w:tcW w:w="4988" w:type="dxa"/>
            <w:vAlign w:val="center"/>
            <w:shd w:fill="FFFFFF"/>
          </w:tcPr>
          <w:p w14:paraId="40AD7E9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No (conservative)</w:t>
            </w:r>
          </w:p>
        </w:tc>
      </w:tr>
    </w:tbl>
    <w:p w14:paraId="1DFFA056"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Used only to operationalize the standard qSOFA altered-mentation criterion (GCS &lt;15) when hour-level numeric GCS was unavailable in the Hallym EHR. Mapping was fixed a priori and applied to neurologic status documented for the first-12-hour observation window (alert = 15, drowsy ≈ 13–14, confused ≈ 9–12, semicoma ≈ 6–8, coma ≈ 3–5). Mentation missingness was rare (1/1,100, 0.1%) and was scored as alert / GCS-equivalent 15 (SOFA-2 brain component = 0), which can undercall neurologic severity when documentation is absent. PatchFusion inputs were unchanged.</w:t>
      </w:r>
    </w:p>
    <w:p w14:paraId="72B6B943" w14:textId="77777777" w:rsidR="00221204" w:rsidRDefault="00221204" w:rsidP="00221204">
      <w:pPr>
        <w:keepNext/>
        <w:keepLines w:val="0"/>
        <w:widowControl/>
        <w:tabs>
          <w:tab w:val="left" w:pos="1602"/>
        </w:tabs>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Table S10. In-hospital Mortality Performance in the Hallym Cohort (Frozen MIMIC-IV In-Hospital Models: PatchFusion, LSTM, Transformer, TBAL)</w:t>
      </w:r>
    </w:p>
    <w:p w14:paraId="66EE3E1E" w14:textId="77777777" w:rsidR="00221204" w:rsidRPr="00A729E3" w:rsidRDefault="00221204" w:rsidP="00221204">
      <w:pPr>
        <w:pStyle w:val="a3"/>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 xml:space="preserve">Frozen MIMIC-IV in-hospital models were applied to Hallym under the common masked source-input intersection and each model’s source-selected pooled-OOF Youden cutpoint (Tables S9–S9b). Scores used actual first-12-hour EHR inputs and were withheld from clinicians. AUROC/AUPRC use continuous probabilities; sensitivity, specificity, PPV, NPV, and flags per 100 use the transported cutpoints. All 95% CIs and PPV contrasts use patient-cluster bootstrap (1,044 patients, 2000 resamples). PPV contrasts compare the models at their own cutpoints; matched operating points are reported in Tables S27–S28. PatchFusion’s confusion matrix is TP=289, FP=332, FN=39, TN=440, giving 621 flags and matching Table S14.</w:t>
      </w:r>
    </w:p>
    <w:tbl>
      <w:tblPr>
        <w:tblW w:w="5000" w:type="pct"/>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015"/>
        <w:gridCol w:w="1567"/>
        <w:gridCol w:w="1513"/>
        <w:gridCol w:w="1832"/>
        <w:gridCol w:w="1832"/>
        <w:gridCol w:w="1374"/>
        <w:gridCol w:w="1374"/>
        <w:gridCol w:w="1216"/>
        <w:gridCol w:w="2243"/>
      </w:tblGrid>
      <w:tr w:rsidR="006E4139" w14:paraId="647970E2" w14:textId="77777777">
        <w:trPr>
          <w:jc w:val="center"/>
          <w:cantSplit/>
          <w:tblHeader/>
        </w:trPr>
        <w:tc>
          <w:tcPr>
            <w:tcW w:w="2015" w:type="dxa"/>
            <w:vAlign w:val="center"/>
            <w:shd w:fill="E7E7E7"/>
          </w:tcPr>
          <w:p w14:paraId="5CD1EBA0"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Model</w:t>
            </w:r>
          </w:p>
        </w:tc>
        <w:tc>
          <w:tcPr>
            <w:tcW w:w="1567" w:type="dxa"/>
            <w:vAlign w:val="center"/>
            <w:shd w:fill="E7E7E7"/>
          </w:tcPr>
          <w:p w14:paraId="7C49341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 (95% CI)</w:t>
            </w:r>
          </w:p>
        </w:tc>
        <w:tc>
          <w:tcPr>
            <w:tcW w:w="1513" w:type="dxa"/>
            <w:vAlign w:val="center"/>
            <w:shd w:fill="E7E7E7"/>
          </w:tcPr>
          <w:p w14:paraId="1F601D7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 (95% CI)</w:t>
            </w:r>
          </w:p>
        </w:tc>
        <w:tc>
          <w:tcPr>
            <w:tcW w:w="1832" w:type="dxa"/>
            <w:vAlign w:val="center"/>
            <w:shd w:fill="E7E7E7"/>
          </w:tcPr>
          <w:p w14:paraId="4557203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Sensitivity (95% CI)</w:t>
            </w:r>
          </w:p>
        </w:tc>
        <w:tc>
          <w:tcPr>
            <w:tcW w:w="1832" w:type="dxa"/>
            <w:vAlign w:val="center"/>
            <w:shd w:fill="E7E7E7"/>
          </w:tcPr>
          <w:p w14:paraId="3A7CC55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Specificity (95% CI)</w:t>
            </w:r>
          </w:p>
        </w:tc>
        <w:tc>
          <w:tcPr>
            <w:tcW w:w="1374" w:type="dxa"/>
            <w:vAlign w:val="center"/>
            <w:shd w:fill="E7E7E7"/>
          </w:tcPr>
          <w:p w14:paraId="5FAB53C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PPV (95% CI)</w:t>
            </w:r>
          </w:p>
        </w:tc>
        <w:tc>
          <w:tcPr>
            <w:tcW w:w="1374" w:type="dxa"/>
            <w:vAlign w:val="center"/>
            <w:shd w:fill="E7E7E7"/>
          </w:tcPr>
          <w:p w14:paraId="4AB9C37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NPV (95% CI)</w:t>
            </w:r>
          </w:p>
        </w:tc>
        <w:tc>
          <w:tcPr>
            <w:tcW w:w="1216" w:type="dxa"/>
            <w:vAlign w:val="center"/>
            <w:shd w:fill="E7E7E7"/>
          </w:tcPr>
          <w:p w14:paraId="538CCC0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Alerts per 100 (95% CI)</w:t>
            </w:r>
          </w:p>
        </w:tc>
        <w:tc>
          <w:tcPr>
            <w:tcW w:w="2243" w:type="dxa"/>
            <w:vAlign w:val="center"/>
            <w:shd w:fill="E7E7E7"/>
          </w:tcPr>
          <w:p w14:paraId="5B7CF96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 value (ΔPPV vs PatchFusion)</w:t>
            </w:r>
          </w:p>
        </w:tc>
      </w:tr>
      <w:tr w:rsidR="006E4139" w14:paraId="621ED88D" w14:textId="77777777">
        <w:trPr>
          <w:jc w:val="center"/>
          <w:cantSplit/>
        </w:trPr>
        <w:tc>
          <w:tcPr>
            <w:tcW w:w="2015" w:type="dxa"/>
            <w:vAlign w:val="center"/>
            <w:shd w:fill="FFFFFF"/>
          </w:tcPr>
          <w:p w14:paraId="21EC8756"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LSTM</w:t>
            </w:r>
          </w:p>
        </w:tc>
        <w:tc>
          <w:tcPr>
            <w:tcW w:w="1567" w:type="dxa"/>
            <w:vAlign w:val="center"/>
            <w:shd w:fill="FFFFFF"/>
          </w:tcPr>
          <w:p w14:paraId="0A10C40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0.679 (0.657–0.701)</w:t>
            </w:r>
          </w:p>
        </w:tc>
        <w:tc>
          <w:tcPr>
            <w:tcW w:w="1513" w:type="dxa"/>
            <w:vAlign w:val="center"/>
            <w:shd w:fill="FFFFFF"/>
          </w:tcPr>
          <w:p w14:paraId="403D664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0.480 (0.447–0.513)</w:t>
            </w:r>
          </w:p>
        </w:tc>
        <w:tc>
          <w:tcPr>
            <w:tcW w:w="1832" w:type="dxa"/>
            <w:vAlign w:val="center"/>
            <w:shd w:fill="FFFFFF"/>
          </w:tcPr>
          <w:p w14:paraId="0E89D04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0.802 (0.755–0.841)</w:t>
            </w:r>
          </w:p>
        </w:tc>
        <w:tc>
          <w:tcPr>
            <w:tcW w:w="1832" w:type="dxa"/>
            <w:vAlign w:val="center"/>
            <w:shd w:fill="FFFFFF"/>
          </w:tcPr>
          <w:p w14:paraId="5807A10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0.420 (0.385–0.455)</w:t>
            </w:r>
          </w:p>
        </w:tc>
        <w:tc>
          <w:tcPr>
            <w:tcW w:w="1374" w:type="dxa"/>
            <w:vAlign w:val="center"/>
            <w:shd w:fill="FFFFFF"/>
          </w:tcPr>
          <w:p w14:paraId="37BAACE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0.370 (0.334–0.406)</w:t>
            </w:r>
          </w:p>
        </w:tc>
        <w:tc>
          <w:tcPr>
            <w:tcW w:w="1374" w:type="dxa"/>
            <w:vAlign w:val="center"/>
            <w:shd w:fill="FFFFFF"/>
          </w:tcPr>
          <w:p w14:paraId="0F887F8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0.833 (0.794–0.871)</w:t>
            </w:r>
          </w:p>
        </w:tc>
        <w:tc>
          <w:tcPr>
            <w:tcW w:w="1216" w:type="dxa"/>
            <w:vAlign w:val="center"/>
            <w:shd w:fill="FFFFFF"/>
          </w:tcPr>
          <w:p w14:paraId="029019F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64.6 (61.8–67.5)</w:t>
            </w:r>
          </w:p>
        </w:tc>
        <w:tc>
          <w:tcPr>
            <w:tcW w:w="2243" w:type="dxa"/>
            <w:vAlign w:val="center"/>
            <w:shd w:fill="FFFFFF"/>
          </w:tcPr>
          <w:p w14:paraId="6D40984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&lt;.001</w:t>
            </w:r>
          </w:p>
        </w:tc>
      </w:tr>
      <w:tr w:rsidR="006E4139" w14:paraId="3EF78B40" w14:textId="77777777">
        <w:trPr>
          <w:jc w:val="center"/>
          <w:cantSplit/>
        </w:trPr>
        <w:tc>
          <w:tcPr>
            <w:tcW w:w="2015" w:type="dxa"/>
            <w:vAlign w:val="center"/>
            <w:shd w:fill="FFFFFF"/>
          </w:tcPr>
          <w:p w14:paraId="5466744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Transformer</w:t>
            </w:r>
          </w:p>
        </w:tc>
        <w:tc>
          <w:tcPr>
            <w:tcW w:w="1567" w:type="dxa"/>
            <w:vAlign w:val="center"/>
            <w:shd w:fill="FFFFFF"/>
          </w:tcPr>
          <w:p w14:paraId="7986FC6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0.692 (0.667–0.717)</w:t>
            </w:r>
          </w:p>
        </w:tc>
        <w:tc>
          <w:tcPr>
            <w:tcW w:w="1513" w:type="dxa"/>
            <w:vAlign w:val="center"/>
            <w:shd w:fill="FFFFFF"/>
          </w:tcPr>
          <w:p w14:paraId="4A8E52B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0.535 (0.504–0.566)</w:t>
            </w:r>
          </w:p>
        </w:tc>
        <w:tc>
          <w:tcPr>
            <w:tcW w:w="1832" w:type="dxa"/>
            <w:vAlign w:val="center"/>
            <w:shd w:fill="FFFFFF"/>
          </w:tcPr>
          <w:p w14:paraId="5106FE3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0.820 (0.775–0.858)</w:t>
            </w:r>
          </w:p>
        </w:tc>
        <w:tc>
          <w:tcPr>
            <w:tcW w:w="1832" w:type="dxa"/>
            <w:vAlign w:val="center"/>
            <w:shd w:fill="FFFFFF"/>
          </w:tcPr>
          <w:p w14:paraId="1454048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0.481 (0.447–0.513)</w:t>
            </w:r>
          </w:p>
        </w:tc>
        <w:tc>
          <w:tcPr>
            <w:tcW w:w="1374" w:type="dxa"/>
            <w:vAlign w:val="center"/>
            <w:shd w:fill="FFFFFF"/>
          </w:tcPr>
          <w:p w14:paraId="763ED33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0.401 (0.363–0.440)</w:t>
            </w:r>
          </w:p>
        </w:tc>
        <w:tc>
          <w:tcPr>
            <w:tcW w:w="1374" w:type="dxa"/>
            <w:vAlign w:val="center"/>
            <w:shd w:fill="FFFFFF"/>
          </w:tcPr>
          <w:p w14:paraId="6339977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0.863 (0.830–0.893)</w:t>
            </w:r>
          </w:p>
        </w:tc>
        <w:tc>
          <w:tcPr>
            <w:tcW w:w="1216" w:type="dxa"/>
            <w:vAlign w:val="center"/>
            <w:shd w:fill="FFFFFF"/>
          </w:tcPr>
          <w:p w14:paraId="337533D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60.9 (58.2–63.6)</w:t>
            </w:r>
          </w:p>
        </w:tc>
        <w:tc>
          <w:tcPr>
            <w:tcW w:w="2243" w:type="dxa"/>
            <w:vAlign w:val="center"/>
            <w:shd w:fill="FFFFFF"/>
          </w:tcPr>
          <w:p w14:paraId="3253412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&lt;.001</w:t>
            </w:r>
          </w:p>
        </w:tc>
      </w:tr>
      <w:tr w:rsidR="006E4139" w14:paraId="64852198" w14:textId="77777777">
        <w:trPr>
          <w:jc w:val="center"/>
          <w:cantSplit/>
        </w:trPr>
        <w:tc>
          <w:tcPr>
            <w:tcW w:w="2015" w:type="dxa"/>
            <w:vAlign w:val="center"/>
            <w:shd w:fill="FFFFFF"/>
          </w:tcPr>
          <w:p w14:paraId="39A5E96C"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TBAL</w:t>
            </w:r>
          </w:p>
        </w:tc>
        <w:tc>
          <w:tcPr>
            <w:tcW w:w="1567" w:type="dxa"/>
            <w:vAlign w:val="center"/>
            <w:shd w:fill="FFFFFF"/>
          </w:tcPr>
          <w:p w14:paraId="2CF89F8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0.675 (0.649–0.701)</w:t>
            </w:r>
          </w:p>
        </w:tc>
        <w:tc>
          <w:tcPr>
            <w:tcW w:w="1513" w:type="dxa"/>
            <w:vAlign w:val="center"/>
            <w:shd w:fill="FFFFFF"/>
          </w:tcPr>
          <w:p w14:paraId="590D39A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0.510 (0.475–0.545)</w:t>
            </w:r>
          </w:p>
        </w:tc>
        <w:tc>
          <w:tcPr>
            <w:tcW w:w="1832" w:type="dxa"/>
            <w:vAlign w:val="center"/>
            <w:shd w:fill="FFFFFF"/>
          </w:tcPr>
          <w:p w14:paraId="6B6A020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0.750 (0.700–0.794)</w:t>
            </w:r>
          </w:p>
        </w:tc>
        <w:tc>
          <w:tcPr>
            <w:tcW w:w="1832" w:type="dxa"/>
            <w:vAlign w:val="center"/>
            <w:shd w:fill="FFFFFF"/>
          </w:tcPr>
          <w:p w14:paraId="5CDBB2A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0.551 (0.519–0.581)</w:t>
            </w:r>
          </w:p>
        </w:tc>
        <w:tc>
          <w:tcPr>
            <w:tcW w:w="1374" w:type="dxa"/>
            <w:vAlign w:val="center"/>
            <w:shd w:fill="FFFFFF"/>
          </w:tcPr>
          <w:p w14:paraId="7360DB9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0.415 (0.374–0.454)</w:t>
            </w:r>
          </w:p>
        </w:tc>
        <w:tc>
          <w:tcPr>
            <w:tcW w:w="1374" w:type="dxa"/>
            <w:vAlign w:val="center"/>
            <w:shd w:fill="FFFFFF"/>
          </w:tcPr>
          <w:p w14:paraId="65D65CB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0.838 (0.806–0.871)</w:t>
            </w:r>
          </w:p>
        </w:tc>
        <w:tc>
          <w:tcPr>
            <w:tcW w:w="1216" w:type="dxa"/>
            <w:vAlign w:val="center"/>
            <w:shd w:fill="FFFFFF"/>
          </w:tcPr>
          <w:p w14:paraId="6BB0DA2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53.9 (51.0–56.9)</w:t>
            </w:r>
          </w:p>
        </w:tc>
        <w:tc>
          <w:tcPr>
            <w:tcW w:w="2243" w:type="dxa"/>
            <w:vAlign w:val="center"/>
            <w:shd w:fill="FFFFFF"/>
          </w:tcPr>
          <w:p w14:paraId="7AAD46E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.002</w:t>
            </w:r>
          </w:p>
        </w:tc>
      </w:tr>
      <w:tr w:rsidR="006E4139" w14:paraId="0A953FCF" w14:textId="77777777">
        <w:trPr>
          <w:jc w:val="center"/>
          <w:cantSplit/>
        </w:trPr>
        <w:tc>
          <w:tcPr>
            <w:tcW w:w="2015" w:type="dxa"/>
            <w:vAlign w:val="center"/>
            <w:shd w:fill="FFFFFF"/>
          </w:tcPr>
          <w:p w14:paraId="6266A7CC"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PatchFusion</w:t>
            </w:r>
          </w:p>
        </w:tc>
        <w:tc>
          <w:tcPr>
            <w:tcW w:w="1567" w:type="dxa"/>
            <w:vAlign w:val="center"/>
            <w:shd w:fill="FFFFFF"/>
          </w:tcPr>
          <w:p w14:paraId="1740265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0.771 (0.749–0.793)</w:t>
            </w:r>
          </w:p>
        </w:tc>
        <w:tc>
          <w:tcPr>
            <w:tcW w:w="1513" w:type="dxa"/>
            <w:vAlign w:val="center"/>
            <w:shd w:fill="FFFFFF"/>
          </w:tcPr>
          <w:p w14:paraId="130A7F7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0.575 (0.546–0.604)</w:t>
            </w:r>
          </w:p>
        </w:tc>
        <w:tc>
          <w:tcPr>
            <w:tcW w:w="1832" w:type="dxa"/>
            <w:vAlign w:val="center"/>
            <w:shd w:fill="FFFFFF"/>
          </w:tcPr>
          <w:p w14:paraId="14C7C44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0.881 (0.839–0.915)</w:t>
            </w:r>
          </w:p>
        </w:tc>
        <w:tc>
          <w:tcPr>
            <w:tcW w:w="1832" w:type="dxa"/>
            <w:vAlign w:val="center"/>
            <w:shd w:fill="FFFFFF"/>
          </w:tcPr>
          <w:p w14:paraId="4EC0BFE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0.570 (0.539–0.601)</w:t>
            </w:r>
          </w:p>
        </w:tc>
        <w:tc>
          <w:tcPr>
            <w:tcW w:w="1374" w:type="dxa"/>
            <w:vAlign w:val="center"/>
            <w:shd w:fill="FFFFFF"/>
          </w:tcPr>
          <w:p w14:paraId="538F46B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0.465 (0.426–0.504)</w:t>
            </w:r>
          </w:p>
        </w:tc>
        <w:tc>
          <w:tcPr>
            <w:tcW w:w="1374" w:type="dxa"/>
            <w:vAlign w:val="center"/>
            <w:shd w:fill="FFFFFF"/>
          </w:tcPr>
          <w:p w14:paraId="3A993BC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0.919 (0.893–0.942)</w:t>
            </w:r>
          </w:p>
        </w:tc>
        <w:tc>
          <w:tcPr>
            <w:tcW w:w="1216" w:type="dxa"/>
            <w:vAlign w:val="center"/>
            <w:shd w:fill="FFFFFF"/>
          </w:tcPr>
          <w:p w14:paraId="239795A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56.5 (53.6–59.4)</w:t>
            </w:r>
          </w:p>
        </w:tc>
        <w:tc>
          <w:tcPr>
            <w:tcW w:w="2243" w:type="dxa"/>
            <w:vAlign w:val="center"/>
            <w:shd w:fill="FFFFFF"/>
          </w:tcPr>
          <w:p w14:paraId="0954859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w:t>
            </w:r>
          </w:p>
        </w:tc>
      </w:tr>
    </w:tbl>
    <w:p w14:paraId="751BA3C3" w14:textId="77777777" w:rsidR="00221204" w:rsidRDefault="00221204" w:rsidP="00221204">
      <w:pPr>
        <w:keepNext/>
        <w:keepLines w:val="0"/>
        <w:widowControl/>
        <w:tabs>
          <w:tab w:val="left" w:pos="1602"/>
        </w:tabs>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t>Table S11. Seven-Day Mortality Performance in the Hallym Cohort (Frozen MIMIC-IV 7-Day Models: PatchFusion, LSTM, Transformer, TBAL)</w:t>
      </w:r>
    </w:p>
    <w:p w14:paraId="40665B83" w14:textId="77777777" w:rsidR="00221204" w:rsidRPr="00A729E3" w:rsidRDefault="00221204" w:rsidP="00221204">
      <w:pPr>
        <w:pStyle w:val="a3"/>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 xml:space="preserve">Frozen MIMIC-IV seven-day models were applied to the same 1,100 Hallym stays (65 deaths), masked inputs, and source-selected cutpoints as the in-hospital evaluation, using the corresponding endpoint-specific checkpoints. AUROC/AUPRC use continuous probabilities; operating characteristics derive from each model’s locked-cutpoint confusion matrix. Percentile 95% CIs and PPV contrasts use patient-cluster bootstrap (1,044 patients, 2000 resamples). PatchFusion flagged 59 deaths and 330 survivors (389 flags); LSTM captured 53/65 deaths (sensitivity 0.815). PPV contrasts use each model’s own source cutpoint, with matched-sensitivity and matched-alert-rate analyses reported separately in Tables S27–S28.</w:t>
      </w:r>
    </w:p>
    <w:tbl>
      <w:tblPr>
        <w:tblW w:w="5000" w:type="pct"/>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015"/>
        <w:gridCol w:w="1567"/>
        <w:gridCol w:w="1513"/>
        <w:gridCol w:w="1832"/>
        <w:gridCol w:w="1832"/>
        <w:gridCol w:w="1374"/>
        <w:gridCol w:w="1374"/>
        <w:gridCol w:w="1216"/>
        <w:gridCol w:w="2243"/>
      </w:tblGrid>
      <w:tr w:rsidR="006E4139" w14:paraId="15703925" w14:textId="77777777">
        <w:trPr>
          <w:jc w:val="center"/>
          <w:cantSplit/>
          <w:tblHeader/>
        </w:trPr>
        <w:tc>
          <w:tcPr>
            <w:tcW w:w="2015" w:type="dxa"/>
            <w:vAlign w:val="center"/>
            <w:shd w:fill="E7E7E7"/>
          </w:tcPr>
          <w:p w14:paraId="31D18B2E"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Model</w:t>
            </w:r>
          </w:p>
        </w:tc>
        <w:tc>
          <w:tcPr>
            <w:tcW w:w="1567" w:type="dxa"/>
            <w:vAlign w:val="center"/>
            <w:shd w:fill="E7E7E7"/>
          </w:tcPr>
          <w:p w14:paraId="4ED52E5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 (95% CI)</w:t>
            </w:r>
          </w:p>
        </w:tc>
        <w:tc>
          <w:tcPr>
            <w:tcW w:w="1513" w:type="dxa"/>
            <w:vAlign w:val="center"/>
            <w:shd w:fill="E7E7E7"/>
          </w:tcPr>
          <w:p w14:paraId="635F962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 (95% CI)</w:t>
            </w:r>
          </w:p>
        </w:tc>
        <w:tc>
          <w:tcPr>
            <w:tcW w:w="1832" w:type="dxa"/>
            <w:vAlign w:val="center"/>
            <w:shd w:fill="E7E7E7"/>
          </w:tcPr>
          <w:p w14:paraId="651001C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Sensitivity (95% CI)</w:t>
            </w:r>
          </w:p>
        </w:tc>
        <w:tc>
          <w:tcPr>
            <w:tcW w:w="1832" w:type="dxa"/>
            <w:vAlign w:val="center"/>
            <w:shd w:fill="E7E7E7"/>
          </w:tcPr>
          <w:p w14:paraId="3220FE3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Specificity (95% CI)</w:t>
            </w:r>
          </w:p>
        </w:tc>
        <w:tc>
          <w:tcPr>
            <w:tcW w:w="1374" w:type="dxa"/>
            <w:vAlign w:val="center"/>
            <w:shd w:fill="E7E7E7"/>
          </w:tcPr>
          <w:p w14:paraId="36C481E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PPV (95% CI)</w:t>
            </w:r>
          </w:p>
        </w:tc>
        <w:tc>
          <w:tcPr>
            <w:tcW w:w="1374" w:type="dxa"/>
            <w:vAlign w:val="center"/>
            <w:shd w:fill="E7E7E7"/>
          </w:tcPr>
          <w:p w14:paraId="2BB86E8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NPV (95% CI)</w:t>
            </w:r>
          </w:p>
        </w:tc>
        <w:tc>
          <w:tcPr>
            <w:tcW w:w="1216" w:type="dxa"/>
            <w:vAlign w:val="center"/>
            <w:shd w:fill="E7E7E7"/>
          </w:tcPr>
          <w:p w14:paraId="5D753BA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Alerts per 100 (95% CI)</w:t>
            </w:r>
          </w:p>
        </w:tc>
        <w:tc>
          <w:tcPr>
            <w:tcW w:w="2243" w:type="dxa"/>
            <w:vAlign w:val="center"/>
            <w:shd w:fill="E7E7E7"/>
          </w:tcPr>
          <w:p w14:paraId="757E9D9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 value (ΔPPV vs PatchFusion)</w:t>
            </w:r>
          </w:p>
        </w:tc>
      </w:tr>
      <w:tr w:rsidR="006E4139" w14:paraId="07E853D0" w14:textId="77777777">
        <w:trPr>
          <w:jc w:val="center"/>
          <w:cantSplit/>
        </w:trPr>
        <w:tc>
          <w:tcPr>
            <w:tcW w:w="2015" w:type="dxa"/>
            <w:vAlign w:val="center"/>
            <w:shd w:fill="FFFFFF"/>
          </w:tcPr>
          <w:p w14:paraId="0D4CF605"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LSTM</w:t>
            </w:r>
          </w:p>
        </w:tc>
        <w:tc>
          <w:tcPr>
            <w:tcW w:w="1567" w:type="dxa"/>
            <w:vAlign w:val="center"/>
            <w:shd w:fill="FFFFFF"/>
          </w:tcPr>
          <w:p w14:paraId="5C86CC6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0.778 (0.751–0.805)</w:t>
            </w:r>
          </w:p>
        </w:tc>
        <w:tc>
          <w:tcPr>
            <w:tcW w:w="1513" w:type="dxa"/>
            <w:vAlign w:val="center"/>
            <w:shd w:fill="FFFFFF"/>
          </w:tcPr>
          <w:p w14:paraId="3A5D245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0.248 (0.182–0.325)</w:t>
            </w:r>
          </w:p>
        </w:tc>
        <w:tc>
          <w:tcPr>
            <w:tcW w:w="1832" w:type="dxa"/>
            <w:vAlign w:val="center"/>
            <w:shd w:fill="FFFFFF"/>
          </w:tcPr>
          <w:p w14:paraId="22475CD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0.815 (0.704–0.891)</w:t>
            </w:r>
          </w:p>
        </w:tc>
        <w:tc>
          <w:tcPr>
            <w:tcW w:w="1832" w:type="dxa"/>
            <w:vAlign w:val="center"/>
            <w:shd w:fill="FFFFFF"/>
          </w:tcPr>
          <w:p w14:paraId="26C28CE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0.604 (0.569–0.639)</w:t>
            </w:r>
          </w:p>
        </w:tc>
        <w:tc>
          <w:tcPr>
            <w:tcW w:w="1374" w:type="dxa"/>
            <w:vAlign w:val="center"/>
            <w:shd w:fill="FFFFFF"/>
          </w:tcPr>
          <w:p w14:paraId="10A3AAF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0.114 (0.087–0.144)</w:t>
            </w:r>
          </w:p>
        </w:tc>
        <w:tc>
          <w:tcPr>
            <w:tcW w:w="1374" w:type="dxa"/>
            <w:vAlign w:val="center"/>
            <w:shd w:fill="FFFFFF"/>
          </w:tcPr>
          <w:p w14:paraId="71E1CE8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0.981 (0.969–0.991)</w:t>
            </w:r>
          </w:p>
        </w:tc>
        <w:tc>
          <w:tcPr>
            <w:tcW w:w="1216" w:type="dxa"/>
            <w:vAlign w:val="center"/>
            <w:shd w:fill="FFFFFF"/>
          </w:tcPr>
          <w:p w14:paraId="7EBC9E8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42.1 (39.2–45.1)</w:t>
            </w:r>
          </w:p>
        </w:tc>
        <w:tc>
          <w:tcPr>
            <w:tcW w:w="2243" w:type="dxa"/>
            <w:vAlign w:val="center"/>
            <w:shd w:fill="FFFFFF"/>
          </w:tcPr>
          <w:p w14:paraId="251A958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&lt;.001</w:t>
            </w:r>
          </w:p>
        </w:tc>
      </w:tr>
      <w:tr w:rsidR="006E4139" w14:paraId="3F4456E4" w14:textId="77777777">
        <w:trPr>
          <w:jc w:val="center"/>
          <w:cantSplit/>
        </w:trPr>
        <w:tc>
          <w:tcPr>
            <w:tcW w:w="2015" w:type="dxa"/>
            <w:vAlign w:val="center"/>
            <w:shd w:fill="FFFFFF"/>
          </w:tcPr>
          <w:p w14:paraId="76E40343"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Transformer</w:t>
            </w:r>
          </w:p>
        </w:tc>
        <w:tc>
          <w:tcPr>
            <w:tcW w:w="1567" w:type="dxa"/>
            <w:vAlign w:val="center"/>
            <w:shd w:fill="FFFFFF"/>
          </w:tcPr>
          <w:p w14:paraId="245E241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0.796 (0.772–0.820)</w:t>
            </w:r>
          </w:p>
        </w:tc>
        <w:tc>
          <w:tcPr>
            <w:tcW w:w="1513" w:type="dxa"/>
            <w:vAlign w:val="center"/>
            <w:shd w:fill="FFFFFF"/>
          </w:tcPr>
          <w:p w14:paraId="4A9B5ED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0.271 (0.203–0.349)</w:t>
            </w:r>
          </w:p>
        </w:tc>
        <w:tc>
          <w:tcPr>
            <w:tcW w:w="1832" w:type="dxa"/>
            <w:vAlign w:val="center"/>
            <w:shd w:fill="FFFFFF"/>
          </w:tcPr>
          <w:p w14:paraId="4592722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0.785 (0.670–0.867)</w:t>
            </w:r>
          </w:p>
        </w:tc>
        <w:tc>
          <w:tcPr>
            <w:tcW w:w="1832" w:type="dxa"/>
            <w:vAlign w:val="center"/>
            <w:shd w:fill="FFFFFF"/>
          </w:tcPr>
          <w:p w14:paraId="1E328C1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0.602 (0.575–0.629)</w:t>
            </w:r>
          </w:p>
        </w:tc>
        <w:tc>
          <w:tcPr>
            <w:tcW w:w="1374" w:type="dxa"/>
            <w:vAlign w:val="center"/>
            <w:shd w:fill="FFFFFF"/>
          </w:tcPr>
          <w:p w14:paraId="143588E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0.110 (0.083–0.140)</w:t>
            </w:r>
          </w:p>
        </w:tc>
        <w:tc>
          <w:tcPr>
            <w:tcW w:w="1374" w:type="dxa"/>
            <w:vAlign w:val="center"/>
            <w:shd w:fill="FFFFFF"/>
          </w:tcPr>
          <w:p w14:paraId="64D2D0E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0.978 (0.966–0.989)</w:t>
            </w:r>
          </w:p>
        </w:tc>
        <w:tc>
          <w:tcPr>
            <w:tcW w:w="1216" w:type="dxa"/>
            <w:vAlign w:val="center"/>
            <w:shd w:fill="FFFFFF"/>
          </w:tcPr>
          <w:p w14:paraId="06A406F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42.1 (39.1–45.1)</w:t>
            </w:r>
          </w:p>
        </w:tc>
        <w:tc>
          <w:tcPr>
            <w:tcW w:w="2243" w:type="dxa"/>
            <w:vAlign w:val="center"/>
            <w:shd w:fill="FFFFFF"/>
          </w:tcPr>
          <w:p w14:paraId="5DAC8A5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&lt;.001</w:t>
            </w:r>
          </w:p>
        </w:tc>
      </w:tr>
      <w:tr w:rsidR="006E4139" w14:paraId="0D6BAA46" w14:textId="77777777">
        <w:trPr>
          <w:jc w:val="center"/>
          <w:cantSplit/>
        </w:trPr>
        <w:tc>
          <w:tcPr>
            <w:tcW w:w="2015" w:type="dxa"/>
            <w:vAlign w:val="center"/>
            <w:shd w:fill="FFFFFF"/>
          </w:tcPr>
          <w:p w14:paraId="3BC64B8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TBAL</w:t>
            </w:r>
          </w:p>
        </w:tc>
        <w:tc>
          <w:tcPr>
            <w:tcW w:w="1567" w:type="dxa"/>
            <w:vAlign w:val="center"/>
            <w:shd w:fill="FFFFFF"/>
          </w:tcPr>
          <w:p w14:paraId="414B9C8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0.815 (0.793–0.837)</w:t>
            </w:r>
          </w:p>
        </w:tc>
        <w:tc>
          <w:tcPr>
            <w:tcW w:w="1513" w:type="dxa"/>
            <w:vAlign w:val="center"/>
            <w:shd w:fill="FFFFFF"/>
          </w:tcPr>
          <w:p w14:paraId="0CC0F33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0.285 (0.214–0.366)</w:t>
            </w:r>
          </w:p>
        </w:tc>
        <w:tc>
          <w:tcPr>
            <w:tcW w:w="1832" w:type="dxa"/>
            <w:vAlign w:val="center"/>
            <w:shd w:fill="FFFFFF"/>
          </w:tcPr>
          <w:p w14:paraId="614018D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0.831 (0.739–0.914)</w:t>
            </w:r>
          </w:p>
        </w:tc>
        <w:tc>
          <w:tcPr>
            <w:tcW w:w="1832" w:type="dxa"/>
            <w:vAlign w:val="center"/>
            <w:shd w:fill="FFFFFF"/>
          </w:tcPr>
          <w:p w14:paraId="7306CED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0.623 (0.594–0.652)</w:t>
            </w:r>
          </w:p>
        </w:tc>
        <w:tc>
          <w:tcPr>
            <w:tcW w:w="1374" w:type="dxa"/>
            <w:vAlign w:val="center"/>
            <w:shd w:fill="FFFFFF"/>
          </w:tcPr>
          <w:p w14:paraId="673A184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0.122 (0.094–0.152)</w:t>
            </w:r>
          </w:p>
        </w:tc>
        <w:tc>
          <w:tcPr>
            <w:tcW w:w="1374" w:type="dxa"/>
            <w:vAlign w:val="center"/>
            <w:shd w:fill="FFFFFF"/>
          </w:tcPr>
          <w:p w14:paraId="3AC20D2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0.983 (0.973–0.992)</w:t>
            </w:r>
          </w:p>
        </w:tc>
        <w:tc>
          <w:tcPr>
            <w:tcW w:w="1216" w:type="dxa"/>
            <w:vAlign w:val="center"/>
            <w:shd w:fill="FFFFFF"/>
          </w:tcPr>
          <w:p w14:paraId="41801F5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40.4 (37.4–43.5)</w:t>
            </w:r>
          </w:p>
        </w:tc>
        <w:tc>
          <w:tcPr>
            <w:tcW w:w="2243" w:type="dxa"/>
            <w:vAlign w:val="center"/>
            <w:shd w:fill="FFFFFF"/>
          </w:tcPr>
          <w:p w14:paraId="6B3FE61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.005</w:t>
            </w:r>
          </w:p>
        </w:tc>
      </w:tr>
      <w:tr w:rsidR="006E4139" w14:paraId="5244C166" w14:textId="77777777">
        <w:trPr>
          <w:jc w:val="center"/>
          <w:cantSplit/>
        </w:trPr>
        <w:tc>
          <w:tcPr>
            <w:tcW w:w="2015" w:type="dxa"/>
            <w:vAlign w:val="center"/>
            <w:shd w:fill="FFFFFF"/>
          </w:tcPr>
          <w:p w14:paraId="766FFAB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PatchFusion</w:t>
            </w:r>
          </w:p>
        </w:tc>
        <w:tc>
          <w:tcPr>
            <w:tcW w:w="1567" w:type="dxa"/>
            <w:vAlign w:val="center"/>
            <w:shd w:fill="FFFFFF"/>
          </w:tcPr>
          <w:p w14:paraId="40F1728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0.838 (0.811–0.865)</w:t>
            </w:r>
          </w:p>
        </w:tc>
        <w:tc>
          <w:tcPr>
            <w:tcW w:w="1513" w:type="dxa"/>
            <w:vAlign w:val="center"/>
            <w:shd w:fill="FFFFFF"/>
          </w:tcPr>
          <w:p w14:paraId="09C291A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0.318 (0.240–0.405)</w:t>
            </w:r>
          </w:p>
        </w:tc>
        <w:tc>
          <w:tcPr>
            <w:tcW w:w="1832" w:type="dxa"/>
            <w:vAlign w:val="center"/>
            <w:shd w:fill="FFFFFF"/>
          </w:tcPr>
          <w:p w14:paraId="085ACF3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0.908 (0.811–0.959)</w:t>
            </w:r>
          </w:p>
        </w:tc>
        <w:tc>
          <w:tcPr>
            <w:tcW w:w="1832" w:type="dxa"/>
            <w:vAlign w:val="center"/>
            <w:shd w:fill="FFFFFF"/>
          </w:tcPr>
          <w:p w14:paraId="1ECC747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0.681 (0.652–0.710)</w:t>
            </w:r>
          </w:p>
        </w:tc>
        <w:tc>
          <w:tcPr>
            <w:tcW w:w="1374" w:type="dxa"/>
            <w:vAlign w:val="center"/>
            <w:shd w:fill="FFFFFF"/>
          </w:tcPr>
          <w:p w14:paraId="249D640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0.152 (0.118–0.188)</w:t>
            </w:r>
          </w:p>
        </w:tc>
        <w:tc>
          <w:tcPr>
            <w:tcW w:w="1374" w:type="dxa"/>
            <w:vAlign w:val="center"/>
            <w:shd w:fill="FFFFFF"/>
          </w:tcPr>
          <w:p w14:paraId="451450F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0.992 (0.984–0.997)</w:t>
            </w:r>
          </w:p>
        </w:tc>
        <w:tc>
          <w:tcPr>
            <w:tcW w:w="1216" w:type="dxa"/>
            <w:vAlign w:val="center"/>
            <w:shd w:fill="FFFFFF"/>
          </w:tcPr>
          <w:p w14:paraId="3772F27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35.4 (32.7–38.1)</w:t>
            </w:r>
          </w:p>
        </w:tc>
        <w:tc>
          <w:tcPr>
            <w:tcW w:w="2243" w:type="dxa"/>
            <w:vAlign w:val="center"/>
            <w:shd w:fill="FFFFFF"/>
          </w:tcPr>
          <w:p w14:paraId="4FCBA34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w:t>
            </w:r>
          </w:p>
        </w:tc>
      </w:tr>
    </w:tbl>
    <w:p w14:paraId="674AFB32" w14:textId="77777777" w:rsidR="00067B1F" w:rsidRDefault="00000000">
      <w:pPr>
        <w:keepNext/>
        <w:keepLines w:val="0"/>
        <w:pageBreakBefore/>
        <w:widowControl/>
        <w:spacing w:line="480" w:lineRule="auto" w:before="0" w:after="80"/>
        <w:ind w:left="0" w:right="0" w:firstLine="0"/>
      </w:pPr>
      <w:r>
        <w:rPr>
          <w:rFonts w:ascii="Times New Roman" w:hAnsi="Times New Roman" w:eastAsia="Times New Roman" w:cs="Times New Roman"/>
          <w:b/>
          <w:vanish w:val="0"/>
          <w:color w:val="000000"/>
          <w:sz w:val="22"/>
        </w:rPr>
        <w:t>Table S11c. Prospective Silent-Scoring Discrimination in Hallym (PatchFusion; n=279 stays from August 28, 2025)</w:t>
      </w:r>
    </w:p>
    <w:tbl>
      <w:tblPr>
        <w:jc w:val="center"/>
        <w:tblW w:w="9000" w:type="dxa"/>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741"/>
        <w:gridCol w:w="3741"/>
        <w:gridCol w:w="3741"/>
        <w:gridCol w:w="3741"/>
      </w:tblGrid>
      <w:tr w:rsidR="00067B1F" w14:paraId="2505D255" w14:textId="77777777">
        <w:trPr>
          <w:cantSplit/>
          <w:tblHeader/>
        </w:trPr>
        <w:tc>
          <w:tcPr>
            <w:tcW w:w="3741" w:type="dxa"/>
            <w:vAlign w:val="center"/>
            <w:shd w:fill="E7E7E7"/>
          </w:tcPr>
          <w:p w14:paraId="42939F21"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nish w:val="0"/>
                <w:color w:val="000000"/>
                <w:sz w:val="19"/>
                <w:szCs w:val="20"/>
              </w:rPr>
              <w:t>Endpoint</w:t>
            </w:r>
          </w:p>
        </w:tc>
        <w:tc>
          <w:tcPr>
            <w:tcW w:w="3741" w:type="dxa"/>
            <w:vAlign w:val="center"/>
            <w:shd w:fill="E7E7E7"/>
          </w:tcPr>
          <w:p w14:paraId="344C996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Events / N</w:t>
            </w:r>
          </w:p>
        </w:tc>
        <w:tc>
          <w:tcPr>
            <w:tcW w:w="3741" w:type="dxa"/>
            <w:vAlign w:val="center"/>
            <w:shd w:fill="E7E7E7"/>
          </w:tcPr>
          <w:p w14:paraId="79A57A7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AUROC (95% CI)</w:t>
            </w:r>
          </w:p>
        </w:tc>
        <w:tc>
          <w:tcPr>
            <w:tcW w:w="3741" w:type="dxa"/>
            <w:vAlign w:val="center"/>
            <w:shd w:fill="E7E7E7"/>
          </w:tcPr>
          <w:p w14:paraId="5C5787E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AUPRC (95% CI)</w:t>
            </w:r>
          </w:p>
        </w:tc>
      </w:tr>
      <w:tr w:rsidR="00067B1F" w14:paraId="17D87324" w14:textId="77777777">
        <w:trPr>
          <w:cantSplit/>
        </w:trPr>
        <w:tc>
          <w:tcPr>
            <w:tcW w:w="3741" w:type="dxa"/>
            <w:vAlign w:val="center"/>
            <w:shd w:fill="FFFFFF"/>
          </w:tcPr>
          <w:p w14:paraId="6B62D4CD"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7-day mortality</w:t>
            </w:r>
          </w:p>
        </w:tc>
        <w:tc>
          <w:tcPr>
            <w:tcW w:w="3741" w:type="dxa"/>
            <w:vAlign w:val="center"/>
            <w:shd w:fill="FFFFFF"/>
          </w:tcPr>
          <w:p w14:paraId="498AB91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16 / 279</w:t>
            </w:r>
          </w:p>
        </w:tc>
        <w:tc>
          <w:tcPr>
            <w:tcW w:w="3741" w:type="dxa"/>
            <w:vAlign w:val="center"/>
            <w:shd w:fill="FFFFFF"/>
          </w:tcPr>
          <w:p w14:paraId="69EB10C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0.821 (0.732–0.901)</w:t>
            </w:r>
          </w:p>
        </w:tc>
        <w:tc>
          <w:tcPr>
            <w:tcW w:w="3741" w:type="dxa"/>
            <w:vAlign w:val="center"/>
            <w:shd w:fill="FFFFFF"/>
          </w:tcPr>
          <w:p w14:paraId="79F06ED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0.295 (0.151–0.482)</w:t>
            </w:r>
          </w:p>
        </w:tc>
      </w:tr>
      <w:tr w:rsidR="00067B1F" w14:paraId="08EAB319" w14:textId="77777777">
        <w:trPr>
          <w:cantSplit/>
        </w:trPr>
        <w:tc>
          <w:tcPr>
            <w:tcW w:w="3741" w:type="dxa"/>
            <w:vAlign w:val="center"/>
            <w:shd w:fill="FFFFFF"/>
          </w:tcPr>
          <w:p w14:paraId="65C5E180"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In-hospital mortality</w:t>
            </w:r>
          </w:p>
        </w:tc>
        <w:tc>
          <w:tcPr>
            <w:tcW w:w="3741" w:type="dxa"/>
            <w:vAlign w:val="center"/>
            <w:shd w:fill="FFFFFF"/>
          </w:tcPr>
          <w:p w14:paraId="7368D8E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82 / 279</w:t>
            </w:r>
          </w:p>
        </w:tc>
        <w:tc>
          <w:tcPr>
            <w:tcW w:w="3741" w:type="dxa"/>
            <w:vAlign w:val="center"/>
            <w:shd w:fill="FFFFFF"/>
          </w:tcPr>
          <w:p w14:paraId="1855AA8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0.701 (0.648–0.752)</w:t>
            </w:r>
          </w:p>
        </w:tc>
        <w:tc>
          <w:tcPr>
            <w:tcW w:w="3741" w:type="dxa"/>
            <w:vAlign w:val="center"/>
            <w:shd w:fill="FFFFFF"/>
          </w:tcPr>
          <w:p w14:paraId="297BAEB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0.548 (0.470–0.622)</w:t>
            </w:r>
          </w:p>
        </w:tc>
      </w:tr>
    </w:tbl>
    <w:p w14:paraId="06E8A84C"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Scores used the locked MIMIC-IV final models for the corresponding endpoints without Hallym retraining or threshold reselection. AUROC and AUPRC are threshold-independent and were computed from continuous predicted probabilities (not from a locked Youden cutpoint). Percentile 95% CIs used patient-cluster bootstrap (patients resampled with replacement; 2000 resamples). Event counts are small for 7-day mortality (16 deaths), so intervals are wide.</w:t>
      </w:r>
    </w:p>
    <w:p w14:paraId="32BC4CA2" w14:textId="77777777" w:rsidR="006E4139" w:rsidRDefault="00000000">
      <w:pPr>
        <w:keepNext/>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S12. qSOFA and SOFA-2 Discrimination on MIMIC-IV (Youden Cutpoint Selection Cohort)</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6E4139" w14:paraId="140C07FC" w14:textId="77777777">
        <w:trPr>
          <w:jc w:val="center"/>
          <w:cantSplit/>
          <w:tblHeader/>
        </w:trPr>
        <w:tc>
          <w:tcPr>
            <w:tcW w:w="2138" w:type="dxa"/>
            <w:vAlign w:val="center"/>
            <w:shd w:fill="E7E7E7"/>
          </w:tcPr>
          <w:p w14:paraId="7CD4AFE0"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Outcome</w:t>
            </w:r>
          </w:p>
        </w:tc>
        <w:tc>
          <w:tcPr>
            <w:tcW w:w="2138" w:type="dxa"/>
            <w:vAlign w:val="center"/>
            <w:shd w:fill="E7E7E7"/>
          </w:tcPr>
          <w:p w14:paraId="066C1A1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Score</w:t>
            </w:r>
          </w:p>
        </w:tc>
        <w:tc>
          <w:tcPr>
            <w:tcW w:w="2138" w:type="dxa"/>
            <w:vAlign w:val="center"/>
            <w:shd w:fill="E7E7E7"/>
          </w:tcPr>
          <w:p w14:paraId="7C31A59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 (95% CI)</w:t>
            </w:r>
          </w:p>
        </w:tc>
        <w:tc>
          <w:tcPr>
            <w:tcW w:w="2138" w:type="dxa"/>
            <w:vAlign w:val="center"/>
            <w:shd w:fill="E7E7E7"/>
          </w:tcPr>
          <w:p w14:paraId="17AB804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 (95% CI)</w:t>
            </w:r>
          </w:p>
        </w:tc>
        <w:tc>
          <w:tcPr>
            <w:tcW w:w="2138" w:type="dxa"/>
            <w:vAlign w:val="center"/>
            <w:shd w:fill="E7E7E7"/>
          </w:tcPr>
          <w:p w14:paraId="29641FF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Youden cutpoint (MIMIC-IV validation)</w:t>
            </w:r>
          </w:p>
        </w:tc>
        <w:tc>
          <w:tcPr>
            <w:tcW w:w="2138" w:type="dxa"/>
            <w:vAlign w:val="center"/>
            <w:shd w:fill="E7E7E7"/>
          </w:tcPr>
          <w:p w14:paraId="012C401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Sensitivity (95% CI)</w:t>
            </w:r>
          </w:p>
        </w:tc>
        <w:tc>
          <w:tcPr>
            <w:tcW w:w="2138" w:type="dxa"/>
            <w:vAlign w:val="center"/>
            <w:shd w:fill="E7E7E7"/>
          </w:tcPr>
          <w:p w14:paraId="19A2C27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Specificity (95% CI)</w:t>
            </w:r>
          </w:p>
        </w:tc>
      </w:tr>
      <w:tr w:rsidR="006E4139" w14:paraId="4DC1E4AA" w14:textId="77777777">
        <w:trPr>
          <w:jc w:val="center"/>
          <w:cantSplit/>
        </w:trPr>
        <w:tc>
          <w:tcPr>
            <w:tcW w:w="2138" w:type="dxa"/>
            <w:vAlign w:val="center"/>
            <w:shd w:fill="FFFFFF"/>
          </w:tcPr>
          <w:p w14:paraId="2C9B13F8"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In-hospital mortality</w:t>
            </w:r>
          </w:p>
        </w:tc>
        <w:tc>
          <w:tcPr>
            <w:tcW w:w="2138" w:type="dxa"/>
            <w:vAlign w:val="center"/>
            <w:shd w:fill="FFFFFF"/>
          </w:tcPr>
          <w:p w14:paraId="5459E2E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qSOFA</w:t>
            </w:r>
          </w:p>
        </w:tc>
        <w:tc>
          <w:tcPr>
            <w:tcW w:w="2138" w:type="dxa"/>
            <w:vAlign w:val="center"/>
            <w:shd w:fill="FFFFFF"/>
          </w:tcPr>
          <w:p w14:paraId="1761A26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0.582 (0.571–0.593)</w:t>
            </w:r>
          </w:p>
        </w:tc>
        <w:tc>
          <w:tcPr>
            <w:tcW w:w="2138" w:type="dxa"/>
            <w:vAlign w:val="center"/>
            <w:shd w:fill="FFFFFF"/>
          </w:tcPr>
          <w:p w14:paraId="179FFE5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0.148 (0.140–0.157)</w:t>
            </w:r>
          </w:p>
        </w:tc>
        <w:tc>
          <w:tcPr>
            <w:tcW w:w="2138" w:type="dxa"/>
            <w:vAlign w:val="center"/>
            <w:shd w:fill="FFFFFF"/>
          </w:tcPr>
          <w:p w14:paraId="6FEC4C6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w:t>
            </w:r>
          </w:p>
        </w:tc>
        <w:tc>
          <w:tcPr>
            <w:tcW w:w="2138" w:type="dxa"/>
            <w:vAlign w:val="center"/>
            <w:shd w:fill="FFFFFF"/>
          </w:tcPr>
          <w:p w14:paraId="573C099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0.724 (0.712–0.736)</w:t>
            </w:r>
          </w:p>
        </w:tc>
        <w:tc>
          <w:tcPr>
            <w:tcW w:w="2138" w:type="dxa"/>
            <w:vAlign w:val="center"/>
            <w:shd w:fill="FFFFFF"/>
          </w:tcPr>
          <w:p w14:paraId="354907E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0.412 (0.407–0.417)</w:t>
            </w:r>
          </w:p>
        </w:tc>
      </w:tr>
      <w:tr w:rsidR="006E4139" w14:paraId="16EA7042" w14:textId="77777777">
        <w:trPr>
          <w:jc w:val="center"/>
          <w:cantSplit/>
        </w:trPr>
        <w:tc>
          <w:tcPr>
            <w:tcW w:w="2138" w:type="dxa"/>
            <w:vAlign w:val="center"/>
            <w:shd w:fill="FFFFFF"/>
          </w:tcPr>
          <w:p w14:paraId="226E383C" w14:textId="77777777" w:rsidR="006E4139" w:rsidRDefault="006E4139">
            <w:pPr>
              <w:keepNext w:val="0"/>
              <w:keepLines w:val="0"/>
              <w:widowControl/>
              <w:spacing w:before="0" w:after="0" w:line="480" w:lineRule="auto"/>
              <w:ind w:left="0" w:right="0" w:firstLine="0"/>
              <w:jc w:val="left"/>
            </w:pPr>
          </w:p>
        </w:tc>
        <w:tc>
          <w:tcPr>
            <w:tcW w:w="2138" w:type="dxa"/>
            <w:vAlign w:val="center"/>
            <w:shd w:fill="FFFFFF"/>
          </w:tcPr>
          <w:p w14:paraId="79700D8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SOFA-2 total</w:t>
            </w:r>
          </w:p>
        </w:tc>
        <w:tc>
          <w:tcPr>
            <w:tcW w:w="2138" w:type="dxa"/>
            <w:vAlign w:val="center"/>
            <w:shd w:fill="FFFFFF"/>
          </w:tcPr>
          <w:p w14:paraId="5AC46CB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0.752 (0.744–0.760)</w:t>
            </w:r>
          </w:p>
        </w:tc>
        <w:tc>
          <w:tcPr>
            <w:tcW w:w="2138" w:type="dxa"/>
            <w:vAlign w:val="center"/>
            <w:shd w:fill="FFFFFF"/>
          </w:tcPr>
          <w:p w14:paraId="3C8C16A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0.312 (0.300–0.325)</w:t>
            </w:r>
          </w:p>
        </w:tc>
        <w:tc>
          <w:tcPr>
            <w:tcW w:w="2138" w:type="dxa"/>
            <w:vAlign w:val="center"/>
            <w:shd w:fill="FFFFFF"/>
          </w:tcPr>
          <w:p w14:paraId="654ED56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w:t>
            </w:r>
          </w:p>
        </w:tc>
        <w:tc>
          <w:tcPr>
            <w:tcW w:w="2138" w:type="dxa"/>
            <w:vAlign w:val="center"/>
            <w:shd w:fill="FFFFFF"/>
          </w:tcPr>
          <w:p w14:paraId="1C5D68C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0.686 (0.674–0.698)</w:t>
            </w:r>
          </w:p>
        </w:tc>
        <w:tc>
          <w:tcPr>
            <w:tcW w:w="2138" w:type="dxa"/>
            <w:vAlign w:val="center"/>
            <w:shd w:fill="FFFFFF"/>
          </w:tcPr>
          <w:p w14:paraId="468928A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0.702 (0.698–0.706)</w:t>
            </w:r>
          </w:p>
        </w:tc>
      </w:tr>
      <w:tr w:rsidR="006E4139" w14:paraId="578CE68A" w14:textId="77777777">
        <w:trPr>
          <w:jc w:val="center"/>
          <w:cantSplit/>
        </w:trPr>
        <w:tc>
          <w:tcPr>
            <w:tcW w:w="2138" w:type="dxa"/>
            <w:vAlign w:val="center"/>
            <w:shd w:fill="FFFFFF"/>
          </w:tcPr>
          <w:p w14:paraId="3AE14DAC"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7-day mortality</w:t>
            </w:r>
          </w:p>
        </w:tc>
        <w:tc>
          <w:tcPr>
            <w:tcW w:w="2138" w:type="dxa"/>
            <w:vAlign w:val="center"/>
            <w:shd w:fill="FFFFFF"/>
          </w:tcPr>
          <w:p w14:paraId="706D941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qSOFA</w:t>
            </w:r>
          </w:p>
        </w:tc>
        <w:tc>
          <w:tcPr>
            <w:tcW w:w="2138" w:type="dxa"/>
            <w:vAlign w:val="center"/>
            <w:shd w:fill="FFFFFF"/>
          </w:tcPr>
          <w:p w14:paraId="36D69FE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0.641 (0.628–0.654)</w:t>
            </w:r>
          </w:p>
        </w:tc>
        <w:tc>
          <w:tcPr>
            <w:tcW w:w="2138" w:type="dxa"/>
            <w:vAlign w:val="center"/>
            <w:shd w:fill="FFFFFF"/>
          </w:tcPr>
          <w:p w14:paraId="62C041B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0.112 (0.103–0.122)</w:t>
            </w:r>
          </w:p>
        </w:tc>
        <w:tc>
          <w:tcPr>
            <w:tcW w:w="2138" w:type="dxa"/>
            <w:vAlign w:val="center"/>
            <w:shd w:fill="FFFFFF"/>
          </w:tcPr>
          <w:p w14:paraId="04A5240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w:t>
            </w:r>
          </w:p>
        </w:tc>
        <w:tc>
          <w:tcPr>
            <w:tcW w:w="2138" w:type="dxa"/>
            <w:vAlign w:val="center"/>
            <w:shd w:fill="FFFFFF"/>
          </w:tcPr>
          <w:p w14:paraId="4E63FCA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0.548 (0.530–0.566)</w:t>
            </w:r>
          </w:p>
        </w:tc>
        <w:tc>
          <w:tcPr>
            <w:tcW w:w="2138" w:type="dxa"/>
            <w:vAlign w:val="center"/>
            <w:shd w:fill="FFFFFF"/>
          </w:tcPr>
          <w:p w14:paraId="6CDF8F6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0.718 (0.714–0.722)</w:t>
            </w:r>
          </w:p>
        </w:tc>
      </w:tr>
      <w:tr w:rsidR="006E4139" w14:paraId="05941E25" w14:textId="77777777">
        <w:trPr>
          <w:jc w:val="center"/>
          <w:cantSplit/>
        </w:trPr>
        <w:tc>
          <w:tcPr>
            <w:tcW w:w="2138" w:type="dxa"/>
            <w:vAlign w:val="center"/>
            <w:shd w:fill="FFFFFF"/>
          </w:tcPr>
          <w:p w14:paraId="537515AC" w14:textId="77777777" w:rsidR="006E4139" w:rsidRDefault="006E4139">
            <w:pPr>
              <w:keepNext w:val="0"/>
              <w:keepLines w:val="0"/>
              <w:widowControl/>
              <w:spacing w:before="0" w:after="0" w:line="480" w:lineRule="auto"/>
              <w:ind w:left="0" w:right="0" w:firstLine="0"/>
              <w:jc w:val="left"/>
            </w:pPr>
          </w:p>
        </w:tc>
        <w:tc>
          <w:tcPr>
            <w:tcW w:w="2138" w:type="dxa"/>
            <w:vAlign w:val="center"/>
            <w:shd w:fill="FFFFFF"/>
          </w:tcPr>
          <w:p w14:paraId="4DCD43A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SOFA-2 total</w:t>
            </w:r>
          </w:p>
        </w:tc>
        <w:tc>
          <w:tcPr>
            <w:tcW w:w="2138" w:type="dxa"/>
            <w:vAlign w:val="center"/>
            <w:shd w:fill="FFFFFF"/>
          </w:tcPr>
          <w:p w14:paraId="56A8FAD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0.771 (0.761–0.781)</w:t>
            </w:r>
          </w:p>
        </w:tc>
        <w:tc>
          <w:tcPr>
            <w:tcW w:w="2138" w:type="dxa"/>
            <w:vAlign w:val="center"/>
            <w:shd w:fill="FFFFFF"/>
          </w:tcPr>
          <w:p w14:paraId="2BAAF0A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0.214 (0.201–0.228)</w:t>
            </w:r>
          </w:p>
        </w:tc>
        <w:tc>
          <w:tcPr>
            <w:tcW w:w="2138" w:type="dxa"/>
            <w:vAlign w:val="center"/>
            <w:shd w:fill="FFFFFF"/>
          </w:tcPr>
          <w:p w14:paraId="57DF108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w:t>
            </w:r>
          </w:p>
        </w:tc>
        <w:tc>
          <w:tcPr>
            <w:tcW w:w="2138" w:type="dxa"/>
            <w:vAlign w:val="center"/>
            <w:shd w:fill="FFFFFF"/>
          </w:tcPr>
          <w:p w14:paraId="23891CE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0.704 (0.687–0.720)</w:t>
            </w:r>
          </w:p>
        </w:tc>
        <w:tc>
          <w:tcPr>
            <w:tcW w:w="2138" w:type="dxa"/>
            <w:vAlign w:val="center"/>
            <w:shd w:fill="FFFFFF"/>
          </w:tcPr>
          <w:p w14:paraId="5E267CF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0.683 (0.679–0.687)</w:t>
            </w:r>
          </w:p>
        </w:tc>
      </w:tr>
    </w:tbl>
    <w:p w14:paraId="1E5516D5" w14:textId="77777777" w:rsidR="006E4139"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Scores were computed from the first 12 hours after ICU admission in the MIMIC-IV analysis cohort (same inclusion rules as the deep learning models). qSOFA used RR ≥22/min, SBP ≤100 mm Hg, and GCS &lt;15. SOFA-2 used the updated organ-dysfunction framework with SpO₂:FiO₂ when PaO₂:FiO₂ was unavailable. AUROC/AUPRC used patient-level bootstrap 95% CIs. Integer Youden cutpoints were selected once on pooled MIMIC-IV out-of-fold score–outcome pairs (same GroupKFold patient assignment as the deep learning models, not by averaging or taking the mode of fold-specific integer optima) and locked for Hallym (Table S12b). Discriminative ranges are consistent with prior MIMIC ICU evaluations in which qSOFA typically shows modest AUROC (~0.54–0.64) and day-1 SOFA/SOFA-2 shows higher AUROC (~0.68–0.79) for short-term or in-hospital mortality. Because the SOFA-2 total score and the locked integer cutpoint (≥5) are identical for in-hospital and 7-day rows, the number of flagged stays is the same for both endpoints; sensitivity and specificity differ only because the outcome labels differ.</w:t>
      </w:r>
    </w:p>
    <w:p w14:paraId="4159B55B" w14:textId="77777777" w:rsidR="0081392D" w:rsidRDefault="00000000">
      <w:pPr>
        <w:keepNext/>
        <w:keepLines w:val="0"/>
        <w:widowControl/>
        <w:spacing w:after="80" w:line="480" w:lineRule="auto" w:before="0"/>
        <w:ind w:left="0" w:right="0" w:firstLine="0"/>
      </w:pPr>
      <w:r>
        <w:rPr>
          <w:rFonts w:eastAsia="Times New Roman" w:cs="Times New Roman" w:ascii="Times New Roman" w:hAnsi="Times New Roman"/>
          <w:b/>
          <w:vanish w:val="0"/>
          <w:color w:val="000000"/>
          <w:sz w:val="22"/>
        </w:rPr>
        <w:lastRenderedPageBreak/>
        <w:t>Table S12b. qSOFA, SOFA-2 Total Score, and PatchFusion Discrimination in the Hallym Cohort (Pooled Out-of-Fold Youden for PatchFusion; Pooled-OOF Integer Youden for qSOFA/SOFA-2)</w:t>
      </w:r>
    </w:p>
    <w:tbl>
      <w:tblPr>
        <w:tblW w:w="5000" w:type="pct"/>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484"/>
        <w:gridCol w:w="1794"/>
        <w:gridCol w:w="1418"/>
        <w:gridCol w:w="1369"/>
        <w:gridCol w:w="1648"/>
        <w:gridCol w:w="1648"/>
        <w:gridCol w:w="1245"/>
        <w:gridCol w:w="1245"/>
        <w:gridCol w:w="1107"/>
        <w:gridCol w:w="2008"/>
      </w:tblGrid>
      <w:tr w:rsidR="006E4139" w14:paraId="3A9F5BAC" w14:textId="77777777">
        <w:trPr>
          <w:jc w:val="center"/>
          <w:cantSplit/>
          <w:tblHeader/>
        </w:trPr>
        <w:tc>
          <w:tcPr>
            <w:tcW w:w="1484" w:type="dxa"/>
            <w:vAlign w:val="center"/>
            <w:shd w:fill="E7E7E7"/>
          </w:tcPr>
          <w:p w14:paraId="298F44F1"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Outcome</w:t>
            </w:r>
          </w:p>
        </w:tc>
        <w:tc>
          <w:tcPr>
            <w:tcW w:w="1794" w:type="dxa"/>
            <w:vAlign w:val="center"/>
            <w:shd w:fill="E7E7E7"/>
          </w:tcPr>
          <w:p w14:paraId="7854A61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Model</w:t>
            </w:r>
          </w:p>
        </w:tc>
        <w:tc>
          <w:tcPr>
            <w:tcW w:w="1418" w:type="dxa"/>
            <w:vAlign w:val="center"/>
            <w:shd w:fill="E7E7E7"/>
          </w:tcPr>
          <w:p w14:paraId="6273D62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AUROC (95% CI)</w:t>
            </w:r>
          </w:p>
        </w:tc>
        <w:tc>
          <w:tcPr>
            <w:tcW w:w="1369" w:type="dxa"/>
            <w:vAlign w:val="center"/>
            <w:shd w:fill="E7E7E7"/>
          </w:tcPr>
          <w:p w14:paraId="10EC943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AUPRC (95% CI)</w:t>
            </w:r>
          </w:p>
        </w:tc>
        <w:tc>
          <w:tcPr>
            <w:tcW w:w="1648" w:type="dxa"/>
            <w:vAlign w:val="center"/>
            <w:shd w:fill="E7E7E7"/>
          </w:tcPr>
          <w:p w14:paraId="5EFF560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Sensitivity (95% CI)</w:t>
            </w:r>
          </w:p>
        </w:tc>
        <w:tc>
          <w:tcPr>
            <w:tcW w:w="1648" w:type="dxa"/>
            <w:vAlign w:val="center"/>
            <w:shd w:fill="E7E7E7"/>
          </w:tcPr>
          <w:p w14:paraId="0494260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Specificity (95% CI)</w:t>
            </w:r>
          </w:p>
        </w:tc>
        <w:tc>
          <w:tcPr>
            <w:tcW w:w="1245" w:type="dxa"/>
            <w:vAlign w:val="center"/>
            <w:shd w:fill="E7E7E7"/>
          </w:tcPr>
          <w:p w14:paraId="4283D26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PPV (95% CI)</w:t>
            </w:r>
          </w:p>
        </w:tc>
        <w:tc>
          <w:tcPr>
            <w:tcW w:w="1245" w:type="dxa"/>
            <w:vAlign w:val="center"/>
            <w:shd w:fill="E7E7E7"/>
          </w:tcPr>
          <w:p w14:paraId="562C916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NPV (95% CI)</w:t>
            </w:r>
          </w:p>
        </w:tc>
        <w:tc>
          <w:tcPr>
            <w:tcW w:w="1107" w:type="dxa"/>
            <w:vAlign w:val="center"/>
            <w:shd w:fill="E7E7E7"/>
          </w:tcPr>
          <w:p w14:paraId="06D365F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Alerts per 100 (95% CI)</w:t>
            </w:r>
          </w:p>
        </w:tc>
        <w:tc>
          <w:tcPr>
            <w:tcW w:w="2008" w:type="dxa"/>
            <w:vAlign w:val="center"/>
            <w:shd w:fill="E7E7E7"/>
          </w:tcPr>
          <w:p w14:paraId="76FBF2D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 value (ΔPPV vs PatchFusion)</w:t>
            </w:r>
          </w:p>
        </w:tc>
      </w:tr>
      <w:tr w:rsidR="006E4139" w14:paraId="0384E1B2" w14:textId="77777777">
        <w:trPr>
          <w:jc w:val="center"/>
          <w:cantSplit/>
        </w:trPr>
        <w:tc>
          <w:tcPr>
            <w:tcW w:w="1484" w:type="dxa"/>
            <w:vAlign w:val="center"/>
            <w:shd w:fill="FFFFFF"/>
          </w:tcPr>
          <w:p w14:paraId="0E8CB938"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In-hospital mortality</w:t>
            </w:r>
          </w:p>
        </w:tc>
        <w:tc>
          <w:tcPr>
            <w:tcW w:w="1794" w:type="dxa"/>
            <w:vAlign w:val="center"/>
            <w:shd w:fill="FFFFFF"/>
          </w:tcPr>
          <w:p w14:paraId="47AA43C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qSOFA</w:t>
            </w:r>
          </w:p>
        </w:tc>
        <w:tc>
          <w:tcPr>
            <w:tcW w:w="1418" w:type="dxa"/>
            <w:vAlign w:val="center"/>
            <w:shd w:fill="FFFFFF"/>
          </w:tcPr>
          <w:p w14:paraId="69F6159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0.501 (0.465–0.535)</w:t>
            </w:r>
          </w:p>
        </w:tc>
        <w:tc>
          <w:tcPr>
            <w:tcW w:w="1369" w:type="dxa"/>
            <w:vAlign w:val="center"/>
            <w:shd w:fill="FFFFFF"/>
          </w:tcPr>
          <w:p w14:paraId="20A7DAF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0.304 (0.270–0.337)</w:t>
            </w:r>
          </w:p>
        </w:tc>
        <w:tc>
          <w:tcPr>
            <w:tcW w:w="1648" w:type="dxa"/>
            <w:vAlign w:val="center"/>
            <w:shd w:fill="FFFFFF"/>
          </w:tcPr>
          <w:p w14:paraId="6288E32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0.552 (0.498–0.605)</w:t>
            </w:r>
          </w:p>
        </w:tc>
        <w:tc>
          <w:tcPr>
            <w:tcW w:w="1648" w:type="dxa"/>
            <w:vAlign w:val="center"/>
            <w:shd w:fill="FFFFFF"/>
          </w:tcPr>
          <w:p w14:paraId="387FB87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0.481 (0.444–0.518)</w:t>
            </w:r>
          </w:p>
        </w:tc>
        <w:tc>
          <w:tcPr>
            <w:tcW w:w="1245" w:type="dxa"/>
            <w:vAlign w:val="center"/>
            <w:shd w:fill="FFFFFF"/>
          </w:tcPr>
          <w:p w14:paraId="16D5ABB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0.311 (0.274–0.348)</w:t>
            </w:r>
          </w:p>
        </w:tc>
        <w:tc>
          <w:tcPr>
            <w:tcW w:w="1245" w:type="dxa"/>
            <w:vAlign w:val="center"/>
            <w:shd w:fill="FFFFFF"/>
          </w:tcPr>
          <w:p w14:paraId="1E2A561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0.716 (0.677–0.753)</w:t>
            </w:r>
          </w:p>
        </w:tc>
        <w:tc>
          <w:tcPr>
            <w:tcW w:w="1107" w:type="dxa"/>
            <w:vAlign w:val="center"/>
            <w:shd w:fill="FFFFFF"/>
          </w:tcPr>
          <w:p w14:paraId="59348CF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52.9 (50.1–55.8)</w:t>
            </w:r>
          </w:p>
        </w:tc>
        <w:tc>
          <w:tcPr>
            <w:tcW w:w="2008" w:type="dxa"/>
            <w:vAlign w:val="center"/>
            <w:shd w:fill="FFFFFF"/>
          </w:tcPr>
          <w:p w14:paraId="500FA6F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&lt;.001</w:t>
            </w:r>
          </w:p>
        </w:tc>
      </w:tr>
      <w:tr w:rsidR="006E4139" w14:paraId="1EDA25C4" w14:textId="77777777">
        <w:trPr>
          <w:jc w:val="center"/>
          <w:cantSplit/>
        </w:trPr>
        <w:tc>
          <w:tcPr>
            <w:tcW w:w="1484" w:type="dxa"/>
            <w:vAlign w:val="center"/>
            <w:shd w:fill="FFFFFF"/>
          </w:tcPr>
          <w:p w14:paraId="1BD3113B" w14:textId="77777777" w:rsidR="006E4139" w:rsidRDefault="006E4139">
            <w:pPr>
              <w:keepNext w:val="0"/>
              <w:keepLines w:val="0"/>
              <w:widowControl/>
              <w:spacing w:before="0" w:after="0" w:line="480" w:lineRule="auto"/>
              <w:ind w:left="0" w:right="0" w:firstLine="0"/>
              <w:jc w:val="left"/>
            </w:pPr>
          </w:p>
        </w:tc>
        <w:tc>
          <w:tcPr>
            <w:tcW w:w="1794" w:type="dxa"/>
            <w:vAlign w:val="center"/>
            <w:shd w:fill="FFFFFF"/>
          </w:tcPr>
          <w:p w14:paraId="0B48B45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SOFA-2 total</w:t>
            </w:r>
          </w:p>
        </w:tc>
        <w:tc>
          <w:tcPr>
            <w:tcW w:w="1418" w:type="dxa"/>
            <w:vAlign w:val="center"/>
            <w:shd w:fill="FFFFFF"/>
          </w:tcPr>
          <w:p w14:paraId="7F3A3D8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0.659 (0.619–0.691)</w:t>
            </w:r>
          </w:p>
        </w:tc>
        <w:tc>
          <w:tcPr>
            <w:tcW w:w="1369" w:type="dxa"/>
            <w:vAlign w:val="center"/>
            <w:shd w:fill="FFFFFF"/>
          </w:tcPr>
          <w:p w14:paraId="78571D0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0.438 (0.388–0.486)</w:t>
            </w:r>
          </w:p>
        </w:tc>
        <w:tc>
          <w:tcPr>
            <w:tcW w:w="1648" w:type="dxa"/>
            <w:vAlign w:val="center"/>
            <w:shd w:fill="FFFFFF"/>
          </w:tcPr>
          <w:p w14:paraId="4102D17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0.701 (0.650–0.749)</w:t>
            </w:r>
          </w:p>
        </w:tc>
        <w:tc>
          <w:tcPr>
            <w:tcW w:w="1648" w:type="dxa"/>
            <w:vAlign w:val="center"/>
            <w:shd w:fill="FFFFFF"/>
          </w:tcPr>
          <w:p w14:paraId="242BB12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0.675 (0.641–0.708)</w:t>
            </w:r>
          </w:p>
        </w:tc>
        <w:tc>
          <w:tcPr>
            <w:tcW w:w="1245" w:type="dxa"/>
            <w:vAlign w:val="center"/>
            <w:shd w:fill="FFFFFF"/>
          </w:tcPr>
          <w:p w14:paraId="3B3811F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0.478 (0.433–0.525)</w:t>
            </w:r>
          </w:p>
        </w:tc>
        <w:tc>
          <w:tcPr>
            <w:tcW w:w="1245" w:type="dxa"/>
            <w:vAlign w:val="center"/>
            <w:shd w:fill="FFFFFF"/>
          </w:tcPr>
          <w:p w14:paraId="711600A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0.842 (0.812–0.870)</w:t>
            </w:r>
          </w:p>
        </w:tc>
        <w:tc>
          <w:tcPr>
            <w:tcW w:w="1107" w:type="dxa"/>
            <w:vAlign w:val="center"/>
            <w:shd w:fill="FFFFFF"/>
          </w:tcPr>
          <w:p w14:paraId="7424E5C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43.7 (40.7–46.6)</w:t>
            </w:r>
          </w:p>
        </w:tc>
        <w:tc>
          <w:tcPr>
            <w:tcW w:w="2008" w:type="dxa"/>
            <w:vAlign w:val="center"/>
            <w:shd w:fill="FFFFFF"/>
          </w:tcPr>
          <w:p w14:paraId="469009F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.55</w:t>
            </w:r>
          </w:p>
        </w:tc>
      </w:tr>
      <w:tr w:rsidR="006E4139" w14:paraId="561D455C" w14:textId="77777777">
        <w:trPr>
          <w:jc w:val="center"/>
          <w:cantSplit/>
        </w:trPr>
        <w:tc>
          <w:tcPr>
            <w:tcW w:w="1484" w:type="dxa"/>
            <w:vAlign w:val="center"/>
            <w:shd w:fill="FFFFFF"/>
          </w:tcPr>
          <w:p w14:paraId="31E7810F" w14:textId="77777777" w:rsidR="006E4139" w:rsidRDefault="006E4139">
            <w:pPr>
              <w:keepNext w:val="0"/>
              <w:keepLines w:val="0"/>
              <w:widowControl/>
              <w:spacing w:before="0" w:after="0" w:line="480" w:lineRule="auto"/>
              <w:ind w:left="0" w:right="0" w:firstLine="0"/>
              <w:jc w:val="left"/>
            </w:pPr>
          </w:p>
        </w:tc>
        <w:tc>
          <w:tcPr>
            <w:tcW w:w="1794" w:type="dxa"/>
            <w:vAlign w:val="center"/>
            <w:shd w:fill="FFFFFF"/>
          </w:tcPr>
          <w:p w14:paraId="194EE06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w:t>
            </w:r>
          </w:p>
        </w:tc>
        <w:tc>
          <w:tcPr>
            <w:tcW w:w="1418" w:type="dxa"/>
            <w:vAlign w:val="center"/>
            <w:shd w:fill="FFFFFF"/>
          </w:tcPr>
          <w:p w14:paraId="0203EC5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0.771 (0.749–0.793)</w:t>
            </w:r>
          </w:p>
        </w:tc>
        <w:tc>
          <w:tcPr>
            <w:tcW w:w="1369" w:type="dxa"/>
            <w:vAlign w:val="center"/>
            <w:shd w:fill="FFFFFF"/>
          </w:tcPr>
          <w:p w14:paraId="6B8DC6E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0.575 (0.546–0.604)</w:t>
            </w:r>
          </w:p>
        </w:tc>
        <w:tc>
          <w:tcPr>
            <w:tcW w:w="1648" w:type="dxa"/>
            <w:vAlign w:val="center"/>
            <w:shd w:fill="FFFFFF"/>
          </w:tcPr>
          <w:p w14:paraId="39145FD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0.881 (0.839–0.915)</w:t>
            </w:r>
          </w:p>
        </w:tc>
        <w:tc>
          <w:tcPr>
            <w:tcW w:w="1648" w:type="dxa"/>
            <w:vAlign w:val="center"/>
            <w:shd w:fill="FFFFFF"/>
          </w:tcPr>
          <w:p w14:paraId="5DAD964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0.570 (0.539–0.601)</w:t>
            </w:r>
          </w:p>
        </w:tc>
        <w:tc>
          <w:tcPr>
            <w:tcW w:w="1245" w:type="dxa"/>
            <w:vAlign w:val="center"/>
            <w:shd w:fill="FFFFFF"/>
          </w:tcPr>
          <w:p w14:paraId="676B974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0.465 (0.426–0.504)</w:t>
            </w:r>
          </w:p>
        </w:tc>
        <w:tc>
          <w:tcPr>
            <w:tcW w:w="1245" w:type="dxa"/>
            <w:vAlign w:val="center"/>
            <w:shd w:fill="FFFFFF"/>
          </w:tcPr>
          <w:p w14:paraId="25969AE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0.919 (0.893–0.942)</w:t>
            </w:r>
          </w:p>
        </w:tc>
        <w:tc>
          <w:tcPr>
            <w:tcW w:w="1107" w:type="dxa"/>
            <w:vAlign w:val="center"/>
            <w:shd w:fill="FFFFFF"/>
          </w:tcPr>
          <w:p w14:paraId="1DC1D7F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56.5 (53.6–59.4)</w:t>
            </w:r>
          </w:p>
        </w:tc>
        <w:tc>
          <w:tcPr>
            <w:tcW w:w="2008" w:type="dxa"/>
            <w:vAlign w:val="center"/>
            <w:shd w:fill="FFFFFF"/>
          </w:tcPr>
          <w:p w14:paraId="30876AE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w:t>
            </w:r>
          </w:p>
        </w:tc>
      </w:tr>
      <w:tr w:rsidR="006E4139" w14:paraId="0B2C366C" w14:textId="77777777">
        <w:trPr>
          <w:jc w:val="center"/>
          <w:cantSplit/>
        </w:trPr>
        <w:tc>
          <w:tcPr>
            <w:tcW w:w="1484" w:type="dxa"/>
            <w:vAlign w:val="center"/>
            <w:shd w:fill="FFFFFF"/>
          </w:tcPr>
          <w:p w14:paraId="3BFAB6A9"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7-day mortality</w:t>
            </w:r>
          </w:p>
        </w:tc>
        <w:tc>
          <w:tcPr>
            <w:tcW w:w="1794" w:type="dxa"/>
            <w:vAlign w:val="center"/>
            <w:shd w:fill="FFFFFF"/>
          </w:tcPr>
          <w:p w14:paraId="1C3E3BE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qSOFA</w:t>
            </w:r>
          </w:p>
        </w:tc>
        <w:tc>
          <w:tcPr>
            <w:tcW w:w="1418" w:type="dxa"/>
            <w:vAlign w:val="center"/>
            <w:shd w:fill="FFFFFF"/>
          </w:tcPr>
          <w:p w14:paraId="1A8BC8F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0.670 (0.621–0.718)</w:t>
            </w:r>
          </w:p>
        </w:tc>
        <w:tc>
          <w:tcPr>
            <w:tcW w:w="1369" w:type="dxa"/>
            <w:vAlign w:val="center"/>
            <w:shd w:fill="FFFFFF"/>
          </w:tcPr>
          <w:p w14:paraId="7FAA1F6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0.092 (0.068–0.122)</w:t>
            </w:r>
          </w:p>
        </w:tc>
        <w:tc>
          <w:tcPr>
            <w:tcW w:w="1648" w:type="dxa"/>
            <w:vAlign w:val="center"/>
            <w:shd w:fill="FFFFFF"/>
          </w:tcPr>
          <w:p w14:paraId="3C835A3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0.646 (0.523–0.755)</w:t>
            </w:r>
          </w:p>
        </w:tc>
        <w:tc>
          <w:tcPr>
            <w:tcW w:w="1648" w:type="dxa"/>
            <w:vAlign w:val="center"/>
            <w:shd w:fill="FFFFFF"/>
          </w:tcPr>
          <w:p w14:paraId="1628681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0.602 (0.571–0.632)</w:t>
            </w:r>
          </w:p>
        </w:tc>
        <w:tc>
          <w:tcPr>
            <w:tcW w:w="1245" w:type="dxa"/>
            <w:vAlign w:val="center"/>
            <w:shd w:fill="FFFFFF"/>
          </w:tcPr>
          <w:p w14:paraId="272EF79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0.093 (0.068–0.119)</w:t>
            </w:r>
          </w:p>
        </w:tc>
        <w:tc>
          <w:tcPr>
            <w:tcW w:w="1245" w:type="dxa"/>
            <w:vAlign w:val="center"/>
            <w:shd w:fill="FFFFFF"/>
          </w:tcPr>
          <w:p w14:paraId="4FDDAB5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0.964 (0.949–0.978)</w:t>
            </w:r>
          </w:p>
        </w:tc>
        <w:tc>
          <w:tcPr>
            <w:tcW w:w="1107" w:type="dxa"/>
            <w:vAlign w:val="center"/>
            <w:shd w:fill="FFFFFF"/>
          </w:tcPr>
          <w:p w14:paraId="0602B44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41.3 (38.3–44.2)</w:t>
            </w:r>
          </w:p>
        </w:tc>
        <w:tc>
          <w:tcPr>
            <w:tcW w:w="2008" w:type="dxa"/>
            <w:vAlign w:val="center"/>
            <w:shd w:fill="FFFFFF"/>
          </w:tcPr>
          <w:p w14:paraId="30CB87F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&lt;.001</w:t>
            </w:r>
          </w:p>
        </w:tc>
      </w:tr>
      <w:tr w:rsidR="006E4139" w14:paraId="3B055342" w14:textId="77777777">
        <w:trPr>
          <w:jc w:val="center"/>
          <w:cantSplit/>
        </w:trPr>
        <w:tc>
          <w:tcPr>
            <w:tcW w:w="1484" w:type="dxa"/>
            <w:vAlign w:val="center"/>
            <w:shd w:fill="FFFFFF"/>
          </w:tcPr>
          <w:p w14:paraId="3A309458" w14:textId="77777777" w:rsidR="006E4139" w:rsidRDefault="006E4139">
            <w:pPr>
              <w:keepNext w:val="0"/>
              <w:keepLines w:val="0"/>
              <w:widowControl/>
              <w:spacing w:before="0" w:after="0" w:line="480" w:lineRule="auto"/>
              <w:ind w:left="0" w:right="0" w:firstLine="0"/>
              <w:jc w:val="left"/>
            </w:pPr>
          </w:p>
        </w:tc>
        <w:tc>
          <w:tcPr>
            <w:tcW w:w="1794" w:type="dxa"/>
            <w:vAlign w:val="center"/>
            <w:shd w:fill="FFFFFF"/>
          </w:tcPr>
          <w:p w14:paraId="74B7B5E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SOFA-2 total</w:t>
            </w:r>
          </w:p>
        </w:tc>
        <w:tc>
          <w:tcPr>
            <w:tcW w:w="1418" w:type="dxa"/>
            <w:vAlign w:val="center"/>
            <w:shd w:fill="FFFFFF"/>
          </w:tcPr>
          <w:p w14:paraId="46CA592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0.692 (0.628–0.752)</w:t>
            </w:r>
          </w:p>
        </w:tc>
        <w:tc>
          <w:tcPr>
            <w:tcW w:w="1369" w:type="dxa"/>
            <w:vAlign w:val="center"/>
            <w:shd w:fill="FFFFFF"/>
          </w:tcPr>
          <w:p w14:paraId="5BCA045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0.116 (0.077–0.158)</w:t>
            </w:r>
          </w:p>
        </w:tc>
        <w:tc>
          <w:tcPr>
            <w:tcW w:w="1648" w:type="dxa"/>
            <w:vAlign w:val="center"/>
            <w:shd w:fill="FFFFFF"/>
          </w:tcPr>
          <w:p w14:paraId="7015E7D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0.723 (0.600–0.825)</w:t>
            </w:r>
          </w:p>
        </w:tc>
        <w:tc>
          <w:tcPr>
            <w:tcW w:w="1648" w:type="dxa"/>
            <w:vAlign w:val="center"/>
            <w:shd w:fill="FFFFFF"/>
          </w:tcPr>
          <w:p w14:paraId="136BA8E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0.581 (0.550–0.612)</w:t>
            </w:r>
          </w:p>
        </w:tc>
        <w:tc>
          <w:tcPr>
            <w:tcW w:w="1245" w:type="dxa"/>
            <w:vAlign w:val="center"/>
            <w:shd w:fill="FFFFFF"/>
          </w:tcPr>
          <w:p w14:paraId="243A72C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0.098 (0.073–0.125)</w:t>
            </w:r>
          </w:p>
        </w:tc>
        <w:tc>
          <w:tcPr>
            <w:tcW w:w="1245" w:type="dxa"/>
            <w:vAlign w:val="center"/>
            <w:shd w:fill="FFFFFF"/>
          </w:tcPr>
          <w:p w14:paraId="7151976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0.971 (0.956–0.983)</w:t>
            </w:r>
          </w:p>
        </w:tc>
        <w:tc>
          <w:tcPr>
            <w:tcW w:w="1107" w:type="dxa"/>
            <w:vAlign w:val="center"/>
            <w:shd w:fill="FFFFFF"/>
          </w:tcPr>
          <w:p w14:paraId="622B22B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43.7 (40.8–46.7)</w:t>
            </w:r>
          </w:p>
        </w:tc>
        <w:tc>
          <w:tcPr>
            <w:tcW w:w="2008" w:type="dxa"/>
            <w:vAlign w:val="center"/>
            <w:shd w:fill="FFFFFF"/>
          </w:tcPr>
          <w:p w14:paraId="2BDF928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&lt;.001</w:t>
            </w:r>
          </w:p>
        </w:tc>
      </w:tr>
      <w:tr w:rsidR="006E4139" w14:paraId="751AFBB0" w14:textId="77777777">
        <w:trPr>
          <w:jc w:val="center"/>
          <w:cantSplit/>
        </w:trPr>
        <w:tc>
          <w:tcPr>
            <w:tcW w:w="1484" w:type="dxa"/>
            <w:vAlign w:val="center"/>
            <w:shd w:fill="FFFFFF"/>
          </w:tcPr>
          <w:p w14:paraId="5657DB60" w14:textId="77777777" w:rsidR="006E4139" w:rsidRDefault="006E4139">
            <w:pPr>
              <w:keepNext w:val="0"/>
              <w:keepLines w:val="0"/>
              <w:widowControl/>
              <w:spacing w:before="0" w:after="0" w:line="480" w:lineRule="auto"/>
              <w:ind w:left="0" w:right="0" w:firstLine="0"/>
              <w:jc w:val="left"/>
            </w:pPr>
          </w:p>
        </w:tc>
        <w:tc>
          <w:tcPr>
            <w:tcW w:w="1794" w:type="dxa"/>
            <w:vAlign w:val="center"/>
            <w:shd w:fill="FFFFFF"/>
          </w:tcPr>
          <w:p w14:paraId="0387C7E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w:t>
            </w:r>
          </w:p>
        </w:tc>
        <w:tc>
          <w:tcPr>
            <w:tcW w:w="1418" w:type="dxa"/>
            <w:vAlign w:val="center"/>
            <w:shd w:fill="FFFFFF"/>
          </w:tcPr>
          <w:p w14:paraId="0B0C63C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0.838 (0.811–0.865)</w:t>
            </w:r>
          </w:p>
        </w:tc>
        <w:tc>
          <w:tcPr>
            <w:tcW w:w="1369" w:type="dxa"/>
            <w:vAlign w:val="center"/>
            <w:shd w:fill="FFFFFF"/>
          </w:tcPr>
          <w:p w14:paraId="755B822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0.318 (0.240–0.405)</w:t>
            </w:r>
          </w:p>
        </w:tc>
        <w:tc>
          <w:tcPr>
            <w:tcW w:w="1648" w:type="dxa"/>
            <w:vAlign w:val="center"/>
            <w:shd w:fill="FFFFFF"/>
          </w:tcPr>
          <w:p w14:paraId="529C33D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0.908 (0.811–0.959)</w:t>
            </w:r>
          </w:p>
        </w:tc>
        <w:tc>
          <w:tcPr>
            <w:tcW w:w="1648" w:type="dxa"/>
            <w:vAlign w:val="center"/>
            <w:shd w:fill="FFFFFF"/>
          </w:tcPr>
          <w:p w14:paraId="4D7D585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0.681 (0.652–0.710)</w:t>
            </w:r>
          </w:p>
        </w:tc>
        <w:tc>
          <w:tcPr>
            <w:tcW w:w="1245" w:type="dxa"/>
            <w:vAlign w:val="center"/>
            <w:shd w:fill="FFFFFF"/>
          </w:tcPr>
          <w:p w14:paraId="5CB37D1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0.152 (0.118–0.188)</w:t>
            </w:r>
          </w:p>
        </w:tc>
        <w:tc>
          <w:tcPr>
            <w:tcW w:w="1245" w:type="dxa"/>
            <w:vAlign w:val="center"/>
            <w:shd w:fill="FFFFFF"/>
          </w:tcPr>
          <w:p w14:paraId="6CD1BF2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0.992 (0.984–0.997)</w:t>
            </w:r>
          </w:p>
        </w:tc>
        <w:tc>
          <w:tcPr>
            <w:tcW w:w="1107" w:type="dxa"/>
            <w:vAlign w:val="center"/>
            <w:shd w:fill="FFFFFF"/>
          </w:tcPr>
          <w:p w14:paraId="459E398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35.4 (32.7–38.1)</w:t>
            </w:r>
          </w:p>
        </w:tc>
        <w:tc>
          <w:tcPr>
            <w:tcW w:w="2008" w:type="dxa"/>
            <w:vAlign w:val="center"/>
            <w:shd w:fill="FFFFFF"/>
          </w:tcPr>
          <w:p w14:paraId="62125A3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w:t>
            </w:r>
          </w:p>
        </w:tc>
      </w:tr>
    </w:tbl>
    <w:p w14:paraId="273692BD" w14:textId="77777777" w:rsidR="0081392D"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qSOFA was scored in the same first 12 hours as the deep learning models (worst respiratory rate ≥22/min, worst systolic blood pressure ≤100 mm Hg, and altered mentation as worst GCS &lt;15). Hour-level numeric GCS was not uniformly available in Hallym, therefore GCS for qSOFA was obtained from neurologic status documented in the observation window via a pre-specified equivalence map (alert = 15, drowsy ≈ 13–14, confused ≈ 9–12, semicoma ≈ 6–8, and coma ≈ 3–5, so altered mentation was positive when GCS-equivalent was &lt;15 (Table S9d). The 0–3 total was used as a continuous discriminator for AUROC/AUPRC. The SOFA-2 total score was computed for the same window according to the updated SOFA-2 framework [45]. SOFA-2 organ components used the first-12-hour worst values under the published rules; missing component inputs were scored as 0 for that organ (no imputation beyond the FiO₂ mapping below). When PaO₂:FiO₂ was unavailable, oxygenation used the SpO₂:FiO₂ pathway with FiO₂/advanced-support mapping from Hallym EHR fields (Table S9c, room air FiO₂=0.21 if no oxygen therapy; if oxygen therapy was present but intensity missing, severity-preserving FiO₂ fallback [17/1100, 1.5%]). Missing mentation for SOFA-2 brain scoring was treated as alert/GCS-equivalent 15 [1/1100, 0.1%]. These oxygen fields were excluded from the PatchFusion input vector (Tables S9–S9b). For locked operating characteristics, qSOFA and SOFA-2 were also computed on MIMIC-IV under the same GroupKFold assignment and first-12-hour rules (MIMIC-IV native GCS, vitals, labs, and oxygenation). Integer Youden cutpoints were selected once on pooled MIMIC-IV out-of-fold score–outcome pairs (not by averaging or taking the mode of fold-specific integer optima, Table S12) and applied unchanged to Hallym: qSOFA ≥1 (in-hospital) and ≥2 (7-day). SOFA-2 total ≥5 (in-hospital and 7-day). Deep learning sensitivity/specificity used the corresponding pooled MIMIC-IV out-of-fold Youden probability thresholds. AUROC, AUPRC, sensitivity, and specificity 95% CIs all used patient-cluster bootstrap resampling on Hallym (1,044 patients resampled with replacement, all linked stays included, 2000 resamples). Sensitivity and specificity were evaluated at these MIMIC-IV–locked cutpoints (not reselected on Hallym labels). PPV, NPV, and alerts per 100 stays for deep learning models were derived at pooled MIMIC-IV out-of-fold Youden cutpoint (applied without recalibration to the final full-cohort–retrained models); for qSOFA/SOFA-2, at pooled-OOF integer Youden cutpoints. P values compare each comparator’s PPV with PatchFusion using patient-cluster bootstrap. PPV contrasts versus PatchFusion use each score’s own locked Youden cutpoint (pooled-OOF Youden cutpoint for PatchFusion; pooled-OOF integer cutpoints for qSOFA/SOFA-2) and are not iso-sensitivity or iso-alert-rate comparisons. Youden cutpoints were locked for transportability, not as optimized clinical alert thresholds. Threshold-scale mismatch between OOF and full-cohort scores was subsequently quantified in Table S19. Post hoc iso-sensitivity and iso-alert-rate comparisons are reported separately in Tables S27–S28 The SOFA-2 integer cutpoint ≥5 is the same locked MIMIC-IV Youden threshold for both Hallym endpoints, so the flagged set comprises the same 481/1,100 stays (43.7 per 100) in the in-hospital and 7-day rows; only label-dependent operating characteristics change.</w:t>
      </w:r>
    </w:p>
    <w:p w14:paraId="73A8239D" w14:textId="77777777" w:rsidR="006E4139" w:rsidRDefault="00000000">
      <w:pPr>
        <w:keepNext/>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S12c. Exploratory Post Hoc Discordance Between PatchFusion and SOFA-2 at Locked Youden Cutpoints for 7-Day Mortality in the Hallym Cohort (Pooled-OOF Youden Threshold for PatchFusion)</w:t>
      </w:r>
    </w:p>
    <w:p w14:paraId="146B3EC4"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This exploratory post hoc analysis was performed after completion of the primary locked-threshold Hallym performance evaluation (Tables S10–S12b). Classification used the pooled MIMIC-IV out-of-fold Youden threshold for PatchFusion and the pooled-OOF integer Youden cutpoint for SOFA-2 (total ≥5). High risk indicates score at or above the locked cutpoint. Cell counts correspond to 7-day mortality among 1,100 Hallym stays (65 deaths and 1,035 survivors) and are consistent with the locked-threshold sensitivity/specificity in Table S12b (PatchFusion, 59/65 and 705/1,035, and SOFA-2, 47/65 and 601/1,035). Stratum mortality percentages are full-cohort counts. Stratum-specific 7-day mortality 95% CIs, the risk-difference 95% CI among SOFA-2–low stays, and the two-sided P value comparing PatchFusion-high versus PatchFusion-low mortality used the same patient-cluster bootstrap as other Hallym analyses (1,044 patients resampled with replacement; all associated stays included; 2000 resamples); P values were empirical rather than normal approximations. These bootstrap intervals were used rather than Wilson intervals, independent-proportion score intervals, or Fisher exact tests that treat ICU stays as independent.</w:t>
      </w:r>
    </w:p>
    <w:tbl>
      <w:tblPr>
        <w:tblW w:w="15106" w:type="dxa"/>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94"/>
        <w:gridCol w:w="2993"/>
        <w:gridCol w:w="2993"/>
        <w:gridCol w:w="2993"/>
        <w:gridCol w:w="2993"/>
      </w:tblGrid>
      <w:tr w:rsidR="006E4139" w14:paraId="1C1FED49" w14:textId="77777777">
        <w:trPr>
          <w:jc w:val="center"/>
          <w:cantSplit/>
          <w:tblHeader/>
        </w:trPr>
        <w:tc>
          <w:tcPr>
            <w:tcW w:w="2994" w:type="dxa"/>
            <w:vAlign w:val="center"/>
            <w:shd w:fill="E7E7E7"/>
          </w:tcPr>
          <w:p w14:paraId="71539AED"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Stratum</w:t>
            </w:r>
          </w:p>
        </w:tc>
        <w:tc>
          <w:tcPr>
            <w:tcW w:w="2993" w:type="dxa"/>
            <w:vAlign w:val="center"/>
            <w:shd w:fill="E7E7E7"/>
          </w:tcPr>
          <w:p w14:paraId="2F6B590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Deaths within 7 d, No.</w:t>
            </w:r>
          </w:p>
        </w:tc>
        <w:tc>
          <w:tcPr>
            <w:tcW w:w="2993" w:type="dxa"/>
            <w:vAlign w:val="center"/>
            <w:shd w:fill="E7E7E7"/>
          </w:tcPr>
          <w:p w14:paraId="44424C3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Survivors, No.</w:t>
            </w:r>
          </w:p>
        </w:tc>
        <w:tc>
          <w:tcPr>
            <w:tcW w:w="2993" w:type="dxa"/>
            <w:vAlign w:val="center"/>
            <w:shd w:fill="E7E7E7"/>
          </w:tcPr>
          <w:p w14:paraId="3E728D1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Stays, No.</w:t>
            </w:r>
          </w:p>
        </w:tc>
        <w:tc>
          <w:tcPr>
            <w:tcW w:w="2993" w:type="dxa"/>
            <w:vAlign w:val="center"/>
            <w:shd w:fill="E7E7E7"/>
          </w:tcPr>
          <w:p w14:paraId="4B9B33D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7-d mortality, % (95% CI)</w:t>
            </w:r>
          </w:p>
        </w:tc>
      </w:tr>
      <w:tr w:rsidR="006E4139" w14:paraId="28935FE9" w14:textId="77777777">
        <w:trPr>
          <w:jc w:val="center"/>
          <w:cantSplit/>
        </w:trPr>
        <w:tc>
          <w:tcPr>
            <w:tcW w:w="2994" w:type="dxa"/>
            <w:vAlign w:val="center"/>
            <w:shd w:fill="FFFFFF"/>
          </w:tcPr>
          <w:p w14:paraId="0FDED5E0"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SOFA-2 high / PatchFusion high</w:t>
            </w:r>
          </w:p>
        </w:tc>
        <w:tc>
          <w:tcPr>
            <w:tcW w:w="2993" w:type="dxa"/>
            <w:vAlign w:val="center"/>
            <w:shd w:fill="FFFFFF"/>
          </w:tcPr>
          <w:p w14:paraId="72BFA95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44</w:t>
            </w:r>
          </w:p>
        </w:tc>
        <w:tc>
          <w:tcPr>
            <w:tcW w:w="2993" w:type="dxa"/>
            <w:vAlign w:val="center"/>
            <w:shd w:fill="FFFFFF"/>
          </w:tcPr>
          <w:p w14:paraId="3DD187C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245</w:t>
            </w:r>
          </w:p>
        </w:tc>
        <w:tc>
          <w:tcPr>
            <w:tcW w:w="2993" w:type="dxa"/>
            <w:vAlign w:val="center"/>
            <w:shd w:fill="FFFFFF"/>
          </w:tcPr>
          <w:p w14:paraId="2A5327F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289</w:t>
            </w:r>
          </w:p>
        </w:tc>
        <w:tc>
          <w:tcPr>
            <w:tcW w:w="2993" w:type="dxa"/>
            <w:vAlign w:val="center"/>
            <w:shd w:fill="FFFFFF"/>
          </w:tcPr>
          <w:p w14:paraId="5331624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15.2 (11.5–19.8)</w:t>
            </w:r>
          </w:p>
        </w:tc>
      </w:tr>
      <w:tr w:rsidR="006E4139" w14:paraId="71E67C56" w14:textId="77777777">
        <w:trPr>
          <w:jc w:val="center"/>
          <w:cantSplit/>
        </w:trPr>
        <w:tc>
          <w:tcPr>
            <w:tcW w:w="2994" w:type="dxa"/>
            <w:vAlign w:val="center"/>
            <w:shd w:fill="FFFFFF"/>
          </w:tcPr>
          <w:p w14:paraId="38D330A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SOFA-2 low / PatchFusion higha</w:t>
            </w:r>
          </w:p>
        </w:tc>
        <w:tc>
          <w:tcPr>
            <w:tcW w:w="2993" w:type="dxa"/>
            <w:vAlign w:val="center"/>
            <w:shd w:fill="FFFFFF"/>
          </w:tcPr>
          <w:p w14:paraId="18FD792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15</w:t>
            </w:r>
          </w:p>
        </w:tc>
        <w:tc>
          <w:tcPr>
            <w:tcW w:w="2993" w:type="dxa"/>
            <w:vAlign w:val="center"/>
            <w:shd w:fill="FFFFFF"/>
          </w:tcPr>
          <w:p w14:paraId="4F1E109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85</w:t>
            </w:r>
          </w:p>
        </w:tc>
        <w:tc>
          <w:tcPr>
            <w:tcW w:w="2993" w:type="dxa"/>
            <w:vAlign w:val="center"/>
            <w:shd w:fill="FFFFFF"/>
          </w:tcPr>
          <w:p w14:paraId="4F6EF32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100</w:t>
            </w:r>
          </w:p>
        </w:tc>
        <w:tc>
          <w:tcPr>
            <w:tcW w:w="2993" w:type="dxa"/>
            <w:vAlign w:val="center"/>
            <w:shd w:fill="FFFFFF"/>
          </w:tcPr>
          <w:p w14:paraId="6E73F76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15.0 (9.1–23.5)</w:t>
            </w:r>
          </w:p>
        </w:tc>
      </w:tr>
      <w:tr w:rsidR="006E4139" w14:paraId="771F94C7" w14:textId="77777777">
        <w:trPr>
          <w:jc w:val="center"/>
          <w:cantSplit/>
        </w:trPr>
        <w:tc>
          <w:tcPr>
            <w:tcW w:w="2994" w:type="dxa"/>
            <w:vAlign w:val="center"/>
            <w:shd w:fill="FFFFFF"/>
          </w:tcPr>
          <w:p w14:paraId="323CD45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SOFA-2 high / PatchFusion low</w:t>
            </w:r>
          </w:p>
        </w:tc>
        <w:tc>
          <w:tcPr>
            <w:tcW w:w="2993" w:type="dxa"/>
            <w:vAlign w:val="center"/>
            <w:shd w:fill="FFFFFF"/>
          </w:tcPr>
          <w:p w14:paraId="62AA28F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w:t>
            </w:r>
          </w:p>
        </w:tc>
        <w:tc>
          <w:tcPr>
            <w:tcW w:w="2993" w:type="dxa"/>
            <w:vAlign w:val="center"/>
            <w:shd w:fill="FFFFFF"/>
          </w:tcPr>
          <w:p w14:paraId="34F2DAD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189</w:t>
            </w:r>
          </w:p>
        </w:tc>
        <w:tc>
          <w:tcPr>
            <w:tcW w:w="2993" w:type="dxa"/>
            <w:vAlign w:val="center"/>
            <w:shd w:fill="FFFFFF"/>
          </w:tcPr>
          <w:p w14:paraId="63C1F95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192</w:t>
            </w:r>
          </w:p>
        </w:tc>
        <w:tc>
          <w:tcPr>
            <w:tcW w:w="2993" w:type="dxa"/>
            <w:vAlign w:val="center"/>
            <w:shd w:fill="FFFFFF"/>
          </w:tcPr>
          <w:p w14:paraId="23866D6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1.6 (0.5–4.5)</w:t>
            </w:r>
          </w:p>
        </w:tc>
      </w:tr>
      <w:tr w:rsidR="006E4139" w14:paraId="383FA0FC" w14:textId="77777777">
        <w:trPr>
          <w:jc w:val="center"/>
          <w:cantSplit/>
        </w:trPr>
        <w:tc>
          <w:tcPr>
            <w:tcW w:w="2994" w:type="dxa"/>
            <w:vAlign w:val="center"/>
            <w:shd w:fill="FFFFFF"/>
          </w:tcPr>
          <w:p w14:paraId="119B9560"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SOFA-2 low / PatchFusion low</w:t>
            </w:r>
          </w:p>
        </w:tc>
        <w:tc>
          <w:tcPr>
            <w:tcW w:w="2993" w:type="dxa"/>
            <w:vAlign w:val="center"/>
            <w:shd w:fill="FFFFFF"/>
          </w:tcPr>
          <w:p w14:paraId="18BE39C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w:t>
            </w:r>
          </w:p>
        </w:tc>
        <w:tc>
          <w:tcPr>
            <w:tcW w:w="2993" w:type="dxa"/>
            <w:vAlign w:val="center"/>
            <w:shd w:fill="FFFFFF"/>
          </w:tcPr>
          <w:p w14:paraId="54BA453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516</w:t>
            </w:r>
          </w:p>
        </w:tc>
        <w:tc>
          <w:tcPr>
            <w:tcW w:w="2993" w:type="dxa"/>
            <w:vAlign w:val="center"/>
            <w:shd w:fill="FFFFFF"/>
          </w:tcPr>
          <w:p w14:paraId="08FEB10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519</w:t>
            </w:r>
          </w:p>
        </w:tc>
        <w:tc>
          <w:tcPr>
            <w:tcW w:w="2993" w:type="dxa"/>
            <w:vAlign w:val="center"/>
            <w:shd w:fill="FFFFFF"/>
          </w:tcPr>
          <w:p w14:paraId="2DDAA6D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 (0.1–1.8)</w:t>
            </w:r>
          </w:p>
        </w:tc>
      </w:tr>
      <w:tr w:rsidR="006E4139" w14:paraId="1CA0470B" w14:textId="77777777">
        <w:trPr>
          <w:jc w:val="center"/>
          <w:cantSplit/>
        </w:trPr>
        <w:tc>
          <w:tcPr>
            <w:tcW w:w="2994" w:type="dxa"/>
            <w:vAlign w:val="center"/>
            <w:shd w:fill="FFFFFF"/>
          </w:tcPr>
          <w:p w14:paraId="7C0FA854"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Total</w:t>
            </w:r>
          </w:p>
        </w:tc>
        <w:tc>
          <w:tcPr>
            <w:tcW w:w="2993" w:type="dxa"/>
            <w:vAlign w:val="center"/>
            <w:shd w:fill="FFFFFF"/>
          </w:tcPr>
          <w:p w14:paraId="7FB994F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65</w:t>
            </w:r>
          </w:p>
        </w:tc>
        <w:tc>
          <w:tcPr>
            <w:tcW w:w="2993" w:type="dxa"/>
            <w:vAlign w:val="center"/>
            <w:shd w:fill="FFFFFF"/>
          </w:tcPr>
          <w:p w14:paraId="0D951B6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1035</w:t>
            </w:r>
          </w:p>
        </w:tc>
        <w:tc>
          <w:tcPr>
            <w:tcW w:w="2993" w:type="dxa"/>
            <w:vAlign w:val="center"/>
            <w:shd w:fill="FFFFFF"/>
          </w:tcPr>
          <w:p w14:paraId="2C491D8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1100</w:t>
            </w:r>
          </w:p>
        </w:tc>
        <w:tc>
          <w:tcPr>
            <w:tcW w:w="2993" w:type="dxa"/>
            <w:vAlign w:val="center"/>
            <w:shd w:fill="FFFFFF"/>
          </w:tcPr>
          <w:p w14:paraId="0BFDA49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5.9 (4.6–7.5)</w:t>
            </w:r>
          </w:p>
        </w:tc>
      </w:tr>
      <w:tr w:rsidR="006E4139" w14:paraId="0AD38BC9" w14:textId="77777777">
        <w:trPr>
          <w:jc w:val="center"/>
          <w:cantSplit/>
        </w:trPr>
        <w:tc>
          <w:tcPr>
            <w:tcW w:w="2994" w:type="dxa"/>
            <w:vAlign w:val="center"/>
            <w:shd w:fill="FFFFFF"/>
          </w:tcPr>
          <w:p w14:paraId="4BD23315" w14:textId="77777777" w:rsidR="006E4139" w:rsidRDefault="006E4139">
            <w:pPr>
              <w:keepNext w:val="0"/>
              <w:keepLines w:val="0"/>
              <w:widowControl/>
              <w:spacing w:before="0" w:after="0" w:line="480" w:lineRule="auto"/>
              <w:ind w:left="0" w:right="0" w:firstLine="0"/>
              <w:jc w:val="left"/>
            </w:pPr>
          </w:p>
        </w:tc>
        <w:tc>
          <w:tcPr>
            <w:tcW w:w="2993" w:type="dxa"/>
            <w:vAlign w:val="center"/>
            <w:shd w:fill="FFFFFF"/>
          </w:tcPr>
          <w:p w14:paraId="59FE8E69" w14:textId="77777777" w:rsidR="006E4139" w:rsidRDefault="006E4139">
            <w:pPr>
              <w:keepNext w:val="0"/>
              <w:keepLines w:val="0"/>
              <w:widowControl/>
              <w:spacing w:before="0" w:after="0" w:line="480" w:lineRule="auto"/>
              <w:ind w:left="0" w:right="0" w:firstLine="0"/>
              <w:jc w:val="center"/>
            </w:pPr>
          </w:p>
        </w:tc>
        <w:tc>
          <w:tcPr>
            <w:tcW w:w="2993" w:type="dxa"/>
            <w:vAlign w:val="center"/>
            <w:shd w:fill="FFFFFF"/>
          </w:tcPr>
          <w:p w14:paraId="15AA2D8F" w14:textId="77777777" w:rsidR="006E4139" w:rsidRDefault="006E4139">
            <w:pPr>
              <w:keepNext w:val="0"/>
              <w:keepLines w:val="0"/>
              <w:widowControl/>
              <w:spacing w:before="0" w:after="0" w:line="480" w:lineRule="auto"/>
              <w:ind w:left="0" w:right="0" w:firstLine="0"/>
              <w:jc w:val="center"/>
            </w:pPr>
          </w:p>
        </w:tc>
        <w:tc>
          <w:tcPr>
            <w:tcW w:w="2993" w:type="dxa"/>
            <w:vAlign w:val="center"/>
            <w:shd w:fill="FFFFFF"/>
          </w:tcPr>
          <w:p w14:paraId="3CA29181" w14:textId="77777777" w:rsidR="006E4139" w:rsidRDefault="006E4139">
            <w:pPr>
              <w:keepNext w:val="0"/>
              <w:keepLines w:val="0"/>
              <w:widowControl/>
              <w:spacing w:before="0" w:after="0" w:line="480" w:lineRule="auto"/>
              <w:ind w:left="0" w:right="0" w:firstLine="0"/>
              <w:jc w:val="center"/>
            </w:pPr>
          </w:p>
        </w:tc>
        <w:tc>
          <w:tcPr>
            <w:tcW w:w="2993" w:type="dxa"/>
            <w:vAlign w:val="center"/>
            <w:shd w:fill="FFFFFF"/>
          </w:tcPr>
          <w:p w14:paraId="43B4D170" w14:textId="77777777" w:rsidR="006E4139" w:rsidRDefault="006E4139">
            <w:pPr>
              <w:keepNext w:val="0"/>
              <w:keepLines w:val="0"/>
              <w:widowControl/>
              <w:spacing w:before="0" w:after="0" w:line="480" w:lineRule="auto"/>
              <w:ind w:left="0" w:right="0" w:firstLine="0"/>
              <w:jc w:val="center"/>
            </w:pPr>
          </w:p>
        </w:tc>
      </w:tr>
      <w:tr w:rsidR="006E4139" w14:paraId="3D7B84E9" w14:textId="77777777">
        <w:trPr>
          <w:jc w:val="center"/>
          <w:cantSplit/>
        </w:trPr>
        <w:tc>
          <w:tcPr>
            <w:tcW w:w="2994" w:type="dxa"/>
            <w:vAlign w:val="center"/>
            <w:shd w:fill="FFFFFF"/>
          </w:tcPr>
          <w:p w14:paraId="70A6462E"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Among SOFA-2–low stays only</w:t>
            </w:r>
          </w:p>
        </w:tc>
        <w:tc>
          <w:tcPr>
            <w:tcW w:w="2993" w:type="dxa"/>
            <w:vAlign w:val="center"/>
            <w:shd w:fill="FFFFFF"/>
          </w:tcPr>
          <w:p w14:paraId="35DF3A56" w14:textId="77777777" w:rsidR="006E4139" w:rsidRDefault="006E4139">
            <w:pPr>
              <w:keepNext w:val="0"/>
              <w:keepLines w:val="0"/>
              <w:widowControl/>
              <w:spacing w:before="0" w:after="0" w:line="480" w:lineRule="auto"/>
              <w:ind w:left="0" w:right="0" w:firstLine="0"/>
              <w:jc w:val="center"/>
            </w:pPr>
          </w:p>
        </w:tc>
        <w:tc>
          <w:tcPr>
            <w:tcW w:w="2993" w:type="dxa"/>
            <w:vAlign w:val="center"/>
            <w:shd w:fill="FFFFFF"/>
          </w:tcPr>
          <w:p w14:paraId="4FCDD72C" w14:textId="77777777" w:rsidR="006E4139" w:rsidRDefault="006E4139">
            <w:pPr>
              <w:keepNext w:val="0"/>
              <w:keepLines w:val="0"/>
              <w:widowControl/>
              <w:spacing w:before="0" w:after="0" w:line="480" w:lineRule="auto"/>
              <w:ind w:left="0" w:right="0" w:firstLine="0"/>
              <w:jc w:val="center"/>
            </w:pPr>
          </w:p>
        </w:tc>
        <w:tc>
          <w:tcPr>
            <w:tcW w:w="2993" w:type="dxa"/>
            <w:vAlign w:val="center"/>
            <w:shd w:fill="FFFFFF"/>
          </w:tcPr>
          <w:p w14:paraId="26C49C56" w14:textId="77777777" w:rsidR="006E4139" w:rsidRDefault="006E4139">
            <w:pPr>
              <w:keepNext w:val="0"/>
              <w:keepLines w:val="0"/>
              <w:widowControl/>
              <w:spacing w:before="0" w:after="0" w:line="480" w:lineRule="auto"/>
              <w:ind w:left="0" w:right="0" w:firstLine="0"/>
              <w:jc w:val="center"/>
            </w:pPr>
          </w:p>
        </w:tc>
        <w:tc>
          <w:tcPr>
            <w:tcW w:w="2993" w:type="dxa"/>
            <w:vAlign w:val="center"/>
            <w:shd w:fill="FFFFFF"/>
          </w:tcPr>
          <w:p w14:paraId="5FAE518D" w14:textId="77777777" w:rsidR="006E4139" w:rsidRDefault="006E4139">
            <w:pPr>
              <w:keepNext w:val="0"/>
              <w:keepLines w:val="0"/>
              <w:widowControl/>
              <w:spacing w:before="0" w:after="0" w:line="480" w:lineRule="auto"/>
              <w:ind w:left="0" w:right="0" w:firstLine="0"/>
              <w:jc w:val="center"/>
            </w:pPr>
          </w:p>
        </w:tc>
      </w:tr>
      <w:tr w:rsidR="006E4139" w14:paraId="5BF22D59" w14:textId="77777777">
        <w:trPr>
          <w:jc w:val="center"/>
          <w:cantSplit/>
        </w:trPr>
        <w:tc>
          <w:tcPr>
            <w:tcW w:w="2994" w:type="dxa"/>
            <w:vAlign w:val="center"/>
            <w:shd w:fill="FFFFFF"/>
          </w:tcPr>
          <w:p w14:paraId="46A6ADB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PatchFusion high</w:t>
            </w:r>
          </w:p>
        </w:tc>
        <w:tc>
          <w:tcPr>
            <w:tcW w:w="2993" w:type="dxa"/>
            <w:vAlign w:val="center"/>
            <w:shd w:fill="FFFFFF"/>
          </w:tcPr>
          <w:p w14:paraId="0362515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15</w:t>
            </w:r>
          </w:p>
        </w:tc>
        <w:tc>
          <w:tcPr>
            <w:tcW w:w="2993" w:type="dxa"/>
            <w:vAlign w:val="center"/>
            <w:shd w:fill="FFFFFF"/>
          </w:tcPr>
          <w:p w14:paraId="6DD761F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85</w:t>
            </w:r>
          </w:p>
        </w:tc>
        <w:tc>
          <w:tcPr>
            <w:tcW w:w="2993" w:type="dxa"/>
            <w:vAlign w:val="center"/>
            <w:shd w:fill="FFFFFF"/>
          </w:tcPr>
          <w:p w14:paraId="7AD698D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100</w:t>
            </w:r>
          </w:p>
        </w:tc>
        <w:tc>
          <w:tcPr>
            <w:tcW w:w="2993" w:type="dxa"/>
            <w:vAlign w:val="center"/>
            <w:shd w:fill="FFFFFF"/>
          </w:tcPr>
          <w:p w14:paraId="15B1AAC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15.0 (9.1–23.5)</w:t>
            </w:r>
          </w:p>
        </w:tc>
      </w:tr>
      <w:tr w:rsidR="006E4139" w14:paraId="19B44405" w14:textId="77777777">
        <w:trPr>
          <w:jc w:val="center"/>
          <w:cantSplit/>
        </w:trPr>
        <w:tc>
          <w:tcPr>
            <w:tcW w:w="2994" w:type="dxa"/>
            <w:vAlign w:val="center"/>
            <w:shd w:fill="FFFFFF"/>
          </w:tcPr>
          <w:p w14:paraId="74C295FB"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PatchFusion low</w:t>
            </w:r>
          </w:p>
        </w:tc>
        <w:tc>
          <w:tcPr>
            <w:tcW w:w="2993" w:type="dxa"/>
            <w:vAlign w:val="center"/>
            <w:shd w:fill="FFFFFF"/>
          </w:tcPr>
          <w:p w14:paraId="6800B88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3</w:t>
            </w:r>
          </w:p>
        </w:tc>
        <w:tc>
          <w:tcPr>
            <w:tcW w:w="2993" w:type="dxa"/>
            <w:vAlign w:val="center"/>
            <w:shd w:fill="FFFFFF"/>
          </w:tcPr>
          <w:p w14:paraId="7EB477C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516</w:t>
            </w:r>
          </w:p>
        </w:tc>
        <w:tc>
          <w:tcPr>
            <w:tcW w:w="2993" w:type="dxa"/>
            <w:vAlign w:val="center"/>
            <w:shd w:fill="FFFFFF"/>
          </w:tcPr>
          <w:p w14:paraId="6C64BC0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519</w:t>
            </w:r>
          </w:p>
        </w:tc>
        <w:tc>
          <w:tcPr>
            <w:tcW w:w="2993" w:type="dxa"/>
            <w:vAlign w:val="center"/>
            <w:shd w:fill="FFFFFF"/>
          </w:tcPr>
          <w:p w14:paraId="6F8D459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0.6 (0.1–1.8)</w:t>
            </w:r>
          </w:p>
        </w:tc>
      </w:tr>
      <w:tr w:rsidR="006E4139" w14:paraId="6D697563" w14:textId="77777777">
        <w:trPr>
          <w:jc w:val="center"/>
          <w:cantSplit/>
        </w:trPr>
        <w:tc>
          <w:tcPr>
            <w:tcW w:w="2994" w:type="dxa"/>
            <w:vAlign w:val="center"/>
            <w:shd w:fill="FFFFFF"/>
          </w:tcPr>
          <w:p w14:paraId="33A23F45"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Δ mortality (high − low), pp</w:t>
            </w:r>
          </w:p>
        </w:tc>
        <w:tc>
          <w:tcPr>
            <w:tcW w:w="2993" w:type="dxa"/>
            <w:vAlign w:val="center"/>
            <w:shd w:fill="FFFFFF"/>
          </w:tcPr>
          <w:p w14:paraId="7262108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372122C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0D3FD90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6575A5E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14.4 (8.5–22.9)</w:t>
            </w:r>
          </w:p>
        </w:tc>
      </w:tr>
      <w:tr w:rsidR="006E4139" w14:paraId="7C49E9F2" w14:textId="77777777">
        <w:trPr>
          <w:jc w:val="center"/>
          <w:cantSplit/>
        </w:trPr>
        <w:tc>
          <w:tcPr>
            <w:tcW w:w="2994" w:type="dxa"/>
            <w:vAlign w:val="center"/>
            <w:shd w:fill="FFFFFF"/>
          </w:tcPr>
          <w:p w14:paraId="01C95034"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P value (patient-cluster bootstrap)</w:t>
            </w:r>
          </w:p>
        </w:tc>
        <w:tc>
          <w:tcPr>
            <w:tcW w:w="2993" w:type="dxa"/>
            <w:vAlign w:val="center"/>
            <w:shd w:fill="FFFFFF"/>
          </w:tcPr>
          <w:p w14:paraId="23168A5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32C544C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54ED7B9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993" w:type="dxa"/>
            <w:vAlign w:val="center"/>
            <w:shd w:fill="FFFFFF"/>
          </w:tcPr>
          <w:p w14:paraId="35AB00C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r>
    </w:tbl>
    <w:p w14:paraId="3AA0DB55" w14:textId="77777777" w:rsidR="006E4139" w:rsidRDefault="00000000">
      <w:pPr>
        <w:keepNext w:val="0"/>
        <w:keepLines w:val="0"/>
        <w:widowControl/>
        <w:spacing w:after="80" w:line="480" w:lineRule="auto" w:before="0"/>
        <w:ind w:left="0" w:right="0" w:firstLine="0"/>
      </w:pPr>
      <w:r>
        <w:rPr>
          <w:rFonts w:eastAsia="Times New Roman" w:cs="Times New Roman" w:ascii="Times New Roman" w:hAnsi="Times New Roman"/>
          <w:vanish w:val="0"/>
          <w:color w:val="000000"/>
          <w:sz w:val="22"/>
        </w:rPr>
        <w:t xml:space="preserve">a Among the 65 ICU stays with a 7-day death event, SOFA-2 classified 18 as low risk. PatchFusion reclassified 15 of these 18 (83.3%) as high risk. Within SOFA-2–low stays (n=619), 7-day mortality was 15.0% (15/100, patient-cluster bootstrap percentile 95% CI, 9.1%–23.5%) when PatchFusion was high risk versus 0.6% (3/519, patient-cluster bootstrap percentile 95% CI, 0.1%–1.8%) when both models were low risk (risk difference, 14.4 percentage points, patient-cluster bootstrap percentile 95% CI, </w:t>
      </w:r>
      <w:r>
        <w:rPr>
          <w:rFonts w:eastAsia="Times New Roman" w:cs="Times New Roman" w:ascii="Times New Roman" w:hAnsi="Times New Roman"/>
          <w:vanish w:val="0"/>
          <w:color w:val="000000"/>
          <w:sz w:val="22"/>
        </w:rPr>
        <w:lastRenderedPageBreak/>
        <w:t>8.5–22.9, empirical bootstrap P&lt;.001). Discordant survivor counts were 85 (SOFA-2 low / PatchFusion high) and 189 (SOFA-2 high / PatchFusion low). In the SOFA-2–low / PatchFusion–high stratum, positive predictive value for 7-day death equaled stratum mortality (15.0%, 15/100). Among SOFA-2–low stays with PatchFusion low risk, negative predictive value was 99.4% (516/519, patient-cluster bootstrap percentile 95% CI, 98.2%–99.9%).</w:t>
      </w:r>
    </w:p>
    <w:p w14:paraId="6B0F7F6A" w14:textId="77777777" w:rsidR="006E4139" w:rsidRDefault="00000000">
      <w:pPr>
        <w:keepNext/>
        <w:keepLines w:val="0"/>
        <w:widowControl/>
        <w:spacing w:after="80" w:line="480" w:lineRule="auto" w:before="0"/>
        <w:ind w:left="0" w:right="0" w:firstLine="0"/>
      </w:pPr>
      <w:r>
        <w:rPr>
          <w:rFonts w:eastAsia="Times New Roman" w:cs="Times New Roman" w:ascii="Times New Roman" w:hAnsi="Times New Roman"/>
          <w:b/>
          <w:vanish w:val="0"/>
          <w:color w:val="000000"/>
          <w:sz w:val="22"/>
        </w:rPr>
        <w:t>Table S15. Calibration of Deep Learning Models for Primary ≈12–24-Hour Mortality and Hallym Secondary Endpoints (Intercept, Slope, and Brier)</w:t>
      </w:r>
    </w:p>
    <w:tbl>
      <w:tblPr>
        <w:tblStyle w:val="a7"/>
        <w:tblW w:w="5000" w:type="pct"/>
        <w:jc w:val="center"/>
        <w:tblLook w:val="0420" w:firstRow="1" w:lastRow="0" w:firstColumn="0"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671"/>
        <w:gridCol w:w="2213"/>
        <w:gridCol w:w="1819"/>
        <w:gridCol w:w="2302"/>
        <w:gridCol w:w="1372"/>
        <w:gridCol w:w="1696"/>
        <w:gridCol w:w="1427"/>
        <w:gridCol w:w="2465"/>
      </w:tblGrid>
      <w:tr w:rsidR="006E4139" w14:paraId="246C49E5" w14:textId="77777777">
        <w:trPr>
          <w:jc w:val="center"/>
          <w:cantSplit/>
          <w:tblHeader/>
        </w:trPr>
        <w:tc>
          <w:tcPr>
            <w:tcW w:w="1671" w:type="dxa"/>
            <w:vAlign w:val="center"/>
            <w:shd w:fill="E7E7E7"/>
          </w:tcPr>
          <w:p w14:paraId="7DEF369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nish w:val="0"/>
                <w:color w:val="000000"/>
                <w:sz w:val="19"/>
                <w:szCs w:val="20"/>
              </w:rPr>
              <w:t>Cohort</w:t>
            </w:r>
          </w:p>
        </w:tc>
        <w:tc>
          <w:tcPr>
            <w:tcW w:w="2213" w:type="dxa"/>
            <w:vAlign w:val="center"/>
            <w:shd w:fill="E7E7E7"/>
          </w:tcPr>
          <w:p w14:paraId="5D0D6E3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Model</w:t>
            </w:r>
          </w:p>
        </w:tc>
        <w:tc>
          <w:tcPr>
            <w:tcW w:w="1819" w:type="dxa"/>
            <w:vAlign w:val="center"/>
            <w:shd w:fill="E7E7E7"/>
          </w:tcPr>
          <w:p w14:paraId="674ABC8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Intercept (95% CI, if available)</w:t>
            </w:r>
          </w:p>
        </w:tc>
        <w:tc>
          <w:tcPr>
            <w:tcW w:w="2302" w:type="dxa"/>
            <w:vAlign w:val="center"/>
            <w:shd w:fill="E7E7E7"/>
          </w:tcPr>
          <w:p w14:paraId="3930556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 (H0: intercept=0)</w:t>
            </w:r>
          </w:p>
        </w:tc>
        <w:tc>
          <w:tcPr>
            <w:tcW w:w="1372" w:type="dxa"/>
            <w:vAlign w:val="center"/>
            <w:shd w:fill="E7E7E7"/>
          </w:tcPr>
          <w:p w14:paraId="0E4809C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Slope (95% CI, if available)</w:t>
            </w:r>
          </w:p>
        </w:tc>
        <w:tc>
          <w:tcPr>
            <w:tcW w:w="1696" w:type="dxa"/>
            <w:vAlign w:val="center"/>
            <w:shd w:fill="E7E7E7"/>
          </w:tcPr>
          <w:p w14:paraId="7CAC298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 (H0: slope=1)</w:t>
            </w:r>
          </w:p>
        </w:tc>
        <w:tc>
          <w:tcPr>
            <w:tcW w:w="1427" w:type="dxa"/>
            <w:vAlign w:val="center"/>
            <w:shd w:fill="E7E7E7"/>
          </w:tcPr>
          <w:p w14:paraId="73C2F5A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Brier</w:t>
            </w:r>
          </w:p>
        </w:tc>
        <w:tc>
          <w:tcPr>
            <w:tcW w:w="2465" w:type="dxa"/>
            <w:vAlign w:val="center"/>
            <w:shd w:fill="E7E7E7"/>
          </w:tcPr>
          <w:p w14:paraId="1956725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nish w:val="0"/>
                <w:color w:val="000000"/>
                <w:sz w:val="19"/>
                <w:szCs w:val="20"/>
              </w:rPr>
              <w:t>P (ΔBrier vs PatchFusion)</w:t>
            </w:r>
          </w:p>
        </w:tc>
      </w:tr>
      <w:tr w:rsidR="006E4139" w14:paraId="7958DDE2" w14:textId="77777777">
        <w:trPr>
          <w:jc w:val="center"/>
          <w:cantSplit/>
        </w:trPr>
        <w:tc>
          <w:tcPr>
            <w:tcW w:w="1671" w:type="dxa"/>
            <w:vAlign w:val="center"/>
            <w:shd w:fill="FFFFFF"/>
          </w:tcPr>
          <w:p w14:paraId="695BA012"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MIMIC-IV (pooled OOF)</w:t>
            </w:r>
          </w:p>
        </w:tc>
        <w:tc>
          <w:tcPr>
            <w:tcW w:w="2213" w:type="dxa"/>
            <w:vAlign w:val="center"/>
            <w:shd w:fill="FFFFFF"/>
          </w:tcPr>
          <w:p w14:paraId="7B18B01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w:t>
            </w:r>
          </w:p>
        </w:tc>
        <w:tc>
          <w:tcPr>
            <w:tcW w:w="1819" w:type="dxa"/>
            <w:vAlign w:val="center"/>
            <w:shd w:fill="FFFFFF"/>
          </w:tcPr>
          <w:p w14:paraId="7D29907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 (−0.12 to 0.06)</w:t>
            </w:r>
          </w:p>
        </w:tc>
        <w:tc>
          <w:tcPr>
            <w:tcW w:w="2302" w:type="dxa"/>
            <w:vAlign w:val="center"/>
            <w:shd w:fill="FFFFFF"/>
          </w:tcPr>
          <w:p w14:paraId="3E97309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.49</w:t>
            </w:r>
          </w:p>
        </w:tc>
        <w:tc>
          <w:tcPr>
            <w:tcW w:w="1372" w:type="dxa"/>
            <w:vAlign w:val="center"/>
            <w:shd w:fill="FFFFFF"/>
          </w:tcPr>
          <w:p w14:paraId="492F0BB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0.98 (0.91–1.05)</w:t>
            </w:r>
          </w:p>
        </w:tc>
        <w:tc>
          <w:tcPr>
            <w:tcW w:w="1696" w:type="dxa"/>
            <w:vAlign w:val="center"/>
            <w:shd w:fill="FFFFFF"/>
          </w:tcPr>
          <w:p w14:paraId="2CE1013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.61</w:t>
            </w:r>
          </w:p>
        </w:tc>
        <w:tc>
          <w:tcPr>
            <w:tcW w:w="1427" w:type="dxa"/>
            <w:vAlign w:val="center"/>
            <w:shd w:fill="FFFFFF"/>
          </w:tcPr>
          <w:p w14:paraId="4EF8420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0.0075</w:t>
            </w:r>
          </w:p>
        </w:tc>
        <w:tc>
          <w:tcPr>
            <w:tcW w:w="2465" w:type="dxa"/>
            <w:vAlign w:val="center"/>
            <w:shd w:fill="FFFFFF"/>
          </w:tcPr>
          <w:p w14:paraId="250985A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r>
      <w:tr w:rsidR="006E4139" w14:paraId="45F74E98" w14:textId="77777777">
        <w:trPr>
          <w:jc w:val="center"/>
          <w:cantSplit/>
        </w:trPr>
        <w:tc>
          <w:tcPr>
            <w:tcW w:w="1671" w:type="dxa"/>
            <w:vAlign w:val="center"/>
            <w:shd w:fill="FFFFFF"/>
          </w:tcPr>
          <w:p w14:paraId="61452A39"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3571C7F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LSTM</w:t>
            </w:r>
          </w:p>
        </w:tc>
        <w:tc>
          <w:tcPr>
            <w:tcW w:w="1819" w:type="dxa"/>
            <w:vAlign w:val="center"/>
            <w:shd w:fill="FFFFFF"/>
          </w:tcPr>
          <w:p w14:paraId="691120D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0.18 (0.08 to 0.28)</w:t>
            </w:r>
          </w:p>
        </w:tc>
        <w:tc>
          <w:tcPr>
            <w:tcW w:w="2302" w:type="dxa"/>
            <w:vAlign w:val="center"/>
            <w:shd w:fill="FFFFFF"/>
          </w:tcPr>
          <w:p w14:paraId="5126280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w:t>
            </w:r>
          </w:p>
        </w:tc>
        <w:tc>
          <w:tcPr>
            <w:tcW w:w="1372" w:type="dxa"/>
            <w:vAlign w:val="center"/>
            <w:shd w:fill="FFFFFF"/>
          </w:tcPr>
          <w:p w14:paraId="3FDA96C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0.82 (0.74–0.90)</w:t>
            </w:r>
          </w:p>
        </w:tc>
        <w:tc>
          <w:tcPr>
            <w:tcW w:w="1696" w:type="dxa"/>
            <w:vAlign w:val="center"/>
            <w:shd w:fill="FFFFFF"/>
          </w:tcPr>
          <w:p w14:paraId="3FD6D19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427" w:type="dxa"/>
            <w:vAlign w:val="center"/>
            <w:shd w:fill="FFFFFF"/>
          </w:tcPr>
          <w:p w14:paraId="2F3284E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0.0094</w:t>
            </w:r>
          </w:p>
        </w:tc>
        <w:tc>
          <w:tcPr>
            <w:tcW w:w="2465" w:type="dxa"/>
            <w:vAlign w:val="center"/>
            <w:shd w:fill="FFFFFF"/>
          </w:tcPr>
          <w:p w14:paraId="4020D0C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.008</w:t>
            </w:r>
          </w:p>
        </w:tc>
      </w:tr>
      <w:tr w:rsidR="006E4139" w14:paraId="345A0D2F" w14:textId="77777777">
        <w:trPr>
          <w:jc w:val="center"/>
          <w:cantSplit/>
        </w:trPr>
        <w:tc>
          <w:tcPr>
            <w:tcW w:w="1671" w:type="dxa"/>
            <w:vAlign w:val="center"/>
            <w:shd w:fill="FFFFFF"/>
          </w:tcPr>
          <w:p w14:paraId="3B8EFC4E"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7772031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Transformer</w:t>
            </w:r>
          </w:p>
        </w:tc>
        <w:tc>
          <w:tcPr>
            <w:tcW w:w="1819" w:type="dxa"/>
            <w:vAlign w:val="center"/>
            <w:shd w:fill="FFFFFF"/>
          </w:tcPr>
          <w:p w14:paraId="6BEC8EF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0.22 (0.11 to 0.33)</w:t>
            </w:r>
          </w:p>
        </w:tc>
        <w:tc>
          <w:tcPr>
            <w:tcW w:w="2302" w:type="dxa"/>
            <w:vAlign w:val="center"/>
            <w:shd w:fill="FFFFFF"/>
          </w:tcPr>
          <w:p w14:paraId="6D36B52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372" w:type="dxa"/>
            <w:vAlign w:val="center"/>
            <w:shd w:fill="FFFFFF"/>
          </w:tcPr>
          <w:p w14:paraId="66D0CEB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0.79 (0.70–0.88)</w:t>
            </w:r>
          </w:p>
        </w:tc>
        <w:tc>
          <w:tcPr>
            <w:tcW w:w="1696" w:type="dxa"/>
            <w:vAlign w:val="center"/>
            <w:shd w:fill="FFFFFF"/>
          </w:tcPr>
          <w:p w14:paraId="7397472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427" w:type="dxa"/>
            <w:vAlign w:val="center"/>
            <w:shd w:fill="FFFFFF"/>
          </w:tcPr>
          <w:p w14:paraId="0D927D7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0.0100</w:t>
            </w:r>
          </w:p>
        </w:tc>
        <w:tc>
          <w:tcPr>
            <w:tcW w:w="2465" w:type="dxa"/>
            <w:vAlign w:val="center"/>
            <w:shd w:fill="FFFFFF"/>
          </w:tcPr>
          <w:p w14:paraId="47E4ECB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w:t>
            </w:r>
          </w:p>
        </w:tc>
      </w:tr>
      <w:tr w:rsidR="006E4139" w14:paraId="1B4347DB" w14:textId="77777777">
        <w:trPr>
          <w:jc w:val="center"/>
          <w:cantSplit/>
        </w:trPr>
        <w:tc>
          <w:tcPr>
            <w:tcW w:w="1671" w:type="dxa"/>
            <w:vAlign w:val="center"/>
            <w:shd w:fill="FFFFFF"/>
          </w:tcPr>
          <w:p w14:paraId="7DB8A2B5"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2F46E36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TBAL</w:t>
            </w:r>
          </w:p>
        </w:tc>
        <w:tc>
          <w:tcPr>
            <w:tcW w:w="1819" w:type="dxa"/>
            <w:vAlign w:val="center"/>
            <w:shd w:fill="FFFFFF"/>
          </w:tcPr>
          <w:p w14:paraId="4D8EC49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0.11 (0.02 to 0.20)</w:t>
            </w:r>
          </w:p>
        </w:tc>
        <w:tc>
          <w:tcPr>
            <w:tcW w:w="2302" w:type="dxa"/>
            <w:vAlign w:val="center"/>
            <w:shd w:fill="FFFFFF"/>
          </w:tcPr>
          <w:p w14:paraId="79192E2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w:t>
            </w:r>
          </w:p>
        </w:tc>
        <w:tc>
          <w:tcPr>
            <w:tcW w:w="1372" w:type="dxa"/>
            <w:vAlign w:val="center"/>
            <w:shd w:fill="FFFFFF"/>
          </w:tcPr>
          <w:p w14:paraId="560C385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0.88 (0.80–0.96)</w:t>
            </w:r>
          </w:p>
        </w:tc>
        <w:tc>
          <w:tcPr>
            <w:tcW w:w="1696" w:type="dxa"/>
            <w:vAlign w:val="center"/>
            <w:shd w:fill="FFFFFF"/>
          </w:tcPr>
          <w:p w14:paraId="2DDAB8B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w:t>
            </w:r>
          </w:p>
        </w:tc>
        <w:tc>
          <w:tcPr>
            <w:tcW w:w="1427" w:type="dxa"/>
            <w:vAlign w:val="center"/>
            <w:shd w:fill="FFFFFF"/>
          </w:tcPr>
          <w:p w14:paraId="3AED7DD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0.0086</w:t>
            </w:r>
          </w:p>
        </w:tc>
        <w:tc>
          <w:tcPr>
            <w:tcW w:w="2465" w:type="dxa"/>
            <w:vAlign w:val="center"/>
            <w:shd w:fill="FFFFFF"/>
          </w:tcPr>
          <w:p w14:paraId="4401FC9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w:t>
            </w:r>
          </w:p>
        </w:tc>
      </w:tr>
      <w:tr w:rsidR="006E4139" w14:paraId="0FA1EAB9" w14:textId="77777777">
        <w:trPr>
          <w:jc w:val="center"/>
          <w:cantSplit/>
        </w:trPr>
        <w:tc>
          <w:tcPr>
            <w:tcW w:w="1671" w:type="dxa"/>
            <w:vAlign w:val="center"/>
            <w:shd w:fill="FFFFFF"/>
          </w:tcPr>
          <w:p w14:paraId="7F2855BA"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eICU-CRD (locked)</w:t>
            </w:r>
          </w:p>
        </w:tc>
        <w:tc>
          <w:tcPr>
            <w:tcW w:w="2213" w:type="dxa"/>
            <w:vAlign w:val="center"/>
            <w:shd w:fill="FFFFFF"/>
          </w:tcPr>
          <w:p w14:paraId="496DB11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w:t>
            </w:r>
          </w:p>
        </w:tc>
        <w:tc>
          <w:tcPr>
            <w:tcW w:w="1819" w:type="dxa"/>
            <w:vAlign w:val="center"/>
            <w:shd w:fill="FFFFFF"/>
          </w:tcPr>
          <w:p w14:paraId="103078A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0.05 (−0.04 to 0.14)</w:t>
            </w:r>
          </w:p>
        </w:tc>
        <w:tc>
          <w:tcPr>
            <w:tcW w:w="2302" w:type="dxa"/>
            <w:vAlign w:val="center"/>
            <w:shd w:fill="FFFFFF"/>
          </w:tcPr>
          <w:p w14:paraId="2E90A33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.27</w:t>
            </w:r>
          </w:p>
        </w:tc>
        <w:tc>
          <w:tcPr>
            <w:tcW w:w="1372" w:type="dxa"/>
            <w:vAlign w:val="center"/>
            <w:shd w:fill="FFFFFF"/>
          </w:tcPr>
          <w:p w14:paraId="7DD1351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0.94 (0.87–1.02)</w:t>
            </w:r>
          </w:p>
        </w:tc>
        <w:tc>
          <w:tcPr>
            <w:tcW w:w="1696" w:type="dxa"/>
            <w:vAlign w:val="center"/>
            <w:shd w:fill="FFFFFF"/>
          </w:tcPr>
          <w:p w14:paraId="5DEE863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.11</w:t>
            </w:r>
          </w:p>
        </w:tc>
        <w:tc>
          <w:tcPr>
            <w:tcW w:w="1427" w:type="dxa"/>
            <w:vAlign w:val="center"/>
            <w:shd w:fill="FFFFFF"/>
          </w:tcPr>
          <w:p w14:paraId="22A034D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0.0042</w:t>
            </w:r>
          </w:p>
        </w:tc>
        <w:tc>
          <w:tcPr>
            <w:tcW w:w="2465" w:type="dxa"/>
            <w:vAlign w:val="center"/>
            <w:shd w:fill="FFFFFF"/>
          </w:tcPr>
          <w:p w14:paraId="7718DB4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r>
      <w:tr w:rsidR="006E4139" w14:paraId="4AF006B1" w14:textId="77777777">
        <w:trPr>
          <w:jc w:val="center"/>
          <w:cantSplit/>
        </w:trPr>
        <w:tc>
          <w:tcPr>
            <w:tcW w:w="1671" w:type="dxa"/>
            <w:vAlign w:val="center"/>
            <w:shd w:fill="FFFFFF"/>
          </w:tcPr>
          <w:p w14:paraId="51B67547"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5FBDF5D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LSTM</w:t>
            </w:r>
          </w:p>
        </w:tc>
        <w:tc>
          <w:tcPr>
            <w:tcW w:w="1819" w:type="dxa"/>
            <w:vAlign w:val="center"/>
            <w:shd w:fill="FFFFFF"/>
          </w:tcPr>
          <w:p w14:paraId="158E0DA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0.21 (0.12 to 0.30)</w:t>
            </w:r>
          </w:p>
        </w:tc>
        <w:tc>
          <w:tcPr>
            <w:tcW w:w="2302" w:type="dxa"/>
            <w:vAlign w:val="center"/>
            <w:shd w:fill="FFFFFF"/>
          </w:tcPr>
          <w:p w14:paraId="05AEAED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372" w:type="dxa"/>
            <w:vAlign w:val="center"/>
            <w:shd w:fill="FFFFFF"/>
          </w:tcPr>
          <w:p w14:paraId="19771D0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0.81 (0.74–0.88)</w:t>
            </w:r>
          </w:p>
        </w:tc>
        <w:tc>
          <w:tcPr>
            <w:tcW w:w="1696" w:type="dxa"/>
            <w:vAlign w:val="center"/>
            <w:shd w:fill="FFFFFF"/>
          </w:tcPr>
          <w:p w14:paraId="09A1F0C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427" w:type="dxa"/>
            <w:vAlign w:val="center"/>
            <w:shd w:fill="FFFFFF"/>
          </w:tcPr>
          <w:p w14:paraId="249F14E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0.0051</w:t>
            </w:r>
          </w:p>
        </w:tc>
        <w:tc>
          <w:tcPr>
            <w:tcW w:w="2465" w:type="dxa"/>
            <w:vAlign w:val="center"/>
            <w:shd w:fill="FFFFFF"/>
          </w:tcPr>
          <w:p w14:paraId="05F2B40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r>
      <w:tr w:rsidR="006E4139" w14:paraId="35CA10E9" w14:textId="77777777">
        <w:trPr>
          <w:jc w:val="center"/>
          <w:cantSplit/>
        </w:trPr>
        <w:tc>
          <w:tcPr>
            <w:tcW w:w="1671" w:type="dxa"/>
            <w:vAlign w:val="center"/>
            <w:shd w:fill="FFFFFF"/>
          </w:tcPr>
          <w:p w14:paraId="753D91F5"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5615662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Transformer</w:t>
            </w:r>
          </w:p>
        </w:tc>
        <w:tc>
          <w:tcPr>
            <w:tcW w:w="1819" w:type="dxa"/>
            <w:vAlign w:val="center"/>
            <w:shd w:fill="FFFFFF"/>
          </w:tcPr>
          <w:p w14:paraId="0DFCD3A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0.25 (0.15 to 0.35)</w:t>
            </w:r>
          </w:p>
        </w:tc>
        <w:tc>
          <w:tcPr>
            <w:tcW w:w="2302" w:type="dxa"/>
            <w:vAlign w:val="center"/>
            <w:shd w:fill="FFFFFF"/>
          </w:tcPr>
          <w:p w14:paraId="374FFC8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372" w:type="dxa"/>
            <w:vAlign w:val="center"/>
            <w:shd w:fill="FFFFFF"/>
          </w:tcPr>
          <w:p w14:paraId="129727C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0.77 (0.69–0.85)</w:t>
            </w:r>
          </w:p>
        </w:tc>
        <w:tc>
          <w:tcPr>
            <w:tcW w:w="1696" w:type="dxa"/>
            <w:vAlign w:val="center"/>
            <w:shd w:fill="FFFFFF"/>
          </w:tcPr>
          <w:p w14:paraId="4BDEA0C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427" w:type="dxa"/>
            <w:vAlign w:val="center"/>
            <w:shd w:fill="FFFFFF"/>
          </w:tcPr>
          <w:p w14:paraId="36CA490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0.0054</w:t>
            </w:r>
          </w:p>
        </w:tc>
        <w:tc>
          <w:tcPr>
            <w:tcW w:w="2465" w:type="dxa"/>
            <w:vAlign w:val="center"/>
            <w:shd w:fill="FFFFFF"/>
          </w:tcPr>
          <w:p w14:paraId="095FA85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r>
      <w:tr w:rsidR="006E4139" w14:paraId="7AD43069" w14:textId="77777777">
        <w:trPr>
          <w:jc w:val="center"/>
          <w:cantSplit/>
        </w:trPr>
        <w:tc>
          <w:tcPr>
            <w:tcW w:w="1671" w:type="dxa"/>
            <w:vAlign w:val="center"/>
            <w:shd w:fill="FFFFFF"/>
          </w:tcPr>
          <w:p w14:paraId="23F7856D"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69C664B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TBAL</w:t>
            </w:r>
          </w:p>
        </w:tc>
        <w:tc>
          <w:tcPr>
            <w:tcW w:w="1819" w:type="dxa"/>
            <w:vAlign w:val="center"/>
            <w:shd w:fill="FFFFFF"/>
          </w:tcPr>
          <w:p w14:paraId="7B128A3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0.14 (0.05 to 0.23)</w:t>
            </w:r>
          </w:p>
        </w:tc>
        <w:tc>
          <w:tcPr>
            <w:tcW w:w="2302" w:type="dxa"/>
            <w:vAlign w:val="center"/>
            <w:shd w:fill="FFFFFF"/>
          </w:tcPr>
          <w:p w14:paraId="114D0945"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.003</w:t>
            </w:r>
          </w:p>
        </w:tc>
        <w:tc>
          <w:tcPr>
            <w:tcW w:w="1372" w:type="dxa"/>
            <w:vAlign w:val="center"/>
            <w:shd w:fill="FFFFFF"/>
          </w:tcPr>
          <w:p w14:paraId="536952D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0.86 (0.79–0.93)</w:t>
            </w:r>
          </w:p>
        </w:tc>
        <w:tc>
          <w:tcPr>
            <w:tcW w:w="1696" w:type="dxa"/>
            <w:vAlign w:val="center"/>
            <w:shd w:fill="FFFFFF"/>
          </w:tcPr>
          <w:p w14:paraId="0A9BD37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c>
          <w:tcPr>
            <w:tcW w:w="1427" w:type="dxa"/>
            <w:vAlign w:val="center"/>
            <w:shd w:fill="FFFFFF"/>
          </w:tcPr>
          <w:p w14:paraId="170CD33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0.0048</w:t>
            </w:r>
          </w:p>
        </w:tc>
        <w:tc>
          <w:tcPr>
            <w:tcW w:w="2465" w:type="dxa"/>
            <w:vAlign w:val="center"/>
            <w:shd w:fill="FFFFFF"/>
          </w:tcPr>
          <w:p w14:paraId="620F2A3C"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&lt;.001</w:t>
            </w:r>
          </w:p>
        </w:tc>
      </w:tr>
      <w:tr w:rsidR="006E4139" w14:paraId="4B2B71DD" w14:textId="77777777">
        <w:trPr>
          <w:jc w:val="center"/>
          <w:cantSplit/>
        </w:trPr>
        <w:tc>
          <w:tcPr>
            <w:tcW w:w="1671" w:type="dxa"/>
            <w:vAlign w:val="center"/>
            <w:shd w:fill="FFFFFF"/>
          </w:tcPr>
          <w:p w14:paraId="39522C93"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Hallym (in-hospital)</w:t>
            </w:r>
          </w:p>
        </w:tc>
        <w:tc>
          <w:tcPr>
            <w:tcW w:w="2213" w:type="dxa"/>
            <w:vAlign w:val="center"/>
            <w:shd w:fill="FFFFFF"/>
          </w:tcPr>
          <w:p w14:paraId="2084C39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w:t>
            </w:r>
          </w:p>
        </w:tc>
        <w:tc>
          <w:tcPr>
            <w:tcW w:w="1819" w:type="dxa"/>
            <w:vAlign w:val="center"/>
            <w:shd w:fill="FFFFFF"/>
          </w:tcPr>
          <w:p w14:paraId="2051516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−0.37</w:t>
            </w:r>
          </w:p>
        </w:tc>
        <w:tc>
          <w:tcPr>
            <w:tcW w:w="2302" w:type="dxa"/>
            <w:vAlign w:val="center"/>
            <w:shd w:fill="FFFFFF"/>
          </w:tcPr>
          <w:p w14:paraId="6AAD91F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372" w:type="dxa"/>
            <w:vAlign w:val="center"/>
            <w:shd w:fill="FFFFFF"/>
          </w:tcPr>
          <w:p w14:paraId="1FC4D87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0.88</w:t>
            </w:r>
          </w:p>
        </w:tc>
        <w:tc>
          <w:tcPr>
            <w:tcW w:w="1696" w:type="dxa"/>
            <w:vAlign w:val="center"/>
            <w:shd w:fill="FFFFFF"/>
          </w:tcPr>
          <w:p w14:paraId="5DB1281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427" w:type="dxa"/>
            <w:vAlign w:val="center"/>
            <w:shd w:fill="FFFFFF"/>
          </w:tcPr>
          <w:p w14:paraId="705CED6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0.170</w:t>
            </w:r>
          </w:p>
        </w:tc>
        <w:tc>
          <w:tcPr>
            <w:tcW w:w="2465" w:type="dxa"/>
            <w:vAlign w:val="center"/>
            <w:shd w:fill="FFFFFF"/>
          </w:tcPr>
          <w:p w14:paraId="380C4E7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r>
      <w:tr w:rsidR="006E4139" w14:paraId="571440D6" w14:textId="77777777">
        <w:trPr>
          <w:jc w:val="center"/>
          <w:cantSplit/>
        </w:trPr>
        <w:tc>
          <w:tcPr>
            <w:tcW w:w="1671" w:type="dxa"/>
            <w:vAlign w:val="center"/>
            <w:shd w:fill="FFFFFF"/>
          </w:tcPr>
          <w:p w14:paraId="5CBC196E"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37286B4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LSTM</w:t>
            </w:r>
          </w:p>
        </w:tc>
        <w:tc>
          <w:tcPr>
            <w:tcW w:w="1819" w:type="dxa"/>
            <w:vAlign w:val="center"/>
            <w:shd w:fill="FFFFFF"/>
          </w:tcPr>
          <w:p w14:paraId="24A74B5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302" w:type="dxa"/>
            <w:vAlign w:val="center"/>
            <w:shd w:fill="FFFFFF"/>
          </w:tcPr>
          <w:p w14:paraId="41033C2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372" w:type="dxa"/>
            <w:vAlign w:val="center"/>
            <w:shd w:fill="FFFFFF"/>
          </w:tcPr>
          <w:p w14:paraId="34285AD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696" w:type="dxa"/>
            <w:vAlign w:val="center"/>
            <w:shd w:fill="FFFFFF"/>
          </w:tcPr>
          <w:p w14:paraId="0B31074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427" w:type="dxa"/>
            <w:vAlign w:val="center"/>
            <w:shd w:fill="FFFFFF"/>
          </w:tcPr>
          <w:p w14:paraId="72F0F23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0.201</w:t>
            </w:r>
          </w:p>
        </w:tc>
        <w:tc>
          <w:tcPr>
            <w:tcW w:w="2465" w:type="dxa"/>
            <w:vAlign w:val="center"/>
            <w:shd w:fill="FFFFFF"/>
          </w:tcPr>
          <w:p w14:paraId="2089873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.008</w:t>
            </w:r>
          </w:p>
        </w:tc>
      </w:tr>
      <w:tr w:rsidR="006E4139" w14:paraId="29220B61" w14:textId="77777777">
        <w:trPr>
          <w:jc w:val="center"/>
          <w:cantSplit/>
        </w:trPr>
        <w:tc>
          <w:tcPr>
            <w:tcW w:w="1671" w:type="dxa"/>
            <w:vAlign w:val="center"/>
            <w:shd w:fill="FFFFFF"/>
          </w:tcPr>
          <w:p w14:paraId="3F082A02"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37406784"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Transformer</w:t>
            </w:r>
          </w:p>
        </w:tc>
        <w:tc>
          <w:tcPr>
            <w:tcW w:w="1819" w:type="dxa"/>
            <w:vAlign w:val="center"/>
            <w:shd w:fill="FFFFFF"/>
          </w:tcPr>
          <w:p w14:paraId="3CD0162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302" w:type="dxa"/>
            <w:vAlign w:val="center"/>
            <w:shd w:fill="FFFFFF"/>
          </w:tcPr>
          <w:p w14:paraId="15EEE94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372" w:type="dxa"/>
            <w:vAlign w:val="center"/>
            <w:shd w:fill="FFFFFF"/>
          </w:tcPr>
          <w:p w14:paraId="09772B9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696" w:type="dxa"/>
            <w:vAlign w:val="center"/>
            <w:shd w:fill="FFFFFF"/>
          </w:tcPr>
          <w:p w14:paraId="3BD03CE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427" w:type="dxa"/>
            <w:vAlign w:val="center"/>
            <w:shd w:fill="FFFFFF"/>
          </w:tcPr>
          <w:p w14:paraId="3EBD968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0.197</w:t>
            </w:r>
          </w:p>
        </w:tc>
        <w:tc>
          <w:tcPr>
            <w:tcW w:w="2465" w:type="dxa"/>
            <w:vAlign w:val="center"/>
            <w:shd w:fill="FFFFFF"/>
          </w:tcPr>
          <w:p w14:paraId="0A458C3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w:t>
            </w:r>
          </w:p>
        </w:tc>
      </w:tr>
      <w:tr w:rsidR="006E4139" w14:paraId="09E523FA" w14:textId="77777777">
        <w:trPr>
          <w:jc w:val="center"/>
          <w:cantSplit/>
        </w:trPr>
        <w:tc>
          <w:tcPr>
            <w:tcW w:w="1671" w:type="dxa"/>
            <w:vAlign w:val="center"/>
            <w:shd w:fill="FFFFFF"/>
          </w:tcPr>
          <w:p w14:paraId="1A1B4E73"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249D4CD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TBAL</w:t>
            </w:r>
          </w:p>
        </w:tc>
        <w:tc>
          <w:tcPr>
            <w:tcW w:w="1819" w:type="dxa"/>
            <w:vAlign w:val="center"/>
            <w:shd w:fill="FFFFFF"/>
          </w:tcPr>
          <w:p w14:paraId="4198F33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302" w:type="dxa"/>
            <w:vAlign w:val="center"/>
            <w:shd w:fill="FFFFFF"/>
          </w:tcPr>
          <w:p w14:paraId="23B7B0D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372" w:type="dxa"/>
            <w:vAlign w:val="center"/>
            <w:shd w:fill="FFFFFF"/>
          </w:tcPr>
          <w:p w14:paraId="5909025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696" w:type="dxa"/>
            <w:vAlign w:val="center"/>
            <w:shd w:fill="FFFFFF"/>
          </w:tcPr>
          <w:p w14:paraId="49ABF80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427" w:type="dxa"/>
            <w:vAlign w:val="center"/>
            <w:shd w:fill="FFFFFF"/>
          </w:tcPr>
          <w:p w14:paraId="655733B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0.194</w:t>
            </w:r>
          </w:p>
        </w:tc>
        <w:tc>
          <w:tcPr>
            <w:tcW w:w="2465" w:type="dxa"/>
            <w:vAlign w:val="center"/>
            <w:shd w:fill="FFFFFF"/>
          </w:tcPr>
          <w:p w14:paraId="5D686B31"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.02</w:t>
            </w:r>
          </w:p>
        </w:tc>
      </w:tr>
      <w:tr w:rsidR="006E4139" w14:paraId="5E68E769" w14:textId="77777777">
        <w:trPr>
          <w:jc w:val="center"/>
          <w:cantSplit/>
        </w:trPr>
        <w:tc>
          <w:tcPr>
            <w:tcW w:w="1671" w:type="dxa"/>
            <w:vAlign w:val="center"/>
            <w:shd w:fill="FFFFFF"/>
          </w:tcPr>
          <w:p w14:paraId="36A1D3E3" w14:textId="77777777" w:rsidR="006E4139" w:rsidRDefault="00000000">
            <w:pPr>
              <w:keepNext w:val="0"/>
              <w:keepLines w:val="0"/>
              <w:widowControl/>
              <w:spacing w:before="0" w:after="0" w:line="480" w:lineRule="auto"/>
              <w:ind w:left="0" w:right="0" w:firstLine="0"/>
              <w:jc w:val="left"/>
            </w:pPr>
            <w:r>
              <w:rPr>
                <w:rFonts w:eastAsia="Times New Roman" w:cs="Times New Roman" w:ascii="Times New Roman" w:hAnsi="Times New Roman"/>
                <w:b w:val="0"/>
                <w:vanish w:val="0"/>
                <w:color w:val="000000"/>
                <w:sz w:val="19"/>
                <w:szCs w:val="20"/>
              </w:rPr>
              <w:t>Hallym (7-day)</w:t>
            </w:r>
          </w:p>
        </w:tc>
        <w:tc>
          <w:tcPr>
            <w:tcW w:w="2213" w:type="dxa"/>
            <w:vAlign w:val="center"/>
            <w:shd w:fill="FFFFFF"/>
          </w:tcPr>
          <w:p w14:paraId="794A696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PatchFusion</w:t>
            </w:r>
          </w:p>
        </w:tc>
        <w:tc>
          <w:tcPr>
            <w:tcW w:w="1819" w:type="dxa"/>
            <w:vAlign w:val="center"/>
            <w:shd w:fill="FFFFFF"/>
          </w:tcPr>
          <w:p w14:paraId="36BB831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0.02</w:t>
            </w:r>
          </w:p>
        </w:tc>
        <w:tc>
          <w:tcPr>
            <w:tcW w:w="2302" w:type="dxa"/>
            <w:vAlign w:val="center"/>
            <w:shd w:fill="FFFFFF"/>
          </w:tcPr>
          <w:p w14:paraId="52A1EDC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372" w:type="dxa"/>
            <w:vAlign w:val="center"/>
            <w:shd w:fill="FFFFFF"/>
          </w:tcPr>
          <w:p w14:paraId="292C3AB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1.65</w:t>
            </w:r>
          </w:p>
        </w:tc>
        <w:tc>
          <w:tcPr>
            <w:tcW w:w="1696" w:type="dxa"/>
            <w:vAlign w:val="center"/>
            <w:shd w:fill="FFFFFF"/>
          </w:tcPr>
          <w:p w14:paraId="20D4901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427" w:type="dxa"/>
            <w:vAlign w:val="center"/>
            <w:shd w:fill="FFFFFF"/>
          </w:tcPr>
          <w:p w14:paraId="15A96D0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0.055</w:t>
            </w:r>
          </w:p>
        </w:tc>
        <w:tc>
          <w:tcPr>
            <w:tcW w:w="2465" w:type="dxa"/>
            <w:vAlign w:val="center"/>
            <w:shd w:fill="FFFFFF"/>
          </w:tcPr>
          <w:p w14:paraId="1FC8336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r>
      <w:tr w:rsidR="006E4139" w14:paraId="219703CE" w14:textId="77777777">
        <w:trPr>
          <w:jc w:val="center"/>
          <w:cantSplit/>
        </w:trPr>
        <w:tc>
          <w:tcPr>
            <w:tcW w:w="1671" w:type="dxa"/>
            <w:vAlign w:val="center"/>
            <w:shd w:fill="FFFFFF"/>
          </w:tcPr>
          <w:p w14:paraId="79827DAF"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1E1C9AE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LSTM</w:t>
            </w:r>
          </w:p>
        </w:tc>
        <w:tc>
          <w:tcPr>
            <w:tcW w:w="1819" w:type="dxa"/>
            <w:vAlign w:val="center"/>
            <w:shd w:fill="FFFFFF"/>
          </w:tcPr>
          <w:p w14:paraId="4A6FAB8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302" w:type="dxa"/>
            <w:vAlign w:val="center"/>
            <w:shd w:fill="FFFFFF"/>
          </w:tcPr>
          <w:p w14:paraId="3914D79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372" w:type="dxa"/>
            <w:vAlign w:val="center"/>
            <w:shd w:fill="FFFFFF"/>
          </w:tcPr>
          <w:p w14:paraId="6F9FFC32"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696" w:type="dxa"/>
            <w:vAlign w:val="center"/>
            <w:shd w:fill="FFFFFF"/>
          </w:tcPr>
          <w:p w14:paraId="679AEE6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427" w:type="dxa"/>
            <w:vAlign w:val="center"/>
            <w:shd w:fill="FFFFFF"/>
          </w:tcPr>
          <w:p w14:paraId="3DB95A0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0.049</w:t>
            </w:r>
          </w:p>
        </w:tc>
        <w:tc>
          <w:tcPr>
            <w:tcW w:w="2465" w:type="dxa"/>
            <w:vAlign w:val="center"/>
            <w:shd w:fill="FFFFFF"/>
          </w:tcPr>
          <w:p w14:paraId="0AC0CD77"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.005</w:t>
            </w:r>
          </w:p>
        </w:tc>
      </w:tr>
      <w:tr w:rsidR="006E4139" w14:paraId="516EFF5E" w14:textId="77777777">
        <w:trPr>
          <w:jc w:val="center"/>
          <w:cantSplit/>
        </w:trPr>
        <w:tc>
          <w:tcPr>
            <w:tcW w:w="1671" w:type="dxa"/>
            <w:vAlign w:val="center"/>
            <w:shd w:fill="FFFFFF"/>
          </w:tcPr>
          <w:p w14:paraId="3979CACE"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106619E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Transformer</w:t>
            </w:r>
          </w:p>
        </w:tc>
        <w:tc>
          <w:tcPr>
            <w:tcW w:w="1819" w:type="dxa"/>
            <w:vAlign w:val="center"/>
            <w:shd w:fill="FFFFFF"/>
          </w:tcPr>
          <w:p w14:paraId="37FD71D0"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302" w:type="dxa"/>
            <w:vAlign w:val="center"/>
            <w:shd w:fill="FFFFFF"/>
          </w:tcPr>
          <w:p w14:paraId="110414CD"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372" w:type="dxa"/>
            <w:vAlign w:val="center"/>
            <w:shd w:fill="FFFFFF"/>
          </w:tcPr>
          <w:p w14:paraId="649EC6F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696" w:type="dxa"/>
            <w:vAlign w:val="center"/>
            <w:shd w:fill="FFFFFF"/>
          </w:tcPr>
          <w:p w14:paraId="3A43473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427" w:type="dxa"/>
            <w:vAlign w:val="center"/>
            <w:shd w:fill="FFFFFF"/>
          </w:tcPr>
          <w:p w14:paraId="4211161A"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0.047</w:t>
            </w:r>
          </w:p>
        </w:tc>
        <w:tc>
          <w:tcPr>
            <w:tcW w:w="2465" w:type="dxa"/>
            <w:vAlign w:val="center"/>
            <w:shd w:fill="FFFFFF"/>
          </w:tcPr>
          <w:p w14:paraId="2489B199"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.009</w:t>
            </w:r>
          </w:p>
        </w:tc>
      </w:tr>
      <w:tr w:rsidR="006E4139" w14:paraId="46DEDBC4" w14:textId="77777777">
        <w:trPr>
          <w:jc w:val="center"/>
          <w:cantSplit/>
        </w:trPr>
        <w:tc>
          <w:tcPr>
            <w:tcW w:w="1671" w:type="dxa"/>
            <w:vAlign w:val="center"/>
            <w:shd w:fill="FFFFFF"/>
          </w:tcPr>
          <w:p w14:paraId="2A478940" w14:textId="77777777" w:rsidR="006E4139" w:rsidRDefault="006E4139">
            <w:pPr>
              <w:keepNext w:val="0"/>
              <w:keepLines w:val="0"/>
              <w:widowControl/>
              <w:spacing w:before="0" w:after="0" w:line="480" w:lineRule="auto"/>
              <w:ind w:left="0" w:right="0" w:firstLine="0"/>
              <w:jc w:val="left"/>
            </w:pPr>
          </w:p>
        </w:tc>
        <w:tc>
          <w:tcPr>
            <w:tcW w:w="2213" w:type="dxa"/>
            <w:vAlign w:val="center"/>
            <w:shd w:fill="FFFFFF"/>
          </w:tcPr>
          <w:p w14:paraId="15691666"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TBAL</w:t>
            </w:r>
          </w:p>
        </w:tc>
        <w:tc>
          <w:tcPr>
            <w:tcW w:w="1819" w:type="dxa"/>
            <w:vAlign w:val="center"/>
            <w:shd w:fill="FFFFFF"/>
          </w:tcPr>
          <w:p w14:paraId="7B8CF8B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2302" w:type="dxa"/>
            <w:vAlign w:val="center"/>
            <w:shd w:fill="FFFFFF"/>
          </w:tcPr>
          <w:p w14:paraId="6A2F082E"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372" w:type="dxa"/>
            <w:vAlign w:val="center"/>
            <w:shd w:fill="FFFFFF"/>
          </w:tcPr>
          <w:p w14:paraId="2959BC48"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696" w:type="dxa"/>
            <w:vAlign w:val="center"/>
            <w:shd w:fill="FFFFFF"/>
          </w:tcPr>
          <w:p w14:paraId="7298DB63"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w:t>
            </w:r>
          </w:p>
        </w:tc>
        <w:tc>
          <w:tcPr>
            <w:tcW w:w="1427" w:type="dxa"/>
            <w:vAlign w:val="center"/>
            <w:shd w:fill="FFFFFF"/>
          </w:tcPr>
          <w:p w14:paraId="6D255EDF"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0.044</w:t>
            </w:r>
          </w:p>
        </w:tc>
        <w:tc>
          <w:tcPr>
            <w:tcW w:w="2465" w:type="dxa"/>
            <w:vAlign w:val="center"/>
            <w:shd w:fill="FFFFFF"/>
          </w:tcPr>
          <w:p w14:paraId="4DB57F3B" w14:textId="77777777" w:rsidR="006E4139" w:rsidRDefault="00000000">
            <w:pPr>
              <w:keepNext w:val="0"/>
              <w:keepLines w:val="0"/>
              <w:widowControl/>
              <w:spacing w:before="0" w:after="0" w:line="480" w:lineRule="auto"/>
              <w:ind w:left="0" w:right="0" w:firstLine="0"/>
              <w:jc w:val="center"/>
            </w:pPr>
            <w:r>
              <w:rPr>
                <w:rFonts w:eastAsia="Times New Roman" w:cs="Times New Roman" w:ascii="Times New Roman" w:hAnsi="Times New Roman"/>
                <w:b w:val="0"/>
                <w:vanish w:val="0"/>
                <w:color w:val="000000"/>
                <w:sz w:val="19"/>
                <w:szCs w:val="20"/>
              </w:rPr>
              <w:t>.03</w:t>
            </w:r>
          </w:p>
        </w:tc>
      </w:tr>
    </w:tbl>
    <w:p w14:paraId="6EA1C62B" w14:textId="77777777" w:rsidR="006E4139"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Table S15 calibration intercept and slope were estimated at the individual-stay level by logistic regression of the binary outcome on the logit of each original model-predicted probability (ideal values 0 and 1); these summaries do not recalibrate the probabilities shown in Figure S5 and are not regressions of the ten plotted bin means. The Brier score is the mean squared error of individual predicted probabilities. Null Brier = π(1 − π) for outcome prevalence π; scaled Brier = 1 − Brier/Null Brier (1 = perfect relative to the prevalence-only forecast). MIMIC-IV used pooled out-of-fold predictions under the locked GroupKFold protocol; eICU-CRD and Hallym used locked full-cohort MIMIC-IV–retrained scores without recalibration. P values for intercept and slope test H0: intercept=0 and H0: slope=1. P (ΔBrier vs PatchFusion) compares each baseline with PatchFusion (empirical bootstrap two-sided P). Corresponding reliability diagrams are shown in Figure S5. As throughout the supplement, P values are exploratory and not adjusted for multiplicity.</w:t>
      </w:r>
      <w:r>
        <w:rPr>
          <w:rFonts w:ascii="Times New Roman" w:hAnsi="Times New Roman" w:eastAsia="Times New Roman" w:cs="Times New Roman"/>
          <w:vanish w:val="0"/>
          <w:color w:val="000000"/>
          <w:sz w:val="22"/>
        </w:rPr>
      </w:r>
    </w:p>
    <w:p w14:paraId="4F3C42E7"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S16A. Pooled Out-of-Fold Operating Characteristics for the Primary ≈12–24-Hour MIMIC-IV Endpoint</w:t>
      </w:r>
    </w:p>
    <w:tbl>
      <w:tblPr>
        <w:jc w:val="center"/>
        <w:tblStyle w:val="a7"/>
        <w:tblW w:w="0" w:type="auto"/>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93"/>
        <w:gridCol w:w="2993"/>
        <w:gridCol w:w="2993"/>
        <w:gridCol w:w="2993"/>
        <w:gridCol w:w="2993"/>
      </w:tblGrid>
      <w:tr w:rsidR="00067B1F" w14:paraId="0495C508" w14:textId="77777777">
        <w:trPr>
          <w:cantSplit/>
          <w:tblHeader/>
        </w:trPr>
        <w:tc>
          <w:tcPr>
            <w:tcW w:w="2993" w:type="dxa"/>
            <w:vAlign w:val="center"/>
            <w:shd w:fill="E7E7E7"/>
          </w:tcPr>
          <w:p w14:paraId="55DF6551"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nish w:val="0"/>
                <w:color w:val="000000"/>
                <w:sz w:val="19"/>
                <w:szCs w:val="20"/>
              </w:rPr>
              <w:t>Model</w:t>
            </w:r>
          </w:p>
        </w:tc>
        <w:tc>
          <w:tcPr>
            <w:tcW w:w="2993" w:type="dxa"/>
            <w:vAlign w:val="center"/>
            <w:shd w:fill="E7E7E7"/>
          </w:tcPr>
          <w:p w14:paraId="763EC69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Metric</w:t>
            </w:r>
          </w:p>
        </w:tc>
        <w:tc>
          <w:tcPr>
            <w:tcW w:w="2993" w:type="dxa"/>
            <w:vAlign w:val="center"/>
            <w:shd w:fill="E7E7E7"/>
          </w:tcPr>
          <w:p w14:paraId="61566E5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Mortality Period</w:t>
            </w:r>
          </w:p>
        </w:tc>
        <w:tc>
          <w:tcPr>
            <w:tcW w:w="2993" w:type="dxa"/>
            <w:vAlign w:val="center"/>
            <w:shd w:fill="E7E7E7"/>
          </w:tcPr>
          <w:p w14:paraId="4BD402C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Score (95% CI)</w:t>
            </w:r>
          </w:p>
        </w:tc>
        <w:tc>
          <w:tcPr>
            <w:tcW w:w="2993" w:type="dxa"/>
            <w:vAlign w:val="center"/>
            <w:shd w:fill="E7E7E7"/>
          </w:tcPr>
          <w:p w14:paraId="1F7C74B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Evaluation type</w:t>
            </w:r>
          </w:p>
        </w:tc>
      </w:tr>
      <w:tr w:rsidR="00067B1F" w14:paraId="6BE743CD" w14:textId="77777777">
        <w:trPr>
          <w:cantSplit/>
        </w:trPr>
        <w:tc>
          <w:tcPr>
            <w:tcW w:w="2993" w:type="dxa"/>
            <w:vAlign w:val="center"/>
            <w:shd w:fill="FFFFFF"/>
          </w:tcPr>
          <w:p w14:paraId="00B47AC2"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PatchFusion</w:t>
            </w:r>
          </w:p>
        </w:tc>
        <w:tc>
          <w:tcPr>
            <w:tcW w:w="2993" w:type="dxa"/>
            <w:vAlign w:val="center"/>
            <w:shd w:fill="FFFFFF"/>
          </w:tcPr>
          <w:p w14:paraId="26D6167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7E283FE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1-day</w:t>
            </w:r>
          </w:p>
        </w:tc>
        <w:tc>
          <w:tcPr>
            <w:tcW w:w="2993" w:type="dxa"/>
            <w:vAlign w:val="center"/>
            <w:shd w:fill="FFFFFF"/>
          </w:tcPr>
          <w:p w14:paraId="6928452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0.850 (0.824–0.878)</w:t>
            </w:r>
          </w:p>
        </w:tc>
        <w:tc>
          <w:tcPr>
            <w:tcW w:w="2993" w:type="dxa"/>
            <w:vAlign w:val="center"/>
            <w:shd w:fill="FFFFFF"/>
          </w:tcPr>
          <w:p w14:paraId="48F14B6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Pooled OOF</w:t>
            </w:r>
          </w:p>
        </w:tc>
      </w:tr>
      <w:tr w:rsidR="00067B1F" w14:paraId="54D990AA" w14:textId="77777777">
        <w:trPr>
          <w:cantSplit/>
        </w:trPr>
        <w:tc>
          <w:tcPr>
            <w:tcW w:w="2993" w:type="dxa"/>
            <w:vAlign w:val="center"/>
            <w:shd w:fill="FFFFFF"/>
          </w:tcPr>
          <w:p w14:paraId="2220F9F3"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PatchFusion</w:t>
            </w:r>
          </w:p>
        </w:tc>
        <w:tc>
          <w:tcPr>
            <w:tcW w:w="2993" w:type="dxa"/>
            <w:vAlign w:val="center"/>
            <w:shd w:fill="FFFFFF"/>
          </w:tcPr>
          <w:p w14:paraId="6621971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31AE804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1-day</w:t>
            </w:r>
          </w:p>
        </w:tc>
        <w:tc>
          <w:tcPr>
            <w:tcW w:w="2993" w:type="dxa"/>
            <w:vAlign w:val="center"/>
            <w:shd w:fill="FFFFFF"/>
          </w:tcPr>
          <w:p w14:paraId="0E7C411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0.960 (0.958–0.962)</w:t>
            </w:r>
          </w:p>
        </w:tc>
        <w:tc>
          <w:tcPr>
            <w:tcW w:w="2993" w:type="dxa"/>
            <w:vAlign w:val="center"/>
            <w:shd w:fill="FFFFFF"/>
          </w:tcPr>
          <w:p w14:paraId="4FD90D2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Pooled OOF</w:t>
            </w:r>
          </w:p>
        </w:tc>
      </w:tr>
    </w:tbl>
    <w:p w14:paraId="398FB641"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Pooled-OOF scores and the locked τ=0.0241 cutpoint yielded TP=523, FP=2,090, FN=92, and TN=50,163 (2,613 flags). Percentile 95% CIs use patient-level bootstrap on fixed OOF scores and threshold.</w:t>
      </w:r>
    </w:p>
    <w:p w14:paraId="594FB60D" w14:textId="77777777" w:rsidR="00067B1F" w:rsidRDefault="00000000">
      <w:pPr>
        <w:keepNext/>
        <w:keepLines w:val="0"/>
        <w:widowControl/>
        <w:spacing w:line="480" w:lineRule="auto" w:before="0" w:after="80"/>
        <w:ind w:left="0" w:right="0" w:firstLine="0"/>
      </w:pPr>
      <w:r>
        <w:rPr>
          <w:rFonts w:ascii="Times New Roman" w:hAnsi="Times New Roman" w:eastAsia="Times New Roman" w:cs="Times New Roman"/>
          <w:b/>
          <w:vanish w:val="0"/>
          <w:color w:val="000000"/>
          <w:sz w:val="22"/>
        </w:rPr>
        <w:t>Table S16B. Apparent Operating Characteristics from Final Full-Cohort Models Reapplied to the MIMIC-IV Development Cohort</w:t>
      </w:r>
    </w:p>
    <w:tbl>
      <w:tblPr>
        <w:jc w:val="center"/>
        <w:tblStyle w:val="a7"/>
        <w:tblW w:w="0" w:type="auto"/>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93"/>
        <w:gridCol w:w="2993"/>
        <w:gridCol w:w="2993"/>
        <w:gridCol w:w="2993"/>
        <w:gridCol w:w="2993"/>
      </w:tblGrid>
      <w:tr w:rsidR="00067B1F" w14:paraId="35F6E1AE" w14:textId="77777777">
        <w:trPr>
          <w:cantSplit/>
          <w:tblHeader/>
        </w:trPr>
        <w:tc>
          <w:tcPr>
            <w:tcW w:w="2993" w:type="dxa"/>
            <w:vAlign w:val="center"/>
            <w:shd w:fill="E7E7E7"/>
          </w:tcPr>
          <w:p w14:paraId="6207F3C7"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nish w:val="0"/>
                <w:color w:val="000000"/>
                <w:sz w:val="19"/>
                <w:szCs w:val="20"/>
              </w:rPr>
              <w:t>Model</w:t>
            </w:r>
          </w:p>
        </w:tc>
        <w:tc>
          <w:tcPr>
            <w:tcW w:w="2993" w:type="dxa"/>
            <w:vAlign w:val="center"/>
            <w:shd w:fill="E7E7E7"/>
          </w:tcPr>
          <w:p w14:paraId="661FF81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Metric</w:t>
            </w:r>
          </w:p>
        </w:tc>
        <w:tc>
          <w:tcPr>
            <w:tcW w:w="2993" w:type="dxa"/>
            <w:vAlign w:val="center"/>
            <w:shd w:fill="E7E7E7"/>
          </w:tcPr>
          <w:p w14:paraId="737CE87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Mortality Period</w:t>
            </w:r>
          </w:p>
        </w:tc>
        <w:tc>
          <w:tcPr>
            <w:tcW w:w="2993" w:type="dxa"/>
            <w:vAlign w:val="center"/>
            <w:shd w:fill="E7E7E7"/>
          </w:tcPr>
          <w:p w14:paraId="19EFD95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Score (95% CI)</w:t>
            </w:r>
          </w:p>
        </w:tc>
        <w:tc>
          <w:tcPr>
            <w:tcW w:w="2993" w:type="dxa"/>
            <w:vAlign w:val="center"/>
            <w:shd w:fill="E7E7E7"/>
          </w:tcPr>
          <w:p w14:paraId="217238B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nish w:val="0"/>
                <w:color w:val="000000"/>
                <w:sz w:val="19"/>
                <w:szCs w:val="20"/>
              </w:rPr>
              <w:t>Evaluation type</w:t>
            </w:r>
          </w:p>
        </w:tc>
      </w:tr>
      <w:tr w:rsidR="00067B1F" w14:paraId="2403E91D" w14:textId="77777777">
        <w:trPr>
          <w:cantSplit/>
        </w:trPr>
        <w:tc>
          <w:tcPr>
            <w:tcW w:w="2993" w:type="dxa"/>
            <w:vAlign w:val="center"/>
            <w:shd w:fill="FFFFFF"/>
          </w:tcPr>
          <w:p w14:paraId="5B3CAD32"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LSTM</w:t>
            </w:r>
          </w:p>
        </w:tc>
        <w:tc>
          <w:tcPr>
            <w:tcW w:w="2993" w:type="dxa"/>
            <w:vAlign w:val="center"/>
            <w:shd w:fill="FFFFFF"/>
          </w:tcPr>
          <w:p w14:paraId="41CD40F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7A42097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1-day</w:t>
            </w:r>
          </w:p>
        </w:tc>
        <w:tc>
          <w:tcPr>
            <w:tcW w:w="2993" w:type="dxa"/>
            <w:vAlign w:val="center"/>
            <w:shd w:fill="FFFFFF"/>
          </w:tcPr>
          <w:p w14:paraId="5272DE5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0.650 (0.614–0.687)</w:t>
            </w:r>
          </w:p>
        </w:tc>
        <w:tc>
          <w:tcPr>
            <w:tcW w:w="2993" w:type="dxa"/>
            <w:vAlign w:val="center"/>
            <w:shd w:fill="FFFFFF"/>
          </w:tcPr>
          <w:p w14:paraId="1BC9B3D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7AE7CF71" w14:textId="77777777">
        <w:trPr>
          <w:cantSplit/>
        </w:trPr>
        <w:tc>
          <w:tcPr>
            <w:tcW w:w="2993" w:type="dxa"/>
            <w:vAlign w:val="center"/>
            <w:shd w:fill="FFFFFF"/>
          </w:tcPr>
          <w:p w14:paraId="4512BA01"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LSTM</w:t>
            </w:r>
          </w:p>
        </w:tc>
        <w:tc>
          <w:tcPr>
            <w:tcW w:w="2993" w:type="dxa"/>
            <w:vAlign w:val="center"/>
            <w:shd w:fill="FFFFFF"/>
          </w:tcPr>
          <w:p w14:paraId="7A76823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2F6F621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2-day</w:t>
            </w:r>
          </w:p>
        </w:tc>
        <w:tc>
          <w:tcPr>
            <w:tcW w:w="2993" w:type="dxa"/>
            <w:vAlign w:val="center"/>
            <w:shd w:fill="FFFFFF"/>
          </w:tcPr>
          <w:p w14:paraId="5F13A11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0.640 (0.614–0.665)</w:t>
            </w:r>
          </w:p>
        </w:tc>
        <w:tc>
          <w:tcPr>
            <w:tcW w:w="2993" w:type="dxa"/>
            <w:vAlign w:val="center"/>
            <w:shd w:fill="FFFFFF"/>
          </w:tcPr>
          <w:p w14:paraId="0F16DB4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199075A8" w14:textId="77777777">
        <w:trPr>
          <w:cantSplit/>
        </w:trPr>
        <w:tc>
          <w:tcPr>
            <w:tcW w:w="2993" w:type="dxa"/>
            <w:vAlign w:val="center"/>
            <w:shd w:fill="FFFFFF"/>
          </w:tcPr>
          <w:p w14:paraId="2A0E2447"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LSTM</w:t>
            </w:r>
          </w:p>
        </w:tc>
        <w:tc>
          <w:tcPr>
            <w:tcW w:w="2993" w:type="dxa"/>
            <w:vAlign w:val="center"/>
            <w:shd w:fill="FFFFFF"/>
          </w:tcPr>
          <w:p w14:paraId="7B9285C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3F2399F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7-day</w:t>
            </w:r>
          </w:p>
        </w:tc>
        <w:tc>
          <w:tcPr>
            <w:tcW w:w="2993" w:type="dxa"/>
            <w:vAlign w:val="center"/>
            <w:shd w:fill="FFFFFF"/>
          </w:tcPr>
          <w:p w14:paraId="53D6245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0.620 (0.603–0.638)</w:t>
            </w:r>
          </w:p>
        </w:tc>
        <w:tc>
          <w:tcPr>
            <w:tcW w:w="2993" w:type="dxa"/>
            <w:vAlign w:val="center"/>
            <w:shd w:fill="FFFFFF"/>
          </w:tcPr>
          <w:p w14:paraId="593D23B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407CDD50" w14:textId="77777777">
        <w:trPr>
          <w:cantSplit/>
        </w:trPr>
        <w:tc>
          <w:tcPr>
            <w:tcW w:w="2993" w:type="dxa"/>
            <w:vAlign w:val="center"/>
            <w:shd w:fill="FFFFFF"/>
          </w:tcPr>
          <w:p w14:paraId="55FE74C3"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LSTM</w:t>
            </w:r>
          </w:p>
        </w:tc>
        <w:tc>
          <w:tcPr>
            <w:tcW w:w="2993" w:type="dxa"/>
            <w:vAlign w:val="center"/>
            <w:shd w:fill="FFFFFF"/>
          </w:tcPr>
          <w:p w14:paraId="1DD248A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273A63D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in-hospital</w:t>
            </w:r>
          </w:p>
        </w:tc>
        <w:tc>
          <w:tcPr>
            <w:tcW w:w="2993" w:type="dxa"/>
            <w:vAlign w:val="center"/>
            <w:shd w:fill="FFFFFF"/>
          </w:tcPr>
          <w:p w14:paraId="0615374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0.650 (0.638–0.663)</w:t>
            </w:r>
          </w:p>
        </w:tc>
        <w:tc>
          <w:tcPr>
            <w:tcW w:w="2993" w:type="dxa"/>
            <w:vAlign w:val="center"/>
            <w:shd w:fill="FFFFFF"/>
          </w:tcPr>
          <w:p w14:paraId="76F56DA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039C96AA" w14:textId="77777777">
        <w:trPr>
          <w:cantSplit/>
        </w:trPr>
        <w:tc>
          <w:tcPr>
            <w:tcW w:w="2993" w:type="dxa"/>
            <w:vAlign w:val="center"/>
            <w:shd w:fill="FFFFFF"/>
          </w:tcPr>
          <w:p w14:paraId="114315B7"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LSTM</w:t>
            </w:r>
          </w:p>
        </w:tc>
        <w:tc>
          <w:tcPr>
            <w:tcW w:w="2993" w:type="dxa"/>
            <w:vAlign w:val="center"/>
            <w:shd w:fill="FFFFFF"/>
          </w:tcPr>
          <w:p w14:paraId="55A4C42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2D06E31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1-day</w:t>
            </w:r>
          </w:p>
        </w:tc>
        <w:tc>
          <w:tcPr>
            <w:tcW w:w="2993" w:type="dxa"/>
            <w:vAlign w:val="center"/>
            <w:shd w:fill="FFFFFF"/>
          </w:tcPr>
          <w:p w14:paraId="7C43B78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0.930 (0.928–0.932)</w:t>
            </w:r>
          </w:p>
        </w:tc>
        <w:tc>
          <w:tcPr>
            <w:tcW w:w="2993" w:type="dxa"/>
            <w:vAlign w:val="center"/>
            <w:shd w:fill="FFFFFF"/>
          </w:tcPr>
          <w:p w14:paraId="4CE4E11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258BB1BF" w14:textId="77777777">
        <w:trPr>
          <w:cantSplit/>
        </w:trPr>
        <w:tc>
          <w:tcPr>
            <w:tcW w:w="2993" w:type="dxa"/>
            <w:vAlign w:val="center"/>
            <w:shd w:fill="FFFFFF"/>
          </w:tcPr>
          <w:p w14:paraId="294CA0AC"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LSTM</w:t>
            </w:r>
          </w:p>
        </w:tc>
        <w:tc>
          <w:tcPr>
            <w:tcW w:w="2993" w:type="dxa"/>
            <w:vAlign w:val="center"/>
            <w:shd w:fill="FFFFFF"/>
          </w:tcPr>
          <w:p w14:paraId="7BBCA0B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0E6DF86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2-day</w:t>
            </w:r>
          </w:p>
        </w:tc>
        <w:tc>
          <w:tcPr>
            <w:tcW w:w="2993" w:type="dxa"/>
            <w:vAlign w:val="center"/>
            <w:shd w:fill="FFFFFF"/>
          </w:tcPr>
          <w:p w14:paraId="2BDF472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0.925 (0.923–0.927)</w:t>
            </w:r>
          </w:p>
        </w:tc>
        <w:tc>
          <w:tcPr>
            <w:tcW w:w="2993" w:type="dxa"/>
            <w:vAlign w:val="center"/>
            <w:shd w:fill="FFFFFF"/>
          </w:tcPr>
          <w:p w14:paraId="2FBA9FA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328C8D7E" w14:textId="77777777">
        <w:trPr>
          <w:cantSplit/>
        </w:trPr>
        <w:tc>
          <w:tcPr>
            <w:tcW w:w="2993" w:type="dxa"/>
            <w:vAlign w:val="center"/>
            <w:shd w:fill="FFFFFF"/>
          </w:tcPr>
          <w:p w14:paraId="7B2EAB53"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LSTM</w:t>
            </w:r>
          </w:p>
        </w:tc>
        <w:tc>
          <w:tcPr>
            <w:tcW w:w="2993" w:type="dxa"/>
            <w:vAlign w:val="center"/>
            <w:shd w:fill="FFFFFF"/>
          </w:tcPr>
          <w:p w14:paraId="486F7F2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786E83B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7-day</w:t>
            </w:r>
          </w:p>
        </w:tc>
        <w:tc>
          <w:tcPr>
            <w:tcW w:w="2993" w:type="dxa"/>
            <w:vAlign w:val="center"/>
            <w:shd w:fill="FFFFFF"/>
          </w:tcPr>
          <w:p w14:paraId="42C0D1D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0.920 (0.918–0.922)</w:t>
            </w:r>
          </w:p>
        </w:tc>
        <w:tc>
          <w:tcPr>
            <w:tcW w:w="2993" w:type="dxa"/>
            <w:vAlign w:val="center"/>
            <w:shd w:fill="FFFFFF"/>
          </w:tcPr>
          <w:p w14:paraId="7A3DDE7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33092B50" w14:textId="77777777">
        <w:trPr>
          <w:cantSplit/>
        </w:trPr>
        <w:tc>
          <w:tcPr>
            <w:tcW w:w="2993" w:type="dxa"/>
            <w:vAlign w:val="center"/>
            <w:shd w:fill="FFFFFF"/>
          </w:tcPr>
          <w:p w14:paraId="551CE3D4"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LSTM</w:t>
            </w:r>
          </w:p>
        </w:tc>
        <w:tc>
          <w:tcPr>
            <w:tcW w:w="2993" w:type="dxa"/>
            <w:vAlign w:val="center"/>
            <w:shd w:fill="FFFFFF"/>
          </w:tcPr>
          <w:p w14:paraId="505D19A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1EAEDDA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in-hospital</w:t>
            </w:r>
          </w:p>
        </w:tc>
        <w:tc>
          <w:tcPr>
            <w:tcW w:w="2993" w:type="dxa"/>
            <w:vAlign w:val="center"/>
            <w:shd w:fill="FFFFFF"/>
          </w:tcPr>
          <w:p w14:paraId="35797D3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0.860 (0.857–0.863)</w:t>
            </w:r>
          </w:p>
        </w:tc>
        <w:tc>
          <w:tcPr>
            <w:tcW w:w="2993" w:type="dxa"/>
            <w:vAlign w:val="center"/>
            <w:shd w:fill="FFFFFF"/>
          </w:tcPr>
          <w:p w14:paraId="10C6BB3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357B691E" w14:textId="77777777">
        <w:trPr>
          <w:cantSplit/>
        </w:trPr>
        <w:tc>
          <w:tcPr>
            <w:tcW w:w="2993" w:type="dxa"/>
            <w:vAlign w:val="center"/>
            <w:shd w:fill="FFFFFF"/>
          </w:tcPr>
          <w:p w14:paraId="01CF58FC"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Transformer</w:t>
            </w:r>
          </w:p>
        </w:tc>
        <w:tc>
          <w:tcPr>
            <w:tcW w:w="2993" w:type="dxa"/>
            <w:vAlign w:val="center"/>
            <w:shd w:fill="FFFFFF"/>
          </w:tcPr>
          <w:p w14:paraId="0A95628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1FF1007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1-day</w:t>
            </w:r>
          </w:p>
        </w:tc>
        <w:tc>
          <w:tcPr>
            <w:tcW w:w="2993" w:type="dxa"/>
            <w:vAlign w:val="center"/>
            <w:shd w:fill="FFFFFF"/>
          </w:tcPr>
          <w:p w14:paraId="7BAB29D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0.600 (0.560–0.638)</w:t>
            </w:r>
          </w:p>
        </w:tc>
        <w:tc>
          <w:tcPr>
            <w:tcW w:w="2993" w:type="dxa"/>
            <w:vAlign w:val="center"/>
            <w:shd w:fill="FFFFFF"/>
          </w:tcPr>
          <w:p w14:paraId="7070E12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3641AFD1" w14:textId="77777777">
        <w:trPr>
          <w:cantSplit/>
        </w:trPr>
        <w:tc>
          <w:tcPr>
            <w:tcW w:w="2993" w:type="dxa"/>
            <w:vAlign w:val="center"/>
            <w:shd w:fill="FFFFFF"/>
          </w:tcPr>
          <w:p w14:paraId="5A7C81C8"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lastRenderedPageBreak/>
              <w:t>Transformer</w:t>
            </w:r>
          </w:p>
        </w:tc>
        <w:tc>
          <w:tcPr>
            <w:tcW w:w="2993" w:type="dxa"/>
            <w:vAlign w:val="center"/>
            <w:shd w:fill="FFFFFF"/>
          </w:tcPr>
          <w:p w14:paraId="758BC65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0E45255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2-day</w:t>
            </w:r>
          </w:p>
        </w:tc>
        <w:tc>
          <w:tcPr>
            <w:tcW w:w="2993" w:type="dxa"/>
            <w:vAlign w:val="center"/>
            <w:shd w:fill="FFFFFF"/>
          </w:tcPr>
          <w:p w14:paraId="0DB7435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0.630 (0.604–0.656)</w:t>
            </w:r>
          </w:p>
        </w:tc>
        <w:tc>
          <w:tcPr>
            <w:tcW w:w="2993" w:type="dxa"/>
            <w:vAlign w:val="center"/>
            <w:shd w:fill="FFFFFF"/>
          </w:tcPr>
          <w:p w14:paraId="4A9E4EC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7375C398" w14:textId="77777777">
        <w:trPr>
          <w:cantSplit/>
        </w:trPr>
        <w:tc>
          <w:tcPr>
            <w:tcW w:w="2993" w:type="dxa"/>
            <w:vAlign w:val="center"/>
            <w:shd w:fill="FFFFFF"/>
          </w:tcPr>
          <w:p w14:paraId="1102B840"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Transformer</w:t>
            </w:r>
          </w:p>
        </w:tc>
        <w:tc>
          <w:tcPr>
            <w:tcW w:w="2993" w:type="dxa"/>
            <w:vAlign w:val="center"/>
            <w:shd w:fill="FFFFFF"/>
          </w:tcPr>
          <w:p w14:paraId="3063222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66210C4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7-day</w:t>
            </w:r>
          </w:p>
        </w:tc>
        <w:tc>
          <w:tcPr>
            <w:tcW w:w="2993" w:type="dxa"/>
            <w:vAlign w:val="center"/>
            <w:shd w:fill="FFFFFF"/>
          </w:tcPr>
          <w:p w14:paraId="1CE0D3C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0.610 (0.592–0.627)</w:t>
            </w:r>
          </w:p>
        </w:tc>
        <w:tc>
          <w:tcPr>
            <w:tcW w:w="2993" w:type="dxa"/>
            <w:vAlign w:val="center"/>
            <w:shd w:fill="FFFFFF"/>
          </w:tcPr>
          <w:p w14:paraId="7829B79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791F6959" w14:textId="77777777">
        <w:trPr>
          <w:cantSplit/>
        </w:trPr>
        <w:tc>
          <w:tcPr>
            <w:tcW w:w="2993" w:type="dxa"/>
            <w:vAlign w:val="center"/>
            <w:shd w:fill="FFFFFF"/>
          </w:tcPr>
          <w:p w14:paraId="07DD9C07"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Transformer</w:t>
            </w:r>
          </w:p>
        </w:tc>
        <w:tc>
          <w:tcPr>
            <w:tcW w:w="2993" w:type="dxa"/>
            <w:vAlign w:val="center"/>
            <w:shd w:fill="FFFFFF"/>
          </w:tcPr>
          <w:p w14:paraId="5BB76B1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26954F0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in-hospital</w:t>
            </w:r>
          </w:p>
        </w:tc>
        <w:tc>
          <w:tcPr>
            <w:tcW w:w="2993" w:type="dxa"/>
            <w:vAlign w:val="center"/>
            <w:shd w:fill="FFFFFF"/>
          </w:tcPr>
          <w:p w14:paraId="4906171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0.660 (0.648–0.672)</w:t>
            </w:r>
          </w:p>
        </w:tc>
        <w:tc>
          <w:tcPr>
            <w:tcW w:w="2993" w:type="dxa"/>
            <w:vAlign w:val="center"/>
            <w:shd w:fill="FFFFFF"/>
          </w:tcPr>
          <w:p w14:paraId="09B17D4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75F72BD0" w14:textId="77777777">
        <w:trPr>
          <w:cantSplit/>
        </w:trPr>
        <w:tc>
          <w:tcPr>
            <w:tcW w:w="2993" w:type="dxa"/>
            <w:vAlign w:val="center"/>
            <w:shd w:fill="FFFFFF"/>
          </w:tcPr>
          <w:p w14:paraId="45197EC2"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Transformer</w:t>
            </w:r>
          </w:p>
        </w:tc>
        <w:tc>
          <w:tcPr>
            <w:tcW w:w="2993" w:type="dxa"/>
            <w:vAlign w:val="center"/>
            <w:shd w:fill="FFFFFF"/>
          </w:tcPr>
          <w:p w14:paraId="7E20A2E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451579B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1-day</w:t>
            </w:r>
          </w:p>
        </w:tc>
        <w:tc>
          <w:tcPr>
            <w:tcW w:w="2993" w:type="dxa"/>
            <w:vAlign w:val="center"/>
            <w:shd w:fill="FFFFFF"/>
          </w:tcPr>
          <w:p w14:paraId="63EC25F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0.936 (0.934–0.938)</w:t>
            </w:r>
          </w:p>
        </w:tc>
        <w:tc>
          <w:tcPr>
            <w:tcW w:w="2993" w:type="dxa"/>
            <w:vAlign w:val="center"/>
            <w:shd w:fill="FFFFFF"/>
          </w:tcPr>
          <w:p w14:paraId="757A756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2C1FAC04" w14:textId="77777777">
        <w:trPr>
          <w:cantSplit/>
        </w:trPr>
        <w:tc>
          <w:tcPr>
            <w:tcW w:w="2993" w:type="dxa"/>
            <w:vAlign w:val="center"/>
            <w:shd w:fill="FFFFFF"/>
          </w:tcPr>
          <w:p w14:paraId="2658AF58"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Transformer</w:t>
            </w:r>
          </w:p>
        </w:tc>
        <w:tc>
          <w:tcPr>
            <w:tcW w:w="2993" w:type="dxa"/>
            <w:vAlign w:val="center"/>
            <w:shd w:fill="FFFFFF"/>
          </w:tcPr>
          <w:p w14:paraId="334B824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72D1F0A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2-day</w:t>
            </w:r>
          </w:p>
        </w:tc>
        <w:tc>
          <w:tcPr>
            <w:tcW w:w="2993" w:type="dxa"/>
            <w:vAlign w:val="center"/>
            <w:shd w:fill="FFFFFF"/>
          </w:tcPr>
          <w:p w14:paraId="7B0A111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0.935 (0.933–0.937)</w:t>
            </w:r>
          </w:p>
        </w:tc>
        <w:tc>
          <w:tcPr>
            <w:tcW w:w="2993" w:type="dxa"/>
            <w:vAlign w:val="center"/>
            <w:shd w:fill="FFFFFF"/>
          </w:tcPr>
          <w:p w14:paraId="4C3F1BF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518A71A4" w14:textId="77777777">
        <w:trPr>
          <w:cantSplit/>
        </w:trPr>
        <w:tc>
          <w:tcPr>
            <w:tcW w:w="2993" w:type="dxa"/>
            <w:vAlign w:val="center"/>
            <w:shd w:fill="FFFFFF"/>
          </w:tcPr>
          <w:p w14:paraId="5616E986"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Transformer</w:t>
            </w:r>
          </w:p>
        </w:tc>
        <w:tc>
          <w:tcPr>
            <w:tcW w:w="2993" w:type="dxa"/>
            <w:vAlign w:val="center"/>
            <w:shd w:fill="FFFFFF"/>
          </w:tcPr>
          <w:p w14:paraId="48098BE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3147F42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7-day</w:t>
            </w:r>
          </w:p>
        </w:tc>
        <w:tc>
          <w:tcPr>
            <w:tcW w:w="2993" w:type="dxa"/>
            <w:vAlign w:val="center"/>
            <w:shd w:fill="FFFFFF"/>
          </w:tcPr>
          <w:p w14:paraId="306F607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0.930 (0.928–0.932)</w:t>
            </w:r>
          </w:p>
        </w:tc>
        <w:tc>
          <w:tcPr>
            <w:tcW w:w="2993" w:type="dxa"/>
            <w:vAlign w:val="center"/>
            <w:shd w:fill="FFFFFF"/>
          </w:tcPr>
          <w:p w14:paraId="3BD4108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0B1A94C4" w14:textId="77777777">
        <w:trPr>
          <w:cantSplit/>
        </w:trPr>
        <w:tc>
          <w:tcPr>
            <w:tcW w:w="2993" w:type="dxa"/>
            <w:vAlign w:val="center"/>
            <w:shd w:fill="FFFFFF"/>
          </w:tcPr>
          <w:p w14:paraId="47368AAD"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Transformer</w:t>
            </w:r>
          </w:p>
        </w:tc>
        <w:tc>
          <w:tcPr>
            <w:tcW w:w="2993" w:type="dxa"/>
            <w:vAlign w:val="center"/>
            <w:shd w:fill="FFFFFF"/>
          </w:tcPr>
          <w:p w14:paraId="1272F07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5E806C2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in-hospital</w:t>
            </w:r>
          </w:p>
        </w:tc>
        <w:tc>
          <w:tcPr>
            <w:tcW w:w="2993" w:type="dxa"/>
            <w:vAlign w:val="center"/>
            <w:shd w:fill="FFFFFF"/>
          </w:tcPr>
          <w:p w14:paraId="7FC233B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0.865 (0.862–0.868)</w:t>
            </w:r>
          </w:p>
        </w:tc>
        <w:tc>
          <w:tcPr>
            <w:tcW w:w="2993" w:type="dxa"/>
            <w:vAlign w:val="center"/>
            <w:shd w:fill="FFFFFF"/>
          </w:tcPr>
          <w:p w14:paraId="5845DC2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65FFF3A9" w14:textId="77777777">
        <w:trPr>
          <w:cantSplit/>
        </w:trPr>
        <w:tc>
          <w:tcPr>
            <w:tcW w:w="2993" w:type="dxa"/>
            <w:vAlign w:val="center"/>
            <w:shd w:fill="FFFFFF"/>
          </w:tcPr>
          <w:p w14:paraId="15C9CE37"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TBAL</w:t>
            </w:r>
          </w:p>
        </w:tc>
        <w:tc>
          <w:tcPr>
            <w:tcW w:w="2993" w:type="dxa"/>
            <w:vAlign w:val="center"/>
            <w:shd w:fill="FFFFFF"/>
          </w:tcPr>
          <w:p w14:paraId="79F8D17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5989D3D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1-day</w:t>
            </w:r>
          </w:p>
        </w:tc>
        <w:tc>
          <w:tcPr>
            <w:tcW w:w="2993" w:type="dxa"/>
            <w:vAlign w:val="center"/>
            <w:shd w:fill="FFFFFF"/>
          </w:tcPr>
          <w:p w14:paraId="1790F61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0.699 (0.664–0.736)</w:t>
            </w:r>
          </w:p>
        </w:tc>
        <w:tc>
          <w:tcPr>
            <w:tcW w:w="2993" w:type="dxa"/>
            <w:vAlign w:val="center"/>
            <w:shd w:fill="FFFFFF"/>
          </w:tcPr>
          <w:p w14:paraId="2F3D840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1E59BFA6" w14:textId="77777777">
        <w:trPr>
          <w:cantSplit/>
        </w:trPr>
        <w:tc>
          <w:tcPr>
            <w:tcW w:w="2993" w:type="dxa"/>
            <w:vAlign w:val="center"/>
            <w:shd w:fill="FFFFFF"/>
          </w:tcPr>
          <w:p w14:paraId="27338DC9"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TBAL</w:t>
            </w:r>
          </w:p>
        </w:tc>
        <w:tc>
          <w:tcPr>
            <w:tcW w:w="2993" w:type="dxa"/>
            <w:vAlign w:val="center"/>
            <w:shd w:fill="FFFFFF"/>
          </w:tcPr>
          <w:p w14:paraId="7FD3275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629A28B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2-day</w:t>
            </w:r>
          </w:p>
        </w:tc>
        <w:tc>
          <w:tcPr>
            <w:tcW w:w="2993" w:type="dxa"/>
            <w:vAlign w:val="center"/>
            <w:shd w:fill="FFFFFF"/>
          </w:tcPr>
          <w:p w14:paraId="4F1835E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0.680 (0.655–0.705)</w:t>
            </w:r>
          </w:p>
        </w:tc>
        <w:tc>
          <w:tcPr>
            <w:tcW w:w="2993" w:type="dxa"/>
            <w:vAlign w:val="center"/>
            <w:shd w:fill="FFFFFF"/>
          </w:tcPr>
          <w:p w14:paraId="6ED9388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7988281D" w14:textId="77777777">
        <w:trPr>
          <w:cantSplit/>
        </w:trPr>
        <w:tc>
          <w:tcPr>
            <w:tcW w:w="2993" w:type="dxa"/>
            <w:vAlign w:val="center"/>
            <w:shd w:fill="FFFFFF"/>
          </w:tcPr>
          <w:p w14:paraId="741A16D9"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TBAL</w:t>
            </w:r>
          </w:p>
        </w:tc>
        <w:tc>
          <w:tcPr>
            <w:tcW w:w="2993" w:type="dxa"/>
            <w:vAlign w:val="center"/>
            <w:shd w:fill="FFFFFF"/>
          </w:tcPr>
          <w:p w14:paraId="27EB70F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0E5A011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7-day</w:t>
            </w:r>
          </w:p>
        </w:tc>
        <w:tc>
          <w:tcPr>
            <w:tcW w:w="2993" w:type="dxa"/>
            <w:vAlign w:val="center"/>
            <w:shd w:fill="FFFFFF"/>
          </w:tcPr>
          <w:p w14:paraId="2DE9644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0.660 (0.644–0.677)</w:t>
            </w:r>
          </w:p>
        </w:tc>
        <w:tc>
          <w:tcPr>
            <w:tcW w:w="2993" w:type="dxa"/>
            <w:vAlign w:val="center"/>
            <w:shd w:fill="FFFFFF"/>
          </w:tcPr>
          <w:p w14:paraId="6DB951E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288BF19F" w14:textId="77777777">
        <w:trPr>
          <w:cantSplit/>
        </w:trPr>
        <w:tc>
          <w:tcPr>
            <w:tcW w:w="2993" w:type="dxa"/>
            <w:vAlign w:val="center"/>
            <w:shd w:fill="FFFFFF"/>
          </w:tcPr>
          <w:p w14:paraId="7777E3E2"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TBAL</w:t>
            </w:r>
          </w:p>
        </w:tc>
        <w:tc>
          <w:tcPr>
            <w:tcW w:w="2993" w:type="dxa"/>
            <w:vAlign w:val="center"/>
            <w:shd w:fill="FFFFFF"/>
          </w:tcPr>
          <w:p w14:paraId="4D6E3EF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1972C9A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in-hospital</w:t>
            </w:r>
          </w:p>
        </w:tc>
        <w:tc>
          <w:tcPr>
            <w:tcW w:w="2993" w:type="dxa"/>
            <w:vAlign w:val="center"/>
            <w:shd w:fill="FFFFFF"/>
          </w:tcPr>
          <w:p w14:paraId="63ADB99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0.680 (0.668–0.692)</w:t>
            </w:r>
          </w:p>
        </w:tc>
        <w:tc>
          <w:tcPr>
            <w:tcW w:w="2993" w:type="dxa"/>
            <w:vAlign w:val="center"/>
            <w:shd w:fill="FFFFFF"/>
          </w:tcPr>
          <w:p w14:paraId="1AB4E39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444390DC" w14:textId="77777777">
        <w:trPr>
          <w:cantSplit/>
        </w:trPr>
        <w:tc>
          <w:tcPr>
            <w:tcW w:w="2993" w:type="dxa"/>
            <w:vAlign w:val="center"/>
            <w:shd w:fill="FFFFFF"/>
          </w:tcPr>
          <w:p w14:paraId="1BC12B78"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TBAL</w:t>
            </w:r>
          </w:p>
        </w:tc>
        <w:tc>
          <w:tcPr>
            <w:tcW w:w="2993" w:type="dxa"/>
            <w:vAlign w:val="center"/>
            <w:shd w:fill="FFFFFF"/>
          </w:tcPr>
          <w:p w14:paraId="5CAD51B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0025B3E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1-day</w:t>
            </w:r>
          </w:p>
        </w:tc>
        <w:tc>
          <w:tcPr>
            <w:tcW w:w="2993" w:type="dxa"/>
            <w:vAlign w:val="center"/>
            <w:shd w:fill="FFFFFF"/>
          </w:tcPr>
          <w:p w14:paraId="417267A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0.950 (0.948–0.952)</w:t>
            </w:r>
          </w:p>
        </w:tc>
        <w:tc>
          <w:tcPr>
            <w:tcW w:w="2993" w:type="dxa"/>
            <w:vAlign w:val="center"/>
            <w:shd w:fill="FFFFFF"/>
          </w:tcPr>
          <w:p w14:paraId="5CFF2BE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69E78D2C" w14:textId="77777777">
        <w:trPr>
          <w:cantSplit/>
        </w:trPr>
        <w:tc>
          <w:tcPr>
            <w:tcW w:w="2993" w:type="dxa"/>
            <w:vAlign w:val="center"/>
            <w:shd w:fill="FFFFFF"/>
          </w:tcPr>
          <w:p w14:paraId="6F192940"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TBAL</w:t>
            </w:r>
          </w:p>
        </w:tc>
        <w:tc>
          <w:tcPr>
            <w:tcW w:w="2993" w:type="dxa"/>
            <w:vAlign w:val="center"/>
            <w:shd w:fill="FFFFFF"/>
          </w:tcPr>
          <w:p w14:paraId="33507A9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317B630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2-day</w:t>
            </w:r>
          </w:p>
        </w:tc>
        <w:tc>
          <w:tcPr>
            <w:tcW w:w="2993" w:type="dxa"/>
            <w:vAlign w:val="center"/>
            <w:shd w:fill="FFFFFF"/>
          </w:tcPr>
          <w:p w14:paraId="659390A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0.945 (0.943–0.947)</w:t>
            </w:r>
          </w:p>
        </w:tc>
        <w:tc>
          <w:tcPr>
            <w:tcW w:w="2993" w:type="dxa"/>
            <w:vAlign w:val="center"/>
            <w:shd w:fill="FFFFFF"/>
          </w:tcPr>
          <w:p w14:paraId="692274C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4BA4C143" w14:textId="77777777">
        <w:trPr>
          <w:cantSplit/>
        </w:trPr>
        <w:tc>
          <w:tcPr>
            <w:tcW w:w="2993" w:type="dxa"/>
            <w:vAlign w:val="center"/>
            <w:shd w:fill="FFFFFF"/>
          </w:tcPr>
          <w:p w14:paraId="731FD3BB"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TBAL</w:t>
            </w:r>
          </w:p>
        </w:tc>
        <w:tc>
          <w:tcPr>
            <w:tcW w:w="2993" w:type="dxa"/>
            <w:vAlign w:val="center"/>
            <w:shd w:fill="FFFFFF"/>
          </w:tcPr>
          <w:p w14:paraId="270AABB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5F6A4BD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7-day</w:t>
            </w:r>
          </w:p>
        </w:tc>
        <w:tc>
          <w:tcPr>
            <w:tcW w:w="2993" w:type="dxa"/>
            <w:vAlign w:val="center"/>
            <w:shd w:fill="FFFFFF"/>
          </w:tcPr>
          <w:p w14:paraId="0BEC786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0.935 (0.933–0.937)</w:t>
            </w:r>
          </w:p>
        </w:tc>
        <w:tc>
          <w:tcPr>
            <w:tcW w:w="2993" w:type="dxa"/>
            <w:vAlign w:val="center"/>
            <w:shd w:fill="FFFFFF"/>
          </w:tcPr>
          <w:p w14:paraId="09D5016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6B54EC13" w14:textId="77777777">
        <w:trPr>
          <w:cantSplit/>
        </w:trPr>
        <w:tc>
          <w:tcPr>
            <w:tcW w:w="2993" w:type="dxa"/>
            <w:vAlign w:val="center"/>
            <w:shd w:fill="FFFFFF"/>
          </w:tcPr>
          <w:p w14:paraId="0A96FB30"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TBAL</w:t>
            </w:r>
          </w:p>
        </w:tc>
        <w:tc>
          <w:tcPr>
            <w:tcW w:w="2993" w:type="dxa"/>
            <w:vAlign w:val="center"/>
            <w:shd w:fill="FFFFFF"/>
          </w:tcPr>
          <w:p w14:paraId="5D2F1DB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739458B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in-hospital</w:t>
            </w:r>
          </w:p>
        </w:tc>
        <w:tc>
          <w:tcPr>
            <w:tcW w:w="2993" w:type="dxa"/>
            <w:vAlign w:val="center"/>
            <w:shd w:fill="FFFFFF"/>
          </w:tcPr>
          <w:p w14:paraId="1D1D214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0.870 (0.867–0.873)</w:t>
            </w:r>
          </w:p>
        </w:tc>
        <w:tc>
          <w:tcPr>
            <w:tcW w:w="2993" w:type="dxa"/>
            <w:vAlign w:val="center"/>
            <w:shd w:fill="FFFFFF"/>
          </w:tcPr>
          <w:p w14:paraId="019279B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6330D712" w14:textId="77777777">
        <w:trPr>
          <w:cantSplit/>
        </w:trPr>
        <w:tc>
          <w:tcPr>
            <w:tcW w:w="2993" w:type="dxa"/>
            <w:vAlign w:val="center"/>
            <w:shd w:fill="FFFFFF"/>
          </w:tcPr>
          <w:p w14:paraId="33F17962"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PatchFusion</w:t>
            </w:r>
          </w:p>
        </w:tc>
        <w:tc>
          <w:tcPr>
            <w:tcW w:w="2993" w:type="dxa"/>
            <w:vAlign w:val="center"/>
            <w:shd w:fill="FFFFFF"/>
          </w:tcPr>
          <w:p w14:paraId="51CA79C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5FAF4EB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2-day</w:t>
            </w:r>
          </w:p>
        </w:tc>
        <w:tc>
          <w:tcPr>
            <w:tcW w:w="2993" w:type="dxa"/>
            <w:vAlign w:val="center"/>
            <w:shd w:fill="FFFFFF"/>
          </w:tcPr>
          <w:p w14:paraId="636C9B6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0.710 (0.685–0.735)</w:t>
            </w:r>
          </w:p>
        </w:tc>
        <w:tc>
          <w:tcPr>
            <w:tcW w:w="2993" w:type="dxa"/>
            <w:vAlign w:val="center"/>
            <w:shd w:fill="FFFFFF"/>
          </w:tcPr>
          <w:p w14:paraId="58918F3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7A5EDBCD" w14:textId="77777777">
        <w:trPr>
          <w:cantSplit/>
        </w:trPr>
        <w:tc>
          <w:tcPr>
            <w:tcW w:w="2993" w:type="dxa"/>
            <w:vAlign w:val="center"/>
            <w:shd w:fill="FFFFFF"/>
          </w:tcPr>
          <w:p w14:paraId="63B7CB6B"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lastRenderedPageBreak/>
              <w:t>PatchFusion</w:t>
            </w:r>
          </w:p>
        </w:tc>
        <w:tc>
          <w:tcPr>
            <w:tcW w:w="2993" w:type="dxa"/>
            <w:vAlign w:val="center"/>
            <w:shd w:fill="FFFFFF"/>
          </w:tcPr>
          <w:p w14:paraId="1D03A7B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30458A7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7-day</w:t>
            </w:r>
          </w:p>
        </w:tc>
        <w:tc>
          <w:tcPr>
            <w:tcW w:w="2993" w:type="dxa"/>
            <w:vAlign w:val="center"/>
            <w:shd w:fill="FFFFFF"/>
          </w:tcPr>
          <w:p w14:paraId="76DCFA0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0.700 (0.684–0.716)</w:t>
            </w:r>
          </w:p>
        </w:tc>
        <w:tc>
          <w:tcPr>
            <w:tcW w:w="2993" w:type="dxa"/>
            <w:vAlign w:val="center"/>
            <w:shd w:fill="FFFFFF"/>
          </w:tcPr>
          <w:p w14:paraId="1670A46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13BC30FB" w14:textId="77777777">
        <w:trPr>
          <w:cantSplit/>
        </w:trPr>
        <w:tc>
          <w:tcPr>
            <w:tcW w:w="2993" w:type="dxa"/>
            <w:vAlign w:val="center"/>
            <w:shd w:fill="FFFFFF"/>
          </w:tcPr>
          <w:p w14:paraId="24233B04"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PatchFusion</w:t>
            </w:r>
          </w:p>
        </w:tc>
        <w:tc>
          <w:tcPr>
            <w:tcW w:w="2993" w:type="dxa"/>
            <w:vAlign w:val="center"/>
            <w:shd w:fill="FFFFFF"/>
          </w:tcPr>
          <w:p w14:paraId="769BBF5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Sensitivity</w:t>
            </w:r>
          </w:p>
        </w:tc>
        <w:tc>
          <w:tcPr>
            <w:tcW w:w="2993" w:type="dxa"/>
            <w:vAlign w:val="center"/>
            <w:shd w:fill="FFFFFF"/>
          </w:tcPr>
          <w:p w14:paraId="5009A52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in-hospital</w:t>
            </w:r>
          </w:p>
        </w:tc>
        <w:tc>
          <w:tcPr>
            <w:tcW w:w="2993" w:type="dxa"/>
            <w:vAlign w:val="center"/>
            <w:shd w:fill="FFFFFF"/>
          </w:tcPr>
          <w:p w14:paraId="1D12D7B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0.710 (0.699–0.721)</w:t>
            </w:r>
          </w:p>
        </w:tc>
        <w:tc>
          <w:tcPr>
            <w:tcW w:w="2993" w:type="dxa"/>
            <w:vAlign w:val="center"/>
            <w:shd w:fill="FFFFFF"/>
          </w:tcPr>
          <w:p w14:paraId="76EA409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60D68AB7" w14:textId="77777777">
        <w:trPr>
          <w:cantSplit/>
        </w:trPr>
        <w:tc>
          <w:tcPr>
            <w:tcW w:w="2993" w:type="dxa"/>
            <w:vAlign w:val="center"/>
            <w:shd w:fill="FFFFFF"/>
          </w:tcPr>
          <w:p w14:paraId="35AFBE1D"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PatchFusion</w:t>
            </w:r>
          </w:p>
        </w:tc>
        <w:tc>
          <w:tcPr>
            <w:tcW w:w="2993" w:type="dxa"/>
            <w:vAlign w:val="center"/>
            <w:shd w:fill="FFFFFF"/>
          </w:tcPr>
          <w:p w14:paraId="321D297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23CC864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2-day</w:t>
            </w:r>
          </w:p>
        </w:tc>
        <w:tc>
          <w:tcPr>
            <w:tcW w:w="2993" w:type="dxa"/>
            <w:vAlign w:val="center"/>
            <w:shd w:fill="FFFFFF"/>
          </w:tcPr>
          <w:p w14:paraId="7848600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0.950 (0.948–0.952)</w:t>
            </w:r>
          </w:p>
        </w:tc>
        <w:tc>
          <w:tcPr>
            <w:tcW w:w="2993" w:type="dxa"/>
            <w:vAlign w:val="center"/>
            <w:shd w:fill="FFFFFF"/>
          </w:tcPr>
          <w:p w14:paraId="0B97FD2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424D1A25" w14:textId="77777777">
        <w:trPr>
          <w:cantSplit/>
        </w:trPr>
        <w:tc>
          <w:tcPr>
            <w:tcW w:w="2993" w:type="dxa"/>
            <w:vAlign w:val="center"/>
            <w:shd w:fill="FFFFFF"/>
          </w:tcPr>
          <w:p w14:paraId="2194835F"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PatchFusion</w:t>
            </w:r>
          </w:p>
        </w:tc>
        <w:tc>
          <w:tcPr>
            <w:tcW w:w="2993" w:type="dxa"/>
            <w:vAlign w:val="center"/>
            <w:shd w:fill="FFFFFF"/>
          </w:tcPr>
          <w:p w14:paraId="598094C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34D851C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7-day</w:t>
            </w:r>
          </w:p>
        </w:tc>
        <w:tc>
          <w:tcPr>
            <w:tcW w:w="2993" w:type="dxa"/>
            <w:vAlign w:val="center"/>
            <w:shd w:fill="FFFFFF"/>
          </w:tcPr>
          <w:p w14:paraId="69C66E6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0.936 (0.934–0.938)</w:t>
            </w:r>
          </w:p>
        </w:tc>
        <w:tc>
          <w:tcPr>
            <w:tcW w:w="2993" w:type="dxa"/>
            <w:vAlign w:val="center"/>
            <w:shd w:fill="FFFFFF"/>
          </w:tcPr>
          <w:p w14:paraId="7C862BD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r w:rsidR="00067B1F" w14:paraId="09030BA5" w14:textId="77777777">
        <w:trPr>
          <w:cantSplit/>
        </w:trPr>
        <w:tc>
          <w:tcPr>
            <w:tcW w:w="2993" w:type="dxa"/>
            <w:vAlign w:val="center"/>
            <w:shd w:fill="FFFFFF"/>
          </w:tcPr>
          <w:p w14:paraId="22F0D017"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PatchFusion</w:t>
            </w:r>
          </w:p>
        </w:tc>
        <w:tc>
          <w:tcPr>
            <w:tcW w:w="2993" w:type="dxa"/>
            <w:vAlign w:val="center"/>
            <w:shd w:fill="FFFFFF"/>
          </w:tcPr>
          <w:p w14:paraId="0B6BC33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Specificity</w:t>
            </w:r>
          </w:p>
        </w:tc>
        <w:tc>
          <w:tcPr>
            <w:tcW w:w="2993" w:type="dxa"/>
            <w:vAlign w:val="center"/>
            <w:shd w:fill="FFFFFF"/>
          </w:tcPr>
          <w:p w14:paraId="402E06E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in-hospital</w:t>
            </w:r>
          </w:p>
        </w:tc>
        <w:tc>
          <w:tcPr>
            <w:tcW w:w="2993" w:type="dxa"/>
            <w:vAlign w:val="center"/>
            <w:shd w:fill="FFFFFF"/>
          </w:tcPr>
          <w:p w14:paraId="40CB9C8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0.880 (0.877–0.883)</w:t>
            </w:r>
          </w:p>
        </w:tc>
        <w:tc>
          <w:tcPr>
            <w:tcW w:w="2993" w:type="dxa"/>
            <w:vAlign w:val="center"/>
            <w:shd w:fill="FFFFFF"/>
          </w:tcPr>
          <w:p w14:paraId="5E41450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Apparent: final full-cohort model reapplied to development cohort</w:t>
            </w:r>
          </w:p>
        </w:tc>
      </w:tr>
    </w:tbl>
    <w:p w14:paraId="54E27F73"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 xml:space="preserve">These are apparent estimates from final models re-evaluated on their training cohort, reported separately from the out-of-fold estimates in Table S16A. Table S19 assesses score-scale concordance between out-of-fold and final-model predictions on that cohort.</w:t>
      </w:r>
    </w:p>
    <w:p w14:paraId="104035B3" w14:textId="77777777" w:rsidR="00067B1F" w:rsidRDefault="00000000">
      <w:pPr>
        <w:pStyle w:val="1"/>
        <w:keepNext/>
        <w:keepLines w:val="0"/>
        <w:widowControl/>
        <w:spacing w:after="80" w:line="480" w:lineRule="auto" w:before="0"/>
        <w:ind w:left="0" w:right="0" w:firstLine="0"/>
      </w:pPr>
      <w:r>
        <w:rPr>
          <w:rFonts w:ascii="Times New Roman" w:hAnsi="Times New Roman" w:eastAsia="Times New Roman" w:cs="Times New Roman"/>
          <w:vanish w:val="0"/>
          <w:color w:val="000000"/>
          <w:sz w:val="22"/>
        </w:rPr>
        <w:t>Additional Post Hoc Transport and Robustness Analyses (Tables S17–S21)</w:t>
      </w:r>
    </w:p>
    <w:p w14:paraId="0A58BC1E"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Supplementary Note S1. Figure S5 subsampling and calibration display</w:t>
      </w:r>
    </w:p>
    <w:p w14:paraId="09358532"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Table S15 reports individual-stay calibration on full cohorts (MIMIC-IV N=52,868; eICU-CRD N=118,021; Hallym N=1,100). Figure S5 Panels A and B use stratified subsamples for reliability-bin display only: Panel A draws 25,000 of 52,868 MIMIC-IV stays (47.3%) by simple random sampling within outcome strata to retain the cohort prevalence (291 deaths / 25,000 stays ≈ 1.16%, matching 615/52,868); Panel B draws 30,000 of 118,021 eICU-CRD stays (25.4%) with 182 deaths / 30,000 stays ≈ 0.61%, matching 718/118,021. No sample weights were applied; each plotted stay contributes equally to the ten equal-frequency bins. Table S15 intercept/slope/Brier and all inferential calibration statements remain full-cohort. Figure S5 reliability points are descriptive equal-frequency bin means and observed event proportions, not the observations used in the Table S15 calibration regression. Hallym Panels C–D already use the full N=1,100 cohort. Figure S1 shows ROC/PR curves; Figure S2 summarizes AUROC/AUPRC estimates, with the cohort prevalence reference labeled. For Panel A, model-specific equal-frequency bin counts are reported in the Figure S5 caption and audit file; every model allocates exactly 291 deaths across ten bins of 2,500 stays, with no weighting. The maximum displayed observed rate is 0.1140 and cannot exceed 0.1164 under this denominator.</w:t>
      </w:r>
      <w:r>
        <w:rPr>
          <w:rFonts w:ascii="Times New Roman" w:hAnsi="Times New Roman" w:eastAsia="Times New Roman" w:cs="Times New Roman"/>
          <w:vanish w:val="0"/>
          <w:color w:val="000000"/>
          <w:sz w:val="22"/>
        </w:rPr>
      </w:r>
    </w:p>
    <w:p w14:paraId="65438EC7" w14:textId="77777777" w:rsidR="00067B1F" w:rsidRDefault="00000000">
      <w:pPr>
        <w:pStyle w:val="2"/>
        <w:keepNext/>
        <w:keepLines w:val="0"/>
        <w:widowControl/>
        <w:spacing w:after="80" w:line="480" w:lineRule="auto" w:before="0"/>
        <w:ind w:left="0" w:right="0" w:firstLine="0"/>
      </w:pPr>
      <w:r>
        <w:rPr>
          <w:rFonts w:ascii="Times New Roman" w:hAnsi="Times New Roman" w:eastAsia="Times New Roman" w:cs="Times New Roman"/>
          <w:vanish w:val="0"/>
          <w:color w:val="000000"/>
          <w:sz w:val="22"/>
        </w:rPr>
        <w:t>Supplementary Methods: Post Hoc Transport and Robustness Analyses</w:t>
      </w:r>
    </w:p>
    <w:p w14:paraId="6BC94A4C"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Period-stratified Hallym analysis (Table S17). Discrimination and locked-threshold alert rates are retained by period. Brier scores are reported at the pooled and hospital levels in Tables S15 and S18. Table S17 retains the original admission-date boundary of August 1, 2025 (740 earlier and 360 later stays) used in the period split; this calendar split is not the prospective scoring cohort. Contemporaneous prospective silent scoring ran from August 28, 2025 through June 1, 2026. Among 323 hour-12–eligible admissions, the analytic extract contained 279 timestamped scores (86.4%; 16 seven-day deaths and 82 in-hospital deaths among the outcome-ascertainable scored subset; median recorded latency 3.8 minutes). The status of the remaining 44 cannot be resolved from the analytic extract alone, so 279/279 is analysis-subset completeness rather than operational coverage. The complementary 821 stays with admission before August 28, 2025 were evaluated by retrospective EHR replay under identical weights and thresholds (279+821=1,100). Model lock dates were: architecture/hyperparameters 15 August 2025; final MIMIC-IV weights and pooled-OOF Youden thresholds 22 August 2025; preprocessing code digest frozen with the weight lock. Prospective silent scoring began August 28, 2025. Prospective-only discrimination for PatchFusion on the 279 contemporaneous stays was AUROC 0.821 (95% CI 0.732–0.901) and AUPRC 0.295 (0.151–0.482) for 7-day mortality (16 events), and AUROC 0.701 (0.648–0.752) / AUPRC 0.548 (0.470–0.622) for in-hospital mortality (82 events), at the same locked thresholds (7-day sensitivity 0.875, specificity 0.669; in-hospital sensitivity 0.866, specificity 0.553). These estimates are imprecise and are reported as operational monitoring, not as a replacement for the pooled locked-transport evaluation.</w:t>
      </w:r>
    </w:p>
    <w:p w14:paraId="243435EE"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Hospital-stratified analysis (Table S18). Structurally unavailable channels are fixed at 7 of 22 MIMIC inputs (31.8%) in every hospital (Table S9); site-specific calibration is exploratory.</w:t>
      </w:r>
    </w:p>
    <w:p w14:paraId="0205A9BB"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lastRenderedPageBreak/>
        <w:t>Score-scale concordance (Table S19). Positive rate and percentile rank computed separately on each score distribution at the same locked probability threshold τ.</w:t>
      </w:r>
    </w:p>
    <w:p w14:paraId="2E4D1C3D"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 xml:space="preserve">Table S20 summarizes seed variation for PatchFusion; transported models used seed 2 fixed before external testing. Table S7 reports incomplete-pathway configurations, and Table S24 reports one-at-a-time component analyses including RoPE removal.</w:t>
      </w:r>
    </w:p>
    <w:p w14:paraId="5F411791"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Computational benchmarks (Tables S21 and S25). Timing used a single NVIDIA L40S, mixed precision off, CUDA 12.x, PyTorch 2.1.0. Reported “Inference per stay” values (e.g., PatchFusion 12.4 ms) are throughput-style estimates: wall-clock time for a forward pass with batch size 300, divided by 300, averaged over 1,000 scored stays after 50 warm-up iterations. They are not single-stay (batch=1) latencies; batch=1 latency was not used for the tabulated comparisons.</w:t>
      </w:r>
    </w:p>
    <w:p w14:paraId="5F320A7D"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S17. Hallym 7-Day Mortality by Calendar Period (Frozen PatchFusion)</w:t>
      </w:r>
    </w:p>
    <w:tbl>
      <w:tblPr>
        <w:tblW w:w="5000" w:type="pct"/>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663"/>
        <w:gridCol w:w="1663"/>
        <w:gridCol w:w="1663"/>
        <w:gridCol w:w="1662"/>
        <w:gridCol w:w="1662"/>
        <w:gridCol w:w="1662"/>
        <w:gridCol w:w="1662"/>
        <w:gridCol w:w="3326"/>
      </w:tblGrid>
      <w:tr w:rsidR="00067B1F" w14:paraId="151B0AA6" w14:textId="77777777">
        <w:trPr>
          <w:jc w:val="center"/>
          <w:cantSplit/>
          <w:tblHeader/>
        </w:trPr>
        <w:tc>
          <w:tcPr>
            <w:tcW w:w="1663" w:type="dxa"/>
            <w:vAlign w:val="center"/>
            <w:shd w:fill="E7E7E7"/>
          </w:tcPr>
          <w:p w14:paraId="1DC93E12"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Period</w:t>
            </w:r>
          </w:p>
        </w:tc>
        <w:tc>
          <w:tcPr>
            <w:tcW w:w="1663" w:type="dxa"/>
            <w:vAlign w:val="center"/>
            <w:shd w:fill="E7E7E7"/>
          </w:tcPr>
          <w:p w14:paraId="4C5EF82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Stays</w:t>
            </w:r>
          </w:p>
        </w:tc>
        <w:tc>
          <w:tcPr>
            <w:tcW w:w="1663" w:type="dxa"/>
            <w:vAlign w:val="center"/>
            <w:shd w:fill="E7E7E7"/>
          </w:tcPr>
          <w:p w14:paraId="7262D2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7-day deaths</w:t>
            </w:r>
          </w:p>
        </w:tc>
        <w:tc>
          <w:tcPr>
            <w:tcW w:w="1662" w:type="dxa"/>
            <w:vAlign w:val="center"/>
            <w:shd w:fill="E7E7E7"/>
          </w:tcPr>
          <w:p w14:paraId="5425D24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AUROC (95% CI)</w:t>
            </w:r>
          </w:p>
        </w:tc>
        <w:tc>
          <w:tcPr>
            <w:tcW w:w="1662" w:type="dxa"/>
            <w:vAlign w:val="center"/>
            <w:shd w:fill="E7E7E7"/>
          </w:tcPr>
          <w:p w14:paraId="4A01B89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AUPRC (95% CI)</w:t>
            </w:r>
          </w:p>
        </w:tc>
        <w:tc>
          <w:tcPr>
            <w:tcW w:w="1662" w:type="dxa"/>
            <w:vAlign w:val="center"/>
            <w:shd w:fill="E7E7E7"/>
          </w:tcPr>
          <w:p w14:paraId="3F13C39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Intercept</w:t>
            </w:r>
          </w:p>
        </w:tc>
        <w:tc>
          <w:tcPr>
            <w:tcW w:w="1662" w:type="dxa"/>
            <w:vAlign w:val="center"/>
            <w:shd w:fill="E7E7E7"/>
          </w:tcPr>
          <w:p w14:paraId="7444257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Slope</w:t>
            </w:r>
          </w:p>
        </w:tc>
        <w:tc>
          <w:tcPr>
            <w:tcW w:w="3326" w:type="dxa"/>
            <w:vAlign w:val="center"/>
            <w:shd w:fill="E7E7E7"/>
          </w:tcPr>
          <w:p w14:paraId="755D3DD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Alerts per 100 (flagged/total)</w:t>
            </w:r>
          </w:p>
        </w:tc>
      </w:tr>
      <w:tr w:rsidR="00067B1F" w14:paraId="0F31C87B" w14:textId="77777777">
        <w:trPr>
          <w:jc w:val="center"/>
          <w:cantSplit/>
        </w:trPr>
        <w:tc>
          <w:tcPr>
            <w:tcW w:w="1663" w:type="dxa"/>
            <w:vAlign w:val="center"/>
            <w:shd w:fill="FFFFFF"/>
          </w:tcPr>
          <w:p w14:paraId="4974412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Earlier period</w:t>
            </w:r>
          </w:p>
        </w:tc>
        <w:tc>
          <w:tcPr>
            <w:tcW w:w="1663" w:type="dxa"/>
            <w:vAlign w:val="center"/>
            <w:shd w:fill="FFFFFF"/>
          </w:tcPr>
          <w:p w14:paraId="0BF4F7A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740</w:t>
            </w:r>
          </w:p>
        </w:tc>
        <w:tc>
          <w:tcPr>
            <w:tcW w:w="1663" w:type="dxa"/>
            <w:vAlign w:val="center"/>
            <w:shd w:fill="FFFFFF"/>
          </w:tcPr>
          <w:p w14:paraId="4FCE4E4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44</w:t>
            </w:r>
          </w:p>
        </w:tc>
        <w:tc>
          <w:tcPr>
            <w:tcW w:w="1662" w:type="dxa"/>
            <w:vAlign w:val="center"/>
            <w:shd w:fill="FFFFFF"/>
          </w:tcPr>
          <w:p w14:paraId="389E275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0.852 (0.781–0.911)</w:t>
            </w:r>
          </w:p>
        </w:tc>
        <w:tc>
          <w:tcPr>
            <w:tcW w:w="1662" w:type="dxa"/>
            <w:vAlign w:val="center"/>
            <w:shd w:fill="FFFFFF"/>
          </w:tcPr>
          <w:p w14:paraId="26578F1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0.331 (0.218–0.456)</w:t>
            </w:r>
          </w:p>
        </w:tc>
        <w:tc>
          <w:tcPr>
            <w:tcW w:w="1662" w:type="dxa"/>
            <w:vAlign w:val="center"/>
            <w:shd w:fill="FFFFFF"/>
          </w:tcPr>
          <w:p w14:paraId="081858F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662" w:type="dxa"/>
            <w:vAlign w:val="center"/>
            <w:shd w:fill="FFFFFF"/>
          </w:tcPr>
          <w:p w14:paraId="2918E04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3326" w:type="dxa"/>
            <w:vAlign w:val="center"/>
            <w:shd w:fill="FFFFFF"/>
          </w:tcPr>
          <w:p w14:paraId="3A5FFB2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35.8 (265/740)</w:t>
            </w:r>
          </w:p>
        </w:tc>
      </w:tr>
      <w:tr w:rsidR="00067B1F" w14:paraId="3F96EEB7" w14:textId="77777777">
        <w:trPr>
          <w:jc w:val="center"/>
          <w:cantSplit/>
        </w:trPr>
        <w:tc>
          <w:tcPr>
            <w:tcW w:w="1663" w:type="dxa"/>
            <w:vAlign w:val="center"/>
            <w:shd w:fill="FFFFFF"/>
          </w:tcPr>
          <w:p w14:paraId="03E4BF99"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Later period</w:t>
            </w:r>
          </w:p>
        </w:tc>
        <w:tc>
          <w:tcPr>
            <w:tcW w:w="1663" w:type="dxa"/>
            <w:vAlign w:val="center"/>
            <w:shd w:fill="FFFFFF"/>
          </w:tcPr>
          <w:p w14:paraId="79970AC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360</w:t>
            </w:r>
          </w:p>
        </w:tc>
        <w:tc>
          <w:tcPr>
            <w:tcW w:w="1663" w:type="dxa"/>
            <w:vAlign w:val="center"/>
            <w:shd w:fill="FFFFFF"/>
          </w:tcPr>
          <w:p w14:paraId="3286397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21</w:t>
            </w:r>
          </w:p>
        </w:tc>
        <w:tc>
          <w:tcPr>
            <w:tcW w:w="1662" w:type="dxa"/>
            <w:vAlign w:val="center"/>
            <w:shd w:fill="FFFFFF"/>
          </w:tcPr>
          <w:p w14:paraId="625809C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0.811 (0.698–0.902)</w:t>
            </w:r>
          </w:p>
        </w:tc>
        <w:tc>
          <w:tcPr>
            <w:tcW w:w="1662" w:type="dxa"/>
            <w:vAlign w:val="center"/>
            <w:shd w:fill="FFFFFF"/>
          </w:tcPr>
          <w:p w14:paraId="667D3A2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0.289 (0.141–0.478)</w:t>
            </w:r>
          </w:p>
        </w:tc>
        <w:tc>
          <w:tcPr>
            <w:tcW w:w="1662" w:type="dxa"/>
            <w:vAlign w:val="center"/>
            <w:shd w:fill="FFFFFF"/>
          </w:tcPr>
          <w:p w14:paraId="6D2C5F2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662" w:type="dxa"/>
            <w:vAlign w:val="center"/>
            <w:shd w:fill="FFFFFF"/>
          </w:tcPr>
          <w:p w14:paraId="5A4B407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3326" w:type="dxa"/>
            <w:vAlign w:val="center"/>
            <w:shd w:fill="FFFFFF"/>
          </w:tcPr>
          <w:p w14:paraId="13F52B9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34.4 (124/360)</w:t>
            </w:r>
          </w:p>
        </w:tc>
      </w:tr>
      <w:tr w:rsidR="00067B1F" w14:paraId="15C85C2F" w14:textId="77777777">
        <w:trPr>
          <w:jc w:val="center"/>
          <w:cantSplit/>
        </w:trPr>
        <w:tc>
          <w:tcPr>
            <w:tcW w:w="1663" w:type="dxa"/>
            <w:vAlign w:val="center"/>
            <w:shd w:fill="FFFFFF"/>
          </w:tcPr>
          <w:p w14:paraId="1C50C3A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Pooled (Table S11/S15)</w:t>
            </w:r>
          </w:p>
        </w:tc>
        <w:tc>
          <w:tcPr>
            <w:tcW w:w="1663" w:type="dxa"/>
            <w:vAlign w:val="center"/>
            <w:shd w:fill="FFFFFF"/>
          </w:tcPr>
          <w:p w14:paraId="616F1AC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1,100</w:t>
            </w:r>
          </w:p>
        </w:tc>
        <w:tc>
          <w:tcPr>
            <w:tcW w:w="1663" w:type="dxa"/>
            <w:vAlign w:val="center"/>
            <w:shd w:fill="FFFFFF"/>
          </w:tcPr>
          <w:p w14:paraId="7E637C8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65</w:t>
            </w:r>
          </w:p>
        </w:tc>
        <w:tc>
          <w:tcPr>
            <w:tcW w:w="1662" w:type="dxa"/>
            <w:vAlign w:val="center"/>
            <w:shd w:fill="FFFFFF"/>
          </w:tcPr>
          <w:p w14:paraId="49ADAD1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0.838 (0.811–0.865)</w:t>
            </w:r>
          </w:p>
        </w:tc>
        <w:tc>
          <w:tcPr>
            <w:tcW w:w="1662" w:type="dxa"/>
            <w:vAlign w:val="center"/>
            <w:shd w:fill="FFFFFF"/>
          </w:tcPr>
          <w:p w14:paraId="26D57DC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0.318 (0.240–0.405)</w:t>
            </w:r>
          </w:p>
        </w:tc>
        <w:tc>
          <w:tcPr>
            <w:tcW w:w="1662" w:type="dxa"/>
            <w:vAlign w:val="center"/>
            <w:shd w:fill="FFFFFF"/>
          </w:tcPr>
          <w:p w14:paraId="674821B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0.02</w:t>
            </w:r>
          </w:p>
        </w:tc>
        <w:tc>
          <w:tcPr>
            <w:tcW w:w="1662" w:type="dxa"/>
            <w:vAlign w:val="center"/>
            <w:shd w:fill="FFFFFF"/>
          </w:tcPr>
          <w:p w14:paraId="55439B6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1.65</w:t>
            </w:r>
          </w:p>
        </w:tc>
        <w:tc>
          <w:tcPr>
            <w:tcW w:w="3326" w:type="dxa"/>
            <w:vAlign w:val="center"/>
            <w:shd w:fill="FFFFFF"/>
          </w:tcPr>
          <w:p w14:paraId="1DAD209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35.4 (389/1,100)</w:t>
            </w:r>
          </w:p>
        </w:tc>
      </w:tr>
    </w:tbl>
    <w:p w14:paraId="42853F4E"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Hospital-level Brier scores in Table S18 summarize the locked scores. Site-specific rows are exploratory; the total row matches Table S15.</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67B1F" w14:paraId="48818EFE" w14:textId="77777777">
        <w:trPr>
          <w:jc w:val="center"/>
          <w:cantSplit/>
          <w:tblHeader/>
        </w:trPr>
        <w:tc>
          <w:tcPr>
            <w:tcW w:w="2138" w:type="dxa"/>
            <w:vAlign w:val="center"/>
            <w:shd w:fill="E7E7E7"/>
          </w:tcPr>
          <w:p w14:paraId="0CDA7113"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Period</w:t>
            </w:r>
          </w:p>
        </w:tc>
        <w:tc>
          <w:tcPr>
            <w:tcW w:w="2138" w:type="dxa"/>
            <w:vAlign w:val="center"/>
            <w:shd w:fill="E7E7E7"/>
          </w:tcPr>
          <w:p w14:paraId="3330A24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Sensitivity</w:t>
            </w:r>
          </w:p>
        </w:tc>
        <w:tc>
          <w:tcPr>
            <w:tcW w:w="2138" w:type="dxa"/>
            <w:vAlign w:val="center"/>
            <w:shd w:fill="E7E7E7"/>
          </w:tcPr>
          <w:p w14:paraId="6BCF008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Specificity</w:t>
            </w:r>
          </w:p>
        </w:tc>
        <w:tc>
          <w:tcPr>
            <w:tcW w:w="2138" w:type="dxa"/>
            <w:vAlign w:val="center"/>
            <w:shd w:fill="E7E7E7"/>
          </w:tcPr>
          <w:p w14:paraId="7F53D00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PPV</w:t>
            </w:r>
          </w:p>
        </w:tc>
        <w:tc>
          <w:tcPr>
            <w:tcW w:w="2138" w:type="dxa"/>
            <w:vAlign w:val="center"/>
            <w:shd w:fill="E7E7E7"/>
          </w:tcPr>
          <w:p w14:paraId="4D604AA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Comparison</w:t>
            </w:r>
          </w:p>
        </w:tc>
        <w:tc>
          <w:tcPr>
            <w:tcW w:w="2138" w:type="dxa"/>
            <w:vAlign w:val="center"/>
            <w:shd w:fill="E7E7E7"/>
          </w:tcPr>
          <w:p w14:paraId="021BAAE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95% CI</w:t>
            </w:r>
          </w:p>
        </w:tc>
        <w:tc>
          <w:tcPr>
            <w:tcW w:w="2138" w:type="dxa"/>
            <w:vAlign w:val="center"/>
            <w:shd w:fill="E7E7E7"/>
          </w:tcPr>
          <w:p w14:paraId="7A77298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w:t>
            </w:r>
          </w:p>
        </w:tc>
      </w:tr>
      <w:tr w:rsidR="00067B1F" w14:paraId="7D7F4CA0" w14:textId="77777777">
        <w:trPr>
          <w:jc w:val="center"/>
          <w:cantSplit/>
        </w:trPr>
        <w:tc>
          <w:tcPr>
            <w:tcW w:w="2138" w:type="dxa"/>
            <w:vAlign w:val="center"/>
            <w:shd w:fill="FFFFFF"/>
          </w:tcPr>
          <w:p w14:paraId="2D577A6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Earlier period</w:t>
            </w:r>
          </w:p>
        </w:tc>
        <w:tc>
          <w:tcPr>
            <w:tcW w:w="2138" w:type="dxa"/>
            <w:vAlign w:val="center"/>
            <w:shd w:fill="FFFFFF"/>
          </w:tcPr>
          <w:p w14:paraId="1000340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0.909</w:t>
            </w:r>
          </w:p>
        </w:tc>
        <w:tc>
          <w:tcPr>
            <w:tcW w:w="2138" w:type="dxa"/>
            <w:vAlign w:val="center"/>
            <w:shd w:fill="FFFFFF"/>
          </w:tcPr>
          <w:p w14:paraId="72D91CF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0.677</w:t>
            </w:r>
          </w:p>
        </w:tc>
        <w:tc>
          <w:tcPr>
            <w:tcW w:w="2138" w:type="dxa"/>
            <w:vAlign w:val="center"/>
            <w:shd w:fill="FFFFFF"/>
          </w:tcPr>
          <w:p w14:paraId="0E3894C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0.151</w:t>
            </w:r>
          </w:p>
        </w:tc>
        <w:tc>
          <w:tcPr>
            <w:tcW w:w="2138" w:type="dxa"/>
            <w:vAlign w:val="center"/>
            <w:shd w:fill="FFFFFF"/>
          </w:tcPr>
          <w:p w14:paraId="2BAFA15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0BCCFEF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525E0F5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r>
      <w:tr w:rsidR="00067B1F" w14:paraId="2B3D7AC3" w14:textId="77777777">
        <w:trPr>
          <w:jc w:val="center"/>
          <w:cantSplit/>
        </w:trPr>
        <w:tc>
          <w:tcPr>
            <w:tcW w:w="2138" w:type="dxa"/>
            <w:vAlign w:val="center"/>
            <w:shd w:fill="FFFFFF"/>
          </w:tcPr>
          <w:p w14:paraId="17AB960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Later period</w:t>
            </w:r>
          </w:p>
        </w:tc>
        <w:tc>
          <w:tcPr>
            <w:tcW w:w="2138" w:type="dxa"/>
            <w:vAlign w:val="center"/>
            <w:shd w:fill="FFFFFF"/>
          </w:tcPr>
          <w:p w14:paraId="2CA766C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0.905</w:t>
            </w:r>
          </w:p>
        </w:tc>
        <w:tc>
          <w:tcPr>
            <w:tcW w:w="2138" w:type="dxa"/>
            <w:vAlign w:val="center"/>
            <w:shd w:fill="FFFFFF"/>
          </w:tcPr>
          <w:p w14:paraId="2D1ED12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0.690</w:t>
            </w:r>
          </w:p>
        </w:tc>
        <w:tc>
          <w:tcPr>
            <w:tcW w:w="2138" w:type="dxa"/>
            <w:vAlign w:val="center"/>
            <w:shd w:fill="FFFFFF"/>
          </w:tcPr>
          <w:p w14:paraId="1249F45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0.153</w:t>
            </w:r>
          </w:p>
        </w:tc>
        <w:tc>
          <w:tcPr>
            <w:tcW w:w="2138" w:type="dxa"/>
            <w:vAlign w:val="center"/>
            <w:shd w:fill="FFFFFF"/>
          </w:tcPr>
          <w:p w14:paraId="3A2EC80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AUROC Δ</w:t>
            </w:r>
          </w:p>
        </w:tc>
        <w:tc>
          <w:tcPr>
            <w:tcW w:w="2138" w:type="dxa"/>
            <w:vAlign w:val="center"/>
            <w:shd w:fill="FFFFFF"/>
          </w:tcPr>
          <w:p w14:paraId="2FBB9C8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−0.118 to 0.036</w:t>
            </w:r>
          </w:p>
        </w:tc>
        <w:tc>
          <w:tcPr>
            <w:tcW w:w="2138" w:type="dxa"/>
            <w:vAlign w:val="center"/>
            <w:shd w:fill="FFFFFF"/>
          </w:tcPr>
          <w:p w14:paraId="4B7038B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0.31</w:t>
            </w:r>
          </w:p>
        </w:tc>
      </w:tr>
      <w:tr w:rsidR="00067B1F" w14:paraId="0140AA1E" w14:textId="77777777">
        <w:trPr>
          <w:jc w:val="center"/>
          <w:cantSplit/>
        </w:trPr>
        <w:tc>
          <w:tcPr>
            <w:tcW w:w="2138" w:type="dxa"/>
            <w:vAlign w:val="center"/>
            <w:shd w:fill="FFFFFF"/>
          </w:tcPr>
          <w:p w14:paraId="709B44FB" w14:textId="77777777" w:rsidR="00067B1F" w:rsidRDefault="00067B1F">
            <w:pPr>
              <w:keepNext w:val="0"/>
              <w:keepLines w:val="0"/>
              <w:widowControl/>
              <w:spacing w:before="0" w:after="0" w:line="480" w:lineRule="auto"/>
              <w:ind w:left="0" w:right="0" w:firstLine="0"/>
              <w:jc w:val="left"/>
            </w:pPr>
          </w:p>
        </w:tc>
        <w:tc>
          <w:tcPr>
            <w:tcW w:w="2138" w:type="dxa"/>
            <w:vAlign w:val="center"/>
            <w:shd w:fill="FFFFFF"/>
          </w:tcPr>
          <w:p w14:paraId="0FB24F97" w14:textId="77777777" w:rsidR="00067B1F" w:rsidRDefault="00067B1F">
            <w:pPr>
              <w:keepNext w:val="0"/>
              <w:keepLines w:val="0"/>
              <w:widowControl/>
              <w:spacing w:before="0" w:after="0" w:line="480" w:lineRule="auto"/>
              <w:ind w:left="0" w:right="0" w:firstLine="0"/>
              <w:jc w:val="center"/>
            </w:pPr>
          </w:p>
        </w:tc>
        <w:tc>
          <w:tcPr>
            <w:tcW w:w="2138" w:type="dxa"/>
            <w:vAlign w:val="center"/>
            <w:shd w:fill="FFFFFF"/>
          </w:tcPr>
          <w:p w14:paraId="46A417D1" w14:textId="77777777" w:rsidR="00067B1F" w:rsidRDefault="00067B1F">
            <w:pPr>
              <w:keepNext w:val="0"/>
              <w:keepLines w:val="0"/>
              <w:widowControl/>
              <w:spacing w:before="0" w:after="0" w:line="480" w:lineRule="auto"/>
              <w:ind w:left="0" w:right="0" w:firstLine="0"/>
              <w:jc w:val="center"/>
            </w:pPr>
          </w:p>
        </w:tc>
        <w:tc>
          <w:tcPr>
            <w:tcW w:w="2138" w:type="dxa"/>
            <w:vAlign w:val="center"/>
            <w:shd w:fill="FFFFFF"/>
          </w:tcPr>
          <w:p w14:paraId="20327D1A" w14:textId="77777777" w:rsidR="00067B1F" w:rsidRDefault="00067B1F">
            <w:pPr>
              <w:keepNext w:val="0"/>
              <w:keepLines w:val="0"/>
              <w:widowControl/>
              <w:spacing w:before="0" w:after="0" w:line="480" w:lineRule="auto"/>
              <w:ind w:left="0" w:right="0" w:firstLine="0"/>
              <w:jc w:val="center"/>
            </w:pPr>
          </w:p>
        </w:tc>
        <w:tc>
          <w:tcPr>
            <w:tcW w:w="2138" w:type="dxa"/>
            <w:vAlign w:val="center"/>
            <w:shd w:fill="FFFFFF"/>
          </w:tcPr>
          <w:p w14:paraId="4BF60F8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AUPRC Δ</w:t>
            </w:r>
          </w:p>
        </w:tc>
        <w:tc>
          <w:tcPr>
            <w:tcW w:w="2138" w:type="dxa"/>
            <w:vAlign w:val="center"/>
            <w:shd w:fill="FFFFFF"/>
          </w:tcPr>
          <w:p w14:paraId="39BFB4D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−0.248 to 0.164</w:t>
            </w:r>
          </w:p>
        </w:tc>
        <w:tc>
          <w:tcPr>
            <w:tcW w:w="2138" w:type="dxa"/>
            <w:vAlign w:val="center"/>
            <w:shd w:fill="FFFFFF"/>
          </w:tcPr>
          <w:p w14:paraId="0A8A934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.69</w:t>
            </w:r>
          </w:p>
        </w:tc>
      </w:tr>
    </w:tbl>
    <w:p w14:paraId="28CAF187"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S18. Hospital-Stratified Hallym 7-Day Mortality, Case Mix, and Calibration</w:t>
      </w:r>
    </w:p>
    <w:tbl>
      <w:tblPr>
        <w:tblW w:w="5000" w:type="pct"/>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151"/>
        <w:gridCol w:w="1151"/>
        <w:gridCol w:w="1151"/>
        <w:gridCol w:w="1151"/>
        <w:gridCol w:w="1151"/>
        <w:gridCol w:w="1151"/>
        <w:gridCol w:w="1151"/>
        <w:gridCol w:w="1151"/>
        <w:gridCol w:w="1151"/>
        <w:gridCol w:w="1151"/>
        <w:gridCol w:w="1151"/>
        <w:gridCol w:w="1151"/>
        <w:gridCol w:w="1151"/>
      </w:tblGrid>
      <w:tr w:rsidR="00067B1F" w14:paraId="67B4A000" w14:textId="77777777">
        <w:trPr>
          <w:jc w:val="center"/>
          <w:cantSplit/>
          <w:tblHeader/>
        </w:trPr>
        <w:tc>
          <w:tcPr>
            <w:tcW w:w="1151" w:type="dxa"/>
            <w:vAlign w:val="center"/>
            <w:shd w:fill="E7E7E7"/>
          </w:tcPr>
          <w:p w14:paraId="0CA09D77"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Hospital</w:t>
            </w:r>
          </w:p>
        </w:tc>
        <w:tc>
          <w:tcPr>
            <w:tcW w:w="1151" w:type="dxa"/>
            <w:vAlign w:val="center"/>
            <w:shd w:fill="E7E7E7"/>
          </w:tcPr>
          <w:p w14:paraId="08C59FE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Stays</w:t>
            </w:r>
          </w:p>
        </w:tc>
        <w:tc>
          <w:tcPr>
            <w:tcW w:w="1151" w:type="dxa"/>
            <w:vAlign w:val="center"/>
            <w:shd w:fill="E7E7E7"/>
          </w:tcPr>
          <w:p w14:paraId="209455E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7-day deaths</w:t>
            </w:r>
          </w:p>
        </w:tc>
        <w:tc>
          <w:tcPr>
            <w:tcW w:w="1151" w:type="dxa"/>
            <w:vAlign w:val="center"/>
            <w:shd w:fill="E7E7E7"/>
          </w:tcPr>
          <w:p w14:paraId="75B0F74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Age</w:t>
            </w:r>
          </w:p>
        </w:tc>
        <w:tc>
          <w:tcPr>
            <w:tcW w:w="1151" w:type="dxa"/>
            <w:vAlign w:val="center"/>
            <w:shd w:fill="E7E7E7"/>
          </w:tcPr>
          <w:p w14:paraId="210ADA9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Female %</w:t>
            </w:r>
          </w:p>
        </w:tc>
        <w:tc>
          <w:tcPr>
            <w:tcW w:w="1151" w:type="dxa"/>
            <w:vAlign w:val="center"/>
            <w:shd w:fill="E7E7E7"/>
          </w:tcPr>
          <w:p w14:paraId="386F82E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In-hosp death %</w:t>
            </w:r>
          </w:p>
        </w:tc>
        <w:tc>
          <w:tcPr>
            <w:tcW w:w="1151" w:type="dxa"/>
            <w:vAlign w:val="center"/>
            <w:shd w:fill="E7E7E7"/>
          </w:tcPr>
          <w:p w14:paraId="28FEBC4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Structurally unavailable channels (7/22 = 31.8%)</w:t>
            </w:r>
          </w:p>
        </w:tc>
        <w:tc>
          <w:tcPr>
            <w:tcW w:w="1151" w:type="dxa"/>
            <w:vAlign w:val="center"/>
            <w:shd w:fill="E7E7E7"/>
          </w:tcPr>
          <w:p w14:paraId="4F89C52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AUROC (95% CI)</w:t>
            </w:r>
          </w:p>
        </w:tc>
        <w:tc>
          <w:tcPr>
            <w:tcW w:w="1151" w:type="dxa"/>
            <w:vAlign w:val="center"/>
            <w:shd w:fill="E7E7E7"/>
          </w:tcPr>
          <w:p w14:paraId="735CA54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AUPRC (95% CI)</w:t>
            </w:r>
          </w:p>
        </w:tc>
        <w:tc>
          <w:tcPr>
            <w:tcW w:w="1151" w:type="dxa"/>
            <w:vAlign w:val="center"/>
            <w:shd w:fill="E7E7E7"/>
          </w:tcPr>
          <w:p w14:paraId="443DA5A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Alerts/100</w:t>
            </w:r>
          </w:p>
        </w:tc>
        <w:tc>
          <w:tcPr>
            <w:tcW w:w="1151" w:type="dxa"/>
            <w:vAlign w:val="center"/>
            <w:shd w:fill="E7E7E7"/>
          </w:tcPr>
          <w:p w14:paraId="0C07EFA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Intercept</w:t>
            </w:r>
          </w:p>
        </w:tc>
        <w:tc>
          <w:tcPr>
            <w:tcW w:w="1151" w:type="dxa"/>
            <w:vAlign w:val="center"/>
            <w:shd w:fill="E7E7E7"/>
          </w:tcPr>
          <w:p w14:paraId="27827FB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Slope</w:t>
            </w:r>
          </w:p>
        </w:tc>
        <w:tc>
          <w:tcPr>
            <w:tcW w:w="1151" w:type="dxa"/>
            <w:vAlign w:val="center"/>
            <w:shd w:fill="E7E7E7"/>
          </w:tcPr>
          <w:p w14:paraId="5469537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Brier</w:t>
            </w:r>
          </w:p>
        </w:tc>
      </w:tr>
      <w:tr w:rsidR="00067B1F" w14:paraId="714792F5" w14:textId="77777777">
        <w:trPr>
          <w:jc w:val="center"/>
          <w:cantSplit/>
        </w:trPr>
        <w:tc>
          <w:tcPr>
            <w:tcW w:w="1151" w:type="dxa"/>
            <w:vAlign w:val="center"/>
            <w:shd w:fill="FFFFFF"/>
          </w:tcPr>
          <w:p w14:paraId="176B05AE"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Chuncheon Sacred Heart</w:t>
            </w:r>
          </w:p>
        </w:tc>
        <w:tc>
          <w:tcPr>
            <w:tcW w:w="1151" w:type="dxa"/>
            <w:vAlign w:val="center"/>
            <w:shd w:fill="FFFFFF"/>
          </w:tcPr>
          <w:p w14:paraId="7FC5AA5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439</w:t>
            </w:r>
          </w:p>
        </w:tc>
        <w:tc>
          <w:tcPr>
            <w:tcW w:w="1151" w:type="dxa"/>
            <w:vAlign w:val="center"/>
            <w:shd w:fill="FFFFFF"/>
          </w:tcPr>
          <w:p w14:paraId="5D24CC6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29</w:t>
            </w:r>
          </w:p>
        </w:tc>
        <w:tc>
          <w:tcPr>
            <w:tcW w:w="1151" w:type="dxa"/>
            <w:vAlign w:val="center"/>
            <w:shd w:fill="FFFFFF"/>
          </w:tcPr>
          <w:p w14:paraId="67C294E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67.3</w:t>
            </w:r>
          </w:p>
        </w:tc>
        <w:tc>
          <w:tcPr>
            <w:tcW w:w="1151" w:type="dxa"/>
            <w:vAlign w:val="center"/>
            <w:shd w:fill="FFFFFF"/>
          </w:tcPr>
          <w:p w14:paraId="2ED7946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29.2</w:t>
            </w:r>
          </w:p>
        </w:tc>
        <w:tc>
          <w:tcPr>
            <w:tcW w:w="1151" w:type="dxa"/>
            <w:vAlign w:val="center"/>
            <w:shd w:fill="FFFFFF"/>
          </w:tcPr>
          <w:p w14:paraId="1F64DA2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36.0</w:t>
            </w:r>
          </w:p>
        </w:tc>
        <w:tc>
          <w:tcPr>
            <w:tcW w:w="1151" w:type="dxa"/>
            <w:vAlign w:val="center"/>
            <w:shd w:fill="FFFFFF"/>
          </w:tcPr>
          <w:p w14:paraId="7B1206D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31.8</w:t>
            </w:r>
          </w:p>
        </w:tc>
        <w:tc>
          <w:tcPr>
            <w:tcW w:w="1151" w:type="dxa"/>
            <w:vAlign w:val="center"/>
            <w:shd w:fill="FFFFFF"/>
          </w:tcPr>
          <w:p w14:paraId="7D9D964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0.771 (0.698–0.834)</w:t>
            </w:r>
          </w:p>
        </w:tc>
        <w:tc>
          <w:tcPr>
            <w:tcW w:w="1151" w:type="dxa"/>
            <w:vAlign w:val="center"/>
            <w:shd w:fill="FFFFFF"/>
          </w:tcPr>
          <w:p w14:paraId="219A63A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0.241 (0.156–0.348)</w:t>
            </w:r>
          </w:p>
        </w:tc>
        <w:tc>
          <w:tcPr>
            <w:tcW w:w="1151" w:type="dxa"/>
            <w:vAlign w:val="center"/>
            <w:shd w:fill="FFFFFF"/>
          </w:tcPr>
          <w:p w14:paraId="3AEECDD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36.9</w:t>
            </w:r>
          </w:p>
        </w:tc>
        <w:tc>
          <w:tcPr>
            <w:tcW w:w="1151" w:type="dxa"/>
            <w:vAlign w:val="center"/>
            <w:shd w:fill="FFFFFF"/>
          </w:tcPr>
          <w:p w14:paraId="765CBEA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151" w:type="dxa"/>
            <w:vAlign w:val="center"/>
            <w:shd w:fill="FFFFFF"/>
          </w:tcPr>
          <w:p w14:paraId="5F0BC47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151" w:type="dxa"/>
            <w:vAlign w:val="center"/>
            <w:shd w:fill="FFFFFF"/>
          </w:tcPr>
          <w:p w14:paraId="617C1BE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0.055</w:t>
            </w:r>
          </w:p>
        </w:tc>
      </w:tr>
      <w:tr w:rsidR="00067B1F" w14:paraId="4EF0D309" w14:textId="77777777">
        <w:trPr>
          <w:jc w:val="center"/>
          <w:cantSplit/>
        </w:trPr>
        <w:tc>
          <w:tcPr>
            <w:tcW w:w="1151" w:type="dxa"/>
            <w:vAlign w:val="center"/>
            <w:shd w:fill="FFFFFF"/>
          </w:tcPr>
          <w:p w14:paraId="61DDAE9F"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Kangnam Sacred Heart</w:t>
            </w:r>
          </w:p>
        </w:tc>
        <w:tc>
          <w:tcPr>
            <w:tcW w:w="1151" w:type="dxa"/>
            <w:vAlign w:val="center"/>
            <w:shd w:fill="FFFFFF"/>
          </w:tcPr>
          <w:p w14:paraId="1081001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192</w:t>
            </w:r>
          </w:p>
        </w:tc>
        <w:tc>
          <w:tcPr>
            <w:tcW w:w="1151" w:type="dxa"/>
            <w:vAlign w:val="center"/>
            <w:shd w:fill="FFFFFF"/>
          </w:tcPr>
          <w:p w14:paraId="3FECAB7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12</w:t>
            </w:r>
          </w:p>
        </w:tc>
        <w:tc>
          <w:tcPr>
            <w:tcW w:w="1151" w:type="dxa"/>
            <w:vAlign w:val="center"/>
            <w:shd w:fill="FFFFFF"/>
          </w:tcPr>
          <w:p w14:paraId="757B213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67.0</w:t>
            </w:r>
          </w:p>
        </w:tc>
        <w:tc>
          <w:tcPr>
            <w:tcW w:w="1151" w:type="dxa"/>
            <w:vAlign w:val="center"/>
            <w:shd w:fill="FFFFFF"/>
          </w:tcPr>
          <w:p w14:paraId="0FB70AA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32.8</w:t>
            </w:r>
          </w:p>
        </w:tc>
        <w:tc>
          <w:tcPr>
            <w:tcW w:w="1151" w:type="dxa"/>
            <w:vAlign w:val="center"/>
            <w:shd w:fill="FFFFFF"/>
          </w:tcPr>
          <w:p w14:paraId="7C20C5A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22.9</w:t>
            </w:r>
          </w:p>
        </w:tc>
        <w:tc>
          <w:tcPr>
            <w:tcW w:w="1151" w:type="dxa"/>
            <w:vAlign w:val="center"/>
            <w:shd w:fill="FFFFFF"/>
          </w:tcPr>
          <w:p w14:paraId="104B130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31.8</w:t>
            </w:r>
          </w:p>
        </w:tc>
        <w:tc>
          <w:tcPr>
            <w:tcW w:w="1151" w:type="dxa"/>
            <w:vAlign w:val="center"/>
            <w:shd w:fill="FFFFFF"/>
          </w:tcPr>
          <w:p w14:paraId="2B259CF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0.831 (0.712–0.918)</w:t>
            </w:r>
          </w:p>
        </w:tc>
        <w:tc>
          <w:tcPr>
            <w:tcW w:w="1151" w:type="dxa"/>
            <w:vAlign w:val="center"/>
            <w:shd w:fill="FFFFFF"/>
          </w:tcPr>
          <w:p w14:paraId="5D040DD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0.298 (0.141–0.487)</w:t>
            </w:r>
          </w:p>
        </w:tc>
        <w:tc>
          <w:tcPr>
            <w:tcW w:w="1151" w:type="dxa"/>
            <w:vAlign w:val="center"/>
            <w:shd w:fill="FFFFFF"/>
          </w:tcPr>
          <w:p w14:paraId="7F92F37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33.9</w:t>
            </w:r>
          </w:p>
        </w:tc>
        <w:tc>
          <w:tcPr>
            <w:tcW w:w="1151" w:type="dxa"/>
            <w:vAlign w:val="center"/>
            <w:shd w:fill="FFFFFF"/>
          </w:tcPr>
          <w:p w14:paraId="43926B8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151" w:type="dxa"/>
            <w:vAlign w:val="center"/>
            <w:shd w:fill="FFFFFF"/>
          </w:tcPr>
          <w:p w14:paraId="6333F15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151" w:type="dxa"/>
            <w:vAlign w:val="center"/>
            <w:shd w:fill="FFFFFF"/>
          </w:tcPr>
          <w:p w14:paraId="5ABE3B2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0.055</w:t>
            </w:r>
          </w:p>
        </w:tc>
      </w:tr>
      <w:tr w:rsidR="00067B1F" w14:paraId="03398AD9" w14:textId="77777777">
        <w:trPr>
          <w:jc w:val="center"/>
          <w:cantSplit/>
        </w:trPr>
        <w:tc>
          <w:tcPr>
            <w:tcW w:w="1151" w:type="dxa"/>
            <w:vAlign w:val="center"/>
            <w:shd w:fill="FFFFFF"/>
          </w:tcPr>
          <w:p w14:paraId="07DCE820"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Hallym Sacred Heart</w:t>
            </w:r>
          </w:p>
        </w:tc>
        <w:tc>
          <w:tcPr>
            <w:tcW w:w="1151" w:type="dxa"/>
            <w:vAlign w:val="center"/>
            <w:shd w:fill="FFFFFF"/>
          </w:tcPr>
          <w:p w14:paraId="40C1BDA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244</w:t>
            </w:r>
          </w:p>
        </w:tc>
        <w:tc>
          <w:tcPr>
            <w:tcW w:w="1151" w:type="dxa"/>
            <w:vAlign w:val="center"/>
            <w:shd w:fill="FFFFFF"/>
          </w:tcPr>
          <w:p w14:paraId="6395D26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12</w:t>
            </w:r>
          </w:p>
        </w:tc>
        <w:tc>
          <w:tcPr>
            <w:tcW w:w="1151" w:type="dxa"/>
            <w:vAlign w:val="center"/>
            <w:shd w:fill="FFFFFF"/>
          </w:tcPr>
          <w:p w14:paraId="05B5F41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65.2</w:t>
            </w:r>
          </w:p>
        </w:tc>
        <w:tc>
          <w:tcPr>
            <w:tcW w:w="1151" w:type="dxa"/>
            <w:vAlign w:val="center"/>
            <w:shd w:fill="FFFFFF"/>
          </w:tcPr>
          <w:p w14:paraId="3060F59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29.5</w:t>
            </w:r>
          </w:p>
        </w:tc>
        <w:tc>
          <w:tcPr>
            <w:tcW w:w="1151" w:type="dxa"/>
            <w:vAlign w:val="center"/>
            <w:shd w:fill="FFFFFF"/>
          </w:tcPr>
          <w:p w14:paraId="12B9506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25.4</w:t>
            </w:r>
          </w:p>
        </w:tc>
        <w:tc>
          <w:tcPr>
            <w:tcW w:w="1151" w:type="dxa"/>
            <w:vAlign w:val="center"/>
            <w:shd w:fill="FFFFFF"/>
          </w:tcPr>
          <w:p w14:paraId="6A4F71D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31.8</w:t>
            </w:r>
          </w:p>
        </w:tc>
        <w:tc>
          <w:tcPr>
            <w:tcW w:w="1151" w:type="dxa"/>
            <w:vAlign w:val="center"/>
            <w:shd w:fill="FFFFFF"/>
          </w:tcPr>
          <w:p w14:paraId="04D0065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0.852 (0.731–0.941)</w:t>
            </w:r>
          </w:p>
        </w:tc>
        <w:tc>
          <w:tcPr>
            <w:tcW w:w="1151" w:type="dxa"/>
            <w:vAlign w:val="center"/>
            <w:shd w:fill="FFFFFF"/>
          </w:tcPr>
          <w:p w14:paraId="3B8F6C3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0.315 (0.168–0.492)</w:t>
            </w:r>
          </w:p>
        </w:tc>
        <w:tc>
          <w:tcPr>
            <w:tcW w:w="1151" w:type="dxa"/>
            <w:vAlign w:val="center"/>
            <w:shd w:fill="FFFFFF"/>
          </w:tcPr>
          <w:p w14:paraId="0837D14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34.8</w:t>
            </w:r>
          </w:p>
        </w:tc>
        <w:tc>
          <w:tcPr>
            <w:tcW w:w="1151" w:type="dxa"/>
            <w:vAlign w:val="center"/>
            <w:shd w:fill="FFFFFF"/>
          </w:tcPr>
          <w:p w14:paraId="6063587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151" w:type="dxa"/>
            <w:vAlign w:val="center"/>
            <w:shd w:fill="FFFFFF"/>
          </w:tcPr>
          <w:p w14:paraId="5E45D3B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151" w:type="dxa"/>
            <w:vAlign w:val="center"/>
            <w:shd w:fill="FFFFFF"/>
          </w:tcPr>
          <w:p w14:paraId="37D8622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0.055</w:t>
            </w:r>
          </w:p>
        </w:tc>
      </w:tr>
      <w:tr w:rsidR="00067B1F" w14:paraId="374628E9" w14:textId="77777777">
        <w:trPr>
          <w:jc w:val="center"/>
          <w:cantSplit/>
        </w:trPr>
        <w:tc>
          <w:tcPr>
            <w:tcW w:w="1151" w:type="dxa"/>
            <w:vAlign w:val="center"/>
            <w:shd w:fill="FFFFFF"/>
          </w:tcPr>
          <w:p w14:paraId="519047CD"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lastRenderedPageBreak/>
              <w:t>Dongtan Sacred Heart</w:t>
            </w:r>
          </w:p>
        </w:tc>
        <w:tc>
          <w:tcPr>
            <w:tcW w:w="1151" w:type="dxa"/>
            <w:vAlign w:val="center"/>
            <w:shd w:fill="FFFFFF"/>
          </w:tcPr>
          <w:p w14:paraId="271F5A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225</w:t>
            </w:r>
          </w:p>
        </w:tc>
        <w:tc>
          <w:tcPr>
            <w:tcW w:w="1151" w:type="dxa"/>
            <w:vAlign w:val="center"/>
            <w:shd w:fill="FFFFFF"/>
          </w:tcPr>
          <w:p w14:paraId="78D8B3E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12</w:t>
            </w:r>
          </w:p>
        </w:tc>
        <w:tc>
          <w:tcPr>
            <w:tcW w:w="1151" w:type="dxa"/>
            <w:vAlign w:val="center"/>
            <w:shd w:fill="FFFFFF"/>
          </w:tcPr>
          <w:p w14:paraId="2C7ACD5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64.4</w:t>
            </w:r>
          </w:p>
        </w:tc>
        <w:tc>
          <w:tcPr>
            <w:tcW w:w="1151" w:type="dxa"/>
            <w:vAlign w:val="center"/>
            <w:shd w:fill="FFFFFF"/>
          </w:tcPr>
          <w:p w14:paraId="7E25027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34.7</w:t>
            </w:r>
          </w:p>
        </w:tc>
        <w:tc>
          <w:tcPr>
            <w:tcW w:w="1151" w:type="dxa"/>
            <w:vAlign w:val="center"/>
            <w:shd w:fill="FFFFFF"/>
          </w:tcPr>
          <w:p w14:paraId="6CDD347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28.4</w:t>
            </w:r>
          </w:p>
        </w:tc>
        <w:tc>
          <w:tcPr>
            <w:tcW w:w="1151" w:type="dxa"/>
            <w:vAlign w:val="center"/>
            <w:shd w:fill="FFFFFF"/>
          </w:tcPr>
          <w:p w14:paraId="7D33EA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31.8</w:t>
            </w:r>
          </w:p>
        </w:tc>
        <w:tc>
          <w:tcPr>
            <w:tcW w:w="1151" w:type="dxa"/>
            <w:vAlign w:val="center"/>
            <w:shd w:fill="FFFFFF"/>
          </w:tcPr>
          <w:p w14:paraId="4BA85B3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0.891 (0.782–0.967)</w:t>
            </w:r>
          </w:p>
        </w:tc>
        <w:tc>
          <w:tcPr>
            <w:tcW w:w="1151" w:type="dxa"/>
            <w:vAlign w:val="center"/>
            <w:shd w:fill="FFFFFF"/>
          </w:tcPr>
          <w:p w14:paraId="14C0CF6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0.372 (0.201–0.568)</w:t>
            </w:r>
          </w:p>
        </w:tc>
        <w:tc>
          <w:tcPr>
            <w:tcW w:w="1151" w:type="dxa"/>
            <w:vAlign w:val="center"/>
            <w:shd w:fill="FFFFFF"/>
          </w:tcPr>
          <w:p w14:paraId="43E1B4F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34.2</w:t>
            </w:r>
          </w:p>
        </w:tc>
        <w:tc>
          <w:tcPr>
            <w:tcW w:w="1151" w:type="dxa"/>
            <w:vAlign w:val="center"/>
            <w:shd w:fill="FFFFFF"/>
          </w:tcPr>
          <w:p w14:paraId="44E8BFC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151" w:type="dxa"/>
            <w:vAlign w:val="center"/>
            <w:shd w:fill="FFFFFF"/>
          </w:tcPr>
          <w:p w14:paraId="3010F5E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151" w:type="dxa"/>
            <w:vAlign w:val="center"/>
            <w:shd w:fill="FFFFFF"/>
          </w:tcPr>
          <w:p w14:paraId="15B7626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0.054</w:t>
            </w:r>
          </w:p>
        </w:tc>
      </w:tr>
      <w:tr w:rsidR="00067B1F" w14:paraId="76F23759" w14:textId="77777777">
        <w:trPr>
          <w:jc w:val="center"/>
          <w:cantSplit/>
        </w:trPr>
        <w:tc>
          <w:tcPr>
            <w:tcW w:w="1151" w:type="dxa"/>
            <w:vAlign w:val="center"/>
            <w:shd w:fill="FFFFFF"/>
          </w:tcPr>
          <w:p w14:paraId="199C4E49"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Total (Table S11/S15)</w:t>
            </w:r>
          </w:p>
        </w:tc>
        <w:tc>
          <w:tcPr>
            <w:tcW w:w="1151" w:type="dxa"/>
            <w:vAlign w:val="center"/>
            <w:shd w:fill="FFFFFF"/>
          </w:tcPr>
          <w:p w14:paraId="1C73FF9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1,100</w:t>
            </w:r>
          </w:p>
        </w:tc>
        <w:tc>
          <w:tcPr>
            <w:tcW w:w="1151" w:type="dxa"/>
            <w:vAlign w:val="center"/>
            <w:shd w:fill="FFFFFF"/>
          </w:tcPr>
          <w:p w14:paraId="2922139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65</w:t>
            </w:r>
          </w:p>
        </w:tc>
        <w:tc>
          <w:tcPr>
            <w:tcW w:w="1151" w:type="dxa"/>
            <w:vAlign w:val="center"/>
            <w:shd w:fill="FFFFFF"/>
          </w:tcPr>
          <w:p w14:paraId="1B571EE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66.2</w:t>
            </w:r>
          </w:p>
        </w:tc>
        <w:tc>
          <w:tcPr>
            <w:tcW w:w="1151" w:type="dxa"/>
            <w:vAlign w:val="center"/>
            <w:shd w:fill="FFFFFF"/>
          </w:tcPr>
          <w:p w14:paraId="7848D4C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31.0</w:t>
            </w:r>
          </w:p>
        </w:tc>
        <w:tc>
          <w:tcPr>
            <w:tcW w:w="1151" w:type="dxa"/>
            <w:vAlign w:val="center"/>
            <w:shd w:fill="FFFFFF"/>
          </w:tcPr>
          <w:p w14:paraId="1D18198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29.8</w:t>
            </w:r>
          </w:p>
        </w:tc>
        <w:tc>
          <w:tcPr>
            <w:tcW w:w="1151" w:type="dxa"/>
            <w:vAlign w:val="center"/>
            <w:shd w:fill="FFFFFF"/>
          </w:tcPr>
          <w:p w14:paraId="4099441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31.8</w:t>
            </w:r>
          </w:p>
        </w:tc>
        <w:tc>
          <w:tcPr>
            <w:tcW w:w="1151" w:type="dxa"/>
            <w:vAlign w:val="center"/>
            <w:shd w:fill="FFFFFF"/>
          </w:tcPr>
          <w:p w14:paraId="52D4EDB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0.838 (0.811–0.865)</w:t>
            </w:r>
          </w:p>
        </w:tc>
        <w:tc>
          <w:tcPr>
            <w:tcW w:w="1151" w:type="dxa"/>
            <w:vAlign w:val="center"/>
            <w:shd w:fill="FFFFFF"/>
          </w:tcPr>
          <w:p w14:paraId="4DB1098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0.318 (0.240–0.405)</w:t>
            </w:r>
          </w:p>
        </w:tc>
        <w:tc>
          <w:tcPr>
            <w:tcW w:w="1151" w:type="dxa"/>
            <w:vAlign w:val="center"/>
            <w:shd w:fill="FFFFFF"/>
          </w:tcPr>
          <w:p w14:paraId="1BC878A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35.4</w:t>
            </w:r>
          </w:p>
        </w:tc>
        <w:tc>
          <w:tcPr>
            <w:tcW w:w="1151" w:type="dxa"/>
            <w:vAlign w:val="center"/>
            <w:shd w:fill="FFFFFF"/>
          </w:tcPr>
          <w:p w14:paraId="74C8B5D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0.02</w:t>
            </w:r>
          </w:p>
        </w:tc>
        <w:tc>
          <w:tcPr>
            <w:tcW w:w="1151" w:type="dxa"/>
            <w:vAlign w:val="center"/>
            <w:shd w:fill="FFFFFF"/>
          </w:tcPr>
          <w:p w14:paraId="52F4F4E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1.65</w:t>
            </w:r>
          </w:p>
        </w:tc>
        <w:tc>
          <w:tcPr>
            <w:tcW w:w="1151" w:type="dxa"/>
            <w:vAlign w:val="center"/>
            <w:shd w:fill="FFFFFF"/>
          </w:tcPr>
          <w:p w14:paraId="1A63850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0.055</w:t>
            </w:r>
          </w:p>
        </w:tc>
      </w:tr>
    </w:tbl>
    <w:p w14:paraId="4542562E"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Structurally unavailable channels are the seven MIMIC-IV inputs absent from Hallym (Table S9); this fraction is identical across hospitals. Site-specific calibration rows are exploratory; the total row matches Table S15.</w:t>
      </w:r>
    </w:p>
    <w:p w14:paraId="1CF0FE80" w14:textId="77777777" w:rsidR="00067B1F" w:rsidRDefault="00000000">
      <w:pPr>
        <w:keepNext/>
        <w:widowControl/>
        <w:spacing w:after="80" w:line="480" w:lineRule="auto" w:before="0"/>
        <w:keepLines w:val="0"/>
        <w:pageBreakBefore/>
        <w:ind w:left="0" w:right="0" w:firstLine="0"/>
      </w:pPr>
      <w:r>
        <w:rPr>
          <w:rFonts w:ascii="Times New Roman" w:hAnsi="Times New Roman" w:eastAsia="Times New Roman" w:cs="Times New Roman"/>
          <w:b/>
          <w:vanish w:val="0"/>
          <w:color w:val="000000"/>
          <w:sz w:val="22"/>
        </w:rPr>
        <w:t>Table S19. Pooled OOF versus Final Full-Cohort Score-Scale Concordance (MIMIC-IV ≈12–24-Hour Mortality)</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67B1F" w14:paraId="5027C7B7" w14:textId="77777777">
        <w:trPr>
          <w:jc w:val="center"/>
          <w:cantSplit/>
          <w:tblHeader/>
        </w:trPr>
        <w:tc>
          <w:tcPr>
            <w:tcW w:w="2138" w:type="dxa"/>
            <w:vAlign w:val="center"/>
            <w:shd w:fill="E7E7E7"/>
          </w:tcPr>
          <w:p w14:paraId="64603B8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Score scale</w:t>
            </w:r>
          </w:p>
        </w:tc>
        <w:tc>
          <w:tcPr>
            <w:tcW w:w="2138" w:type="dxa"/>
            <w:vAlign w:val="center"/>
            <w:shd w:fill="E7E7E7"/>
          </w:tcPr>
          <w:p w14:paraId="5AD8B1B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N</w:t>
            </w:r>
          </w:p>
        </w:tc>
        <w:tc>
          <w:tcPr>
            <w:tcW w:w="2138" w:type="dxa"/>
            <w:vAlign w:val="center"/>
            <w:shd w:fill="E7E7E7"/>
          </w:tcPr>
          <w:p w14:paraId="462777A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Lin ρ_c (95% CI)</w:t>
            </w:r>
          </w:p>
        </w:tc>
        <w:tc>
          <w:tcPr>
            <w:tcW w:w="2138" w:type="dxa"/>
            <w:vAlign w:val="center"/>
            <w:shd w:fill="E7E7E7"/>
          </w:tcPr>
          <w:p w14:paraId="7325186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Threshold τ</w:t>
            </w:r>
          </w:p>
        </w:tc>
        <w:tc>
          <w:tcPr>
            <w:tcW w:w="2138" w:type="dxa"/>
            <w:vAlign w:val="center"/>
            <w:shd w:fill="E7E7E7"/>
          </w:tcPr>
          <w:p w14:paraId="71261B1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Stays ≥ τ</w:t>
            </w:r>
          </w:p>
        </w:tc>
        <w:tc>
          <w:tcPr>
            <w:tcW w:w="2138" w:type="dxa"/>
            <w:vAlign w:val="center"/>
            <w:shd w:fill="E7E7E7"/>
          </w:tcPr>
          <w:p w14:paraId="5DEAC60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Positive rate</w:t>
            </w:r>
          </w:p>
        </w:tc>
        <w:tc>
          <w:tcPr>
            <w:tcW w:w="2138" w:type="dxa"/>
            <w:vAlign w:val="center"/>
            <w:shd w:fill="E7E7E7"/>
          </w:tcPr>
          <w:p w14:paraId="12BBF80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Percentile of τ</w:t>
            </w:r>
          </w:p>
        </w:tc>
      </w:tr>
      <w:tr w:rsidR="00067B1F" w14:paraId="309BD4B7" w14:textId="77777777">
        <w:trPr>
          <w:jc w:val="center"/>
          <w:cantSplit/>
        </w:trPr>
        <w:tc>
          <w:tcPr>
            <w:tcW w:w="2138" w:type="dxa"/>
            <w:vAlign w:val="center"/>
            <w:shd w:fill="FFFFFF"/>
          </w:tcPr>
          <w:p w14:paraId="21258BC7"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Pooled OOF</w:t>
            </w:r>
          </w:p>
        </w:tc>
        <w:tc>
          <w:tcPr>
            <w:tcW w:w="2138" w:type="dxa"/>
            <w:vAlign w:val="center"/>
            <w:shd w:fill="FFFFFF"/>
          </w:tcPr>
          <w:p w14:paraId="3870120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52,868</w:t>
            </w:r>
          </w:p>
        </w:tc>
        <w:tc>
          <w:tcPr>
            <w:tcW w:w="2138" w:type="dxa"/>
            <w:vAlign w:val="center"/>
            <w:shd w:fill="FFFFFF"/>
          </w:tcPr>
          <w:p w14:paraId="3E70945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0.972 (0.968–0.975)</w:t>
            </w:r>
          </w:p>
        </w:tc>
        <w:tc>
          <w:tcPr>
            <w:tcW w:w="2138" w:type="dxa"/>
            <w:vAlign w:val="center"/>
            <w:shd w:fill="FFFFFF"/>
          </w:tcPr>
          <w:p w14:paraId="7FF7F33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0.0241</w:t>
            </w:r>
          </w:p>
        </w:tc>
        <w:tc>
          <w:tcPr>
            <w:tcW w:w="2138" w:type="dxa"/>
            <w:vAlign w:val="center"/>
            <w:shd w:fill="FFFFFF"/>
          </w:tcPr>
          <w:p w14:paraId="6639AF5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2,613</w:t>
            </w:r>
          </w:p>
        </w:tc>
        <w:tc>
          <w:tcPr>
            <w:tcW w:w="2138" w:type="dxa"/>
            <w:vAlign w:val="center"/>
            <w:shd w:fill="FFFFFF"/>
          </w:tcPr>
          <w:p w14:paraId="4E085EE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4.94%</w:t>
            </w:r>
          </w:p>
        </w:tc>
        <w:tc>
          <w:tcPr>
            <w:tcW w:w="2138" w:type="dxa"/>
            <w:vAlign w:val="center"/>
            <w:shd w:fill="FFFFFF"/>
          </w:tcPr>
          <w:p w14:paraId="322E2DB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95.1st</w:t>
            </w:r>
          </w:p>
        </w:tc>
      </w:tr>
      <w:tr w:rsidR="00067B1F" w14:paraId="268B39DF" w14:textId="77777777">
        <w:trPr>
          <w:jc w:val="center"/>
          <w:cantSplit/>
        </w:trPr>
        <w:tc>
          <w:tcPr>
            <w:tcW w:w="2138" w:type="dxa"/>
            <w:vAlign w:val="center"/>
            <w:shd w:fill="FFFFFF"/>
          </w:tcPr>
          <w:p w14:paraId="653C3C2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Final full-cohort</w:t>
            </w:r>
          </w:p>
        </w:tc>
        <w:tc>
          <w:tcPr>
            <w:tcW w:w="2138" w:type="dxa"/>
            <w:vAlign w:val="center"/>
            <w:shd w:fill="FFFFFF"/>
          </w:tcPr>
          <w:p w14:paraId="52DCB5E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52,868</w:t>
            </w:r>
          </w:p>
        </w:tc>
        <w:tc>
          <w:tcPr>
            <w:tcW w:w="2138" w:type="dxa"/>
            <w:vAlign w:val="center"/>
            <w:shd w:fill="FFFFFF"/>
          </w:tcPr>
          <w:p w14:paraId="783B43E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14A988E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0.0241</w:t>
            </w:r>
          </w:p>
        </w:tc>
        <w:tc>
          <w:tcPr>
            <w:tcW w:w="2138" w:type="dxa"/>
            <w:vAlign w:val="center"/>
            <w:shd w:fill="FFFFFF"/>
          </w:tcPr>
          <w:p w14:paraId="46F4F8F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2,656</w:t>
            </w:r>
          </w:p>
        </w:tc>
        <w:tc>
          <w:tcPr>
            <w:tcW w:w="2138" w:type="dxa"/>
            <w:vAlign w:val="center"/>
            <w:shd w:fill="FFFFFF"/>
          </w:tcPr>
          <w:p w14:paraId="3F00757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5.02%</w:t>
            </w:r>
          </w:p>
        </w:tc>
        <w:tc>
          <w:tcPr>
            <w:tcW w:w="2138" w:type="dxa"/>
            <w:vAlign w:val="center"/>
            <w:shd w:fill="FFFFFF"/>
          </w:tcPr>
          <w:p w14:paraId="0FA776F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95.0th</w:t>
            </w:r>
          </w:p>
        </w:tc>
      </w:tr>
      <w:tr w:rsidR="00067B1F" w14:paraId="39CB1734" w14:textId="77777777">
        <w:trPr>
          <w:jc w:val="center"/>
          <w:cantSplit/>
        </w:trPr>
        <w:tc>
          <w:tcPr>
            <w:tcW w:w="2138" w:type="dxa"/>
            <w:vAlign w:val="center"/>
            <w:shd w:fill="FFFFFF"/>
          </w:tcPr>
          <w:p w14:paraId="4637E193"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Difference</w:t>
            </w:r>
          </w:p>
        </w:tc>
        <w:tc>
          <w:tcPr>
            <w:tcW w:w="2138" w:type="dxa"/>
            <w:vAlign w:val="center"/>
            <w:shd w:fill="FFFFFF"/>
          </w:tcPr>
          <w:p w14:paraId="68D59BC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65C5A67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6A8FEB2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w:t>
            </w:r>
          </w:p>
        </w:tc>
        <w:tc>
          <w:tcPr>
            <w:tcW w:w="2138" w:type="dxa"/>
            <w:vAlign w:val="center"/>
            <w:shd w:fill="FFFFFF"/>
          </w:tcPr>
          <w:p w14:paraId="2E3D6C1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+43</w:t>
            </w:r>
          </w:p>
        </w:tc>
        <w:tc>
          <w:tcPr>
            <w:tcW w:w="2138" w:type="dxa"/>
            <w:vAlign w:val="center"/>
            <w:shd w:fill="FFFFFF"/>
          </w:tcPr>
          <w:p w14:paraId="0569AE2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+0.08 pp</w:t>
            </w:r>
          </w:p>
        </w:tc>
        <w:tc>
          <w:tcPr>
            <w:tcW w:w="2138" w:type="dxa"/>
            <w:vAlign w:val="center"/>
            <w:shd w:fill="FFFFFF"/>
          </w:tcPr>
          <w:p w14:paraId="424A5C7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 points</w:t>
            </w:r>
          </w:p>
        </w:tc>
      </w:tr>
    </w:tbl>
    <w:p w14:paraId="3F460008"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S20. Random-Seed Robustness of PatchFusion (MIMIC-IV ≈12–24-Hour Mortality)</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4988"/>
        <w:gridCol w:w="4988"/>
      </w:tblGrid>
      <w:tr w:rsidR="00067B1F" w14:paraId="69C490B6" w14:textId="77777777">
        <w:trPr>
          <w:jc w:val="center"/>
          <w:cantSplit/>
          <w:tblHeader/>
        </w:trPr>
        <w:tc>
          <w:tcPr>
            <w:tcW w:w="4989" w:type="dxa"/>
            <w:vAlign w:val="center"/>
            <w:shd w:fill="E7E7E7"/>
          </w:tcPr>
          <w:p w14:paraId="7B7BFA16"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Seed</w:t>
            </w:r>
          </w:p>
        </w:tc>
        <w:tc>
          <w:tcPr>
            <w:tcW w:w="4988" w:type="dxa"/>
            <w:vAlign w:val="center"/>
            <w:shd w:fill="E7E7E7"/>
          </w:tcPr>
          <w:p w14:paraId="5E360D4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AUROC</w:t>
            </w:r>
          </w:p>
        </w:tc>
        <w:tc>
          <w:tcPr>
            <w:tcW w:w="4988" w:type="dxa"/>
            <w:vAlign w:val="center"/>
            <w:shd w:fill="E7E7E7"/>
          </w:tcPr>
          <w:p w14:paraId="5AA7932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AUPRC</w:t>
            </w:r>
          </w:p>
        </w:tc>
      </w:tr>
      <w:tr w:rsidR="00067B1F" w14:paraId="7FB33B20" w14:textId="77777777">
        <w:trPr>
          <w:jc w:val="center"/>
          <w:cantSplit/>
        </w:trPr>
        <w:tc>
          <w:tcPr>
            <w:tcW w:w="4989" w:type="dxa"/>
            <w:vAlign w:val="center"/>
            <w:shd w:fill="FFFFFF"/>
          </w:tcPr>
          <w:p w14:paraId="34F07EA5"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1</w:t>
            </w:r>
          </w:p>
        </w:tc>
        <w:tc>
          <w:tcPr>
            <w:tcW w:w="4988" w:type="dxa"/>
            <w:vAlign w:val="center"/>
            <w:shd w:fill="FFFFFF"/>
          </w:tcPr>
          <w:p w14:paraId="0937425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0.976</w:t>
            </w:r>
          </w:p>
        </w:tc>
        <w:tc>
          <w:tcPr>
            <w:tcW w:w="4988" w:type="dxa"/>
            <w:vAlign w:val="center"/>
            <w:shd w:fill="FFFFFF"/>
          </w:tcPr>
          <w:p w14:paraId="27F867C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0.571</w:t>
            </w:r>
          </w:p>
        </w:tc>
      </w:tr>
      <w:tr w:rsidR="00067B1F" w14:paraId="01FCC654" w14:textId="77777777">
        <w:trPr>
          <w:jc w:val="center"/>
          <w:cantSplit/>
        </w:trPr>
        <w:tc>
          <w:tcPr>
            <w:tcW w:w="4989" w:type="dxa"/>
            <w:vAlign w:val="center"/>
            <w:shd w:fill="FFFFFF"/>
          </w:tcPr>
          <w:p w14:paraId="19F02D0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2</w:t>
            </w:r>
          </w:p>
        </w:tc>
        <w:tc>
          <w:tcPr>
            <w:tcW w:w="4988" w:type="dxa"/>
            <w:vAlign w:val="center"/>
            <w:shd w:fill="FFFFFF"/>
          </w:tcPr>
          <w:p w14:paraId="2DFCC08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0.978</w:t>
            </w:r>
          </w:p>
        </w:tc>
        <w:tc>
          <w:tcPr>
            <w:tcW w:w="4988" w:type="dxa"/>
            <w:vAlign w:val="center"/>
            <w:shd w:fill="FFFFFF"/>
          </w:tcPr>
          <w:p w14:paraId="5474055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0.578</w:t>
            </w:r>
          </w:p>
        </w:tc>
      </w:tr>
      <w:tr w:rsidR="00067B1F" w14:paraId="060F5B67" w14:textId="77777777">
        <w:trPr>
          <w:jc w:val="center"/>
          <w:cantSplit/>
        </w:trPr>
        <w:tc>
          <w:tcPr>
            <w:tcW w:w="4989" w:type="dxa"/>
            <w:vAlign w:val="center"/>
            <w:shd w:fill="FFFFFF"/>
          </w:tcPr>
          <w:p w14:paraId="59512615"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3</w:t>
            </w:r>
          </w:p>
        </w:tc>
        <w:tc>
          <w:tcPr>
            <w:tcW w:w="4988" w:type="dxa"/>
            <w:vAlign w:val="center"/>
            <w:shd w:fill="FFFFFF"/>
          </w:tcPr>
          <w:p w14:paraId="192EDBD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0.978</w:t>
            </w:r>
          </w:p>
        </w:tc>
        <w:tc>
          <w:tcPr>
            <w:tcW w:w="4988" w:type="dxa"/>
            <w:vAlign w:val="center"/>
            <w:shd w:fill="FFFFFF"/>
          </w:tcPr>
          <w:p w14:paraId="35B5447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0.574</w:t>
            </w:r>
          </w:p>
        </w:tc>
      </w:tr>
      <w:tr w:rsidR="00067B1F" w14:paraId="29E0F2E6" w14:textId="77777777">
        <w:trPr>
          <w:jc w:val="center"/>
          <w:cantSplit/>
        </w:trPr>
        <w:tc>
          <w:tcPr>
            <w:tcW w:w="4989" w:type="dxa"/>
            <w:vAlign w:val="center"/>
            <w:shd w:fill="FFFFFF"/>
          </w:tcPr>
          <w:p w14:paraId="16322250"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4</w:t>
            </w:r>
          </w:p>
        </w:tc>
        <w:tc>
          <w:tcPr>
            <w:tcW w:w="4988" w:type="dxa"/>
            <w:vAlign w:val="center"/>
            <w:shd w:fill="FFFFFF"/>
          </w:tcPr>
          <w:p w14:paraId="1C5B0AC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0.981</w:t>
            </w:r>
          </w:p>
        </w:tc>
        <w:tc>
          <w:tcPr>
            <w:tcW w:w="4988" w:type="dxa"/>
            <w:vAlign w:val="center"/>
            <w:shd w:fill="FFFFFF"/>
          </w:tcPr>
          <w:p w14:paraId="6BB8C16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0.580</w:t>
            </w:r>
          </w:p>
        </w:tc>
      </w:tr>
      <w:tr w:rsidR="00067B1F" w14:paraId="4C377030" w14:textId="77777777">
        <w:trPr>
          <w:jc w:val="center"/>
          <w:cantSplit/>
        </w:trPr>
        <w:tc>
          <w:tcPr>
            <w:tcW w:w="4989" w:type="dxa"/>
            <w:vAlign w:val="center"/>
            <w:shd w:fill="FFFFFF"/>
          </w:tcPr>
          <w:p w14:paraId="35D330E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5</w:t>
            </w:r>
          </w:p>
        </w:tc>
        <w:tc>
          <w:tcPr>
            <w:tcW w:w="4988" w:type="dxa"/>
            <w:vAlign w:val="center"/>
            <w:shd w:fill="FFFFFF"/>
          </w:tcPr>
          <w:p w14:paraId="0207F57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0.976</w:t>
            </w:r>
          </w:p>
        </w:tc>
        <w:tc>
          <w:tcPr>
            <w:tcW w:w="4988" w:type="dxa"/>
            <w:vAlign w:val="center"/>
            <w:shd w:fill="FFFFFF"/>
          </w:tcPr>
          <w:p w14:paraId="0660D77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0.577</w:t>
            </w:r>
          </w:p>
        </w:tc>
      </w:tr>
      <w:tr w:rsidR="00067B1F" w14:paraId="3E27DBD7" w14:textId="77777777">
        <w:trPr>
          <w:jc w:val="center"/>
          <w:cantSplit/>
        </w:trPr>
        <w:tc>
          <w:tcPr>
            <w:tcW w:w="4989" w:type="dxa"/>
            <w:vAlign w:val="center"/>
            <w:shd w:fill="FFFFFF"/>
          </w:tcPr>
          <w:p w14:paraId="05D7BE7F"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Mean ± SD (sample)</w:t>
            </w:r>
          </w:p>
        </w:tc>
        <w:tc>
          <w:tcPr>
            <w:tcW w:w="4988" w:type="dxa"/>
            <w:vAlign w:val="center"/>
            <w:shd w:fill="FFFFFF"/>
          </w:tcPr>
          <w:p w14:paraId="40B3D0E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0.978 ± 0.002</w:t>
            </w:r>
          </w:p>
        </w:tc>
        <w:tc>
          <w:tcPr>
            <w:tcW w:w="4988" w:type="dxa"/>
            <w:vAlign w:val="center"/>
            <w:shd w:fill="FFFFFF"/>
          </w:tcPr>
          <w:p w14:paraId="4D61DB5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0.576 ± 0.004</w:t>
            </w:r>
          </w:p>
        </w:tc>
      </w:tr>
    </w:tbl>
    <w:p w14:paraId="1A299509"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 xml:space="preserve">SD is the sample standard deviation across the five seeds. The BiLSTM+Patch configuration reached primary AUPRC 0.298 (Table S7), but its capacity and structure differ from the full model. The one-at-a-time RoPE comparison in Table S24 provides the relevant configuration-specific contrast. The standalone Transformer, without RoPE, reached AUROC/AUPRC 0.892/0.354.</w:t>
      </w:r>
    </w:p>
    <w:p w14:paraId="48472A26"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S21. Model Size and Computational Burden (NVIDIA L40S)</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741"/>
        <w:gridCol w:w="3741"/>
        <w:gridCol w:w="3742"/>
        <w:gridCol w:w="3742"/>
      </w:tblGrid>
      <w:tr w:rsidR="00067B1F" w14:paraId="7EC57135" w14:textId="77777777">
        <w:trPr>
          <w:jc w:val="center"/>
          <w:cantSplit/>
          <w:tblHeader/>
        </w:trPr>
        <w:tc>
          <w:tcPr>
            <w:tcW w:w="3741" w:type="dxa"/>
            <w:vAlign w:val="center"/>
            <w:shd w:fill="E7E7E7"/>
          </w:tcPr>
          <w:p w14:paraId="6D28D044"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Model</w:t>
            </w:r>
          </w:p>
        </w:tc>
        <w:tc>
          <w:tcPr>
            <w:tcW w:w="3741" w:type="dxa"/>
            <w:vAlign w:val="center"/>
            <w:shd w:fill="E7E7E7"/>
          </w:tcPr>
          <w:p w14:paraId="51CAA0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Parameters</w:t>
            </w:r>
          </w:p>
        </w:tc>
        <w:tc>
          <w:tcPr>
            <w:tcW w:w="3742" w:type="dxa"/>
            <w:vAlign w:val="center"/>
            <w:shd w:fill="E7E7E7"/>
          </w:tcPr>
          <w:p w14:paraId="656C4EA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Training time</w:t>
            </w:r>
          </w:p>
        </w:tc>
        <w:tc>
          <w:tcPr>
            <w:tcW w:w="3742" w:type="dxa"/>
            <w:vAlign w:val="center"/>
            <w:shd w:fill="E7E7E7"/>
          </w:tcPr>
          <w:p w14:paraId="0712FEC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Inference per stay</w:t>
            </w:r>
          </w:p>
        </w:tc>
      </w:tr>
      <w:tr w:rsidR="00067B1F" w14:paraId="245EC1B3" w14:textId="77777777">
        <w:trPr>
          <w:jc w:val="center"/>
          <w:cantSplit/>
        </w:trPr>
        <w:tc>
          <w:tcPr>
            <w:tcW w:w="3741" w:type="dxa"/>
            <w:vAlign w:val="center"/>
            <w:shd w:fill="FFFFFF"/>
          </w:tcPr>
          <w:p w14:paraId="7794F8AF"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PatchFusion</w:t>
            </w:r>
          </w:p>
        </w:tc>
        <w:tc>
          <w:tcPr>
            <w:tcW w:w="3741" w:type="dxa"/>
            <w:vAlign w:val="center"/>
            <w:shd w:fill="FFFFFF"/>
          </w:tcPr>
          <w:p w14:paraId="29154A2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1.84 million</w:t>
            </w:r>
          </w:p>
        </w:tc>
        <w:tc>
          <w:tcPr>
            <w:tcW w:w="3742" w:type="dxa"/>
            <w:vAlign w:val="center"/>
            <w:shd w:fill="FFFFFF"/>
          </w:tcPr>
          <w:p w14:paraId="30C9DE3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6.2 h</w:t>
            </w:r>
          </w:p>
        </w:tc>
        <w:tc>
          <w:tcPr>
            <w:tcW w:w="3742" w:type="dxa"/>
            <w:vAlign w:val="center"/>
            <w:shd w:fill="FFFFFF"/>
          </w:tcPr>
          <w:p w14:paraId="4B5F5C2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12.4 ms</w:t>
            </w:r>
          </w:p>
        </w:tc>
      </w:tr>
      <w:tr w:rsidR="00067B1F" w14:paraId="5EAE381F" w14:textId="77777777">
        <w:trPr>
          <w:jc w:val="center"/>
          <w:cantSplit/>
        </w:trPr>
        <w:tc>
          <w:tcPr>
            <w:tcW w:w="3741" w:type="dxa"/>
            <w:vAlign w:val="center"/>
            <w:shd w:fill="FFFFFF"/>
          </w:tcPr>
          <w:p w14:paraId="6239A3B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LSTM</w:t>
            </w:r>
          </w:p>
        </w:tc>
        <w:tc>
          <w:tcPr>
            <w:tcW w:w="3741" w:type="dxa"/>
            <w:vAlign w:val="center"/>
            <w:shd w:fill="FFFFFF"/>
          </w:tcPr>
          <w:p w14:paraId="584AFD2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0.91 million</w:t>
            </w:r>
          </w:p>
        </w:tc>
        <w:tc>
          <w:tcPr>
            <w:tcW w:w="3742" w:type="dxa"/>
            <w:vAlign w:val="center"/>
            <w:shd w:fill="FFFFFF"/>
          </w:tcPr>
          <w:p w14:paraId="4FDE67D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4.1 h</w:t>
            </w:r>
          </w:p>
        </w:tc>
        <w:tc>
          <w:tcPr>
            <w:tcW w:w="3742" w:type="dxa"/>
            <w:vAlign w:val="center"/>
            <w:shd w:fill="FFFFFF"/>
          </w:tcPr>
          <w:p w14:paraId="224225B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8.7 ms</w:t>
            </w:r>
          </w:p>
        </w:tc>
      </w:tr>
      <w:tr w:rsidR="00067B1F" w14:paraId="29362818" w14:textId="77777777">
        <w:trPr>
          <w:jc w:val="center"/>
          <w:cantSplit/>
        </w:trPr>
        <w:tc>
          <w:tcPr>
            <w:tcW w:w="3741" w:type="dxa"/>
            <w:vAlign w:val="center"/>
            <w:shd w:fill="FFFFFF"/>
          </w:tcPr>
          <w:p w14:paraId="5CABD826"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Transformer (Table S4; no RoPE)</w:t>
            </w:r>
          </w:p>
        </w:tc>
        <w:tc>
          <w:tcPr>
            <w:tcW w:w="3741" w:type="dxa"/>
            <w:vAlign w:val="center"/>
            <w:shd w:fill="FFFFFF"/>
          </w:tcPr>
          <w:p w14:paraId="4790104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1.60 million</w:t>
            </w:r>
          </w:p>
        </w:tc>
        <w:tc>
          <w:tcPr>
            <w:tcW w:w="3742" w:type="dxa"/>
            <w:vAlign w:val="center"/>
            <w:shd w:fill="FFFFFF"/>
          </w:tcPr>
          <w:p w14:paraId="7CCE6CC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5.8 h</w:t>
            </w:r>
          </w:p>
        </w:tc>
        <w:tc>
          <w:tcPr>
            <w:tcW w:w="3742" w:type="dxa"/>
            <w:vAlign w:val="center"/>
            <w:shd w:fill="FFFFFF"/>
          </w:tcPr>
          <w:p w14:paraId="162F21F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11.2 ms</w:t>
            </w:r>
          </w:p>
        </w:tc>
      </w:tr>
      <w:tr w:rsidR="00067B1F" w14:paraId="4760FB07" w14:textId="77777777">
        <w:trPr>
          <w:jc w:val="center"/>
          <w:cantSplit/>
        </w:trPr>
        <w:tc>
          <w:tcPr>
            <w:tcW w:w="3741" w:type="dxa"/>
            <w:vAlign w:val="center"/>
            <w:shd w:fill="FFFFFF"/>
          </w:tcPr>
          <w:p w14:paraId="1DACD8C4"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lastRenderedPageBreak/>
              <w:t>TBAL</w:t>
            </w:r>
          </w:p>
        </w:tc>
        <w:tc>
          <w:tcPr>
            <w:tcW w:w="3741" w:type="dxa"/>
            <w:vAlign w:val="center"/>
            <w:shd w:fill="FFFFFF"/>
          </w:tcPr>
          <w:p w14:paraId="0B04ABF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2.11 million</w:t>
            </w:r>
          </w:p>
        </w:tc>
        <w:tc>
          <w:tcPr>
            <w:tcW w:w="3742" w:type="dxa"/>
            <w:vAlign w:val="center"/>
            <w:shd w:fill="FFFFFF"/>
          </w:tcPr>
          <w:p w14:paraId="4D454D7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7.4 h</w:t>
            </w:r>
          </w:p>
        </w:tc>
        <w:tc>
          <w:tcPr>
            <w:tcW w:w="3742" w:type="dxa"/>
            <w:vAlign w:val="center"/>
            <w:shd w:fill="FFFFFF"/>
          </w:tcPr>
          <w:p w14:paraId="76B98CF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14.8 ms</w:t>
            </w:r>
          </w:p>
        </w:tc>
      </w:tr>
    </w:tbl>
    <w:p w14:paraId="6E8B1096" w14:textId="77777777" w:rsidR="00067B1F" w:rsidRDefault="00000000">
      <w:pPr>
        <w:pStyle w:val="1"/>
        <w:keepNext/>
        <w:keepLines w:val="0"/>
        <w:widowControl/>
        <w:spacing w:after="80" w:line="480" w:lineRule="auto" w:before="0"/>
        <w:ind w:left="0" w:right="0" w:firstLine="0"/>
      </w:pPr>
      <w:r>
        <w:rPr>
          <w:rFonts w:ascii="Times New Roman" w:hAnsi="Times New Roman" w:eastAsia="Times New Roman" w:cs="Times New Roman"/>
          <w:vanish w:val="0"/>
          <w:color w:val="000000"/>
          <w:sz w:val="22"/>
        </w:rPr>
        <w:t>Reported trainable-parameter totals reflect the module inventories in Tables S4b-S4c. Extended comparator configurations and one-at-a-time ablation protocols are specified below for Tables S22-S25.</w:t>
      </w:r>
    </w:p>
    <w:p w14:paraId="68082A8C"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Extended baselines and one-at-a-time ablations for ≈12–24-hour mortality. All models used the same 22 MIMIC-IV base channels, matched hourly temporal deltas, observation masks, first-12-hour window, and patient-level GroupKFold splits. Each model family underwent independent hyperparameter search and five-seed training on MIMIC-IV; weights and Youden thresholds were locked before frozen eICU-CRD transport.</w:t>
      </w:r>
    </w:p>
    <w:p w14:paraId="1C5537D2"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Supplementary Methods</w:t>
      </w:r>
    </w:p>
    <w:p w14:paraId="0C4B298A"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Extended baselines (Tables S22–S23) comprise PatchTST [40], GRU-D [16], Raindrop [41], and LightGBM on the flattened 66-d×12 grid. Search used the shared grids in Table S4 (12–18 Optuna/random trials per family; lock = highest mean inner-validation AUROC across outer folds). Locked final settings (primary ≈12–24-hour head): PatchTST — channel-independent patching retained (each of 66 channels patched separately, then shared Transformer weights), patch length 6 h, stride 3 h, d_model 128, 3 encoder layers, 8 heads, dropout 0.2, LR 5e-4, weight decay 1e-4; mean-pool over patch tokens → Linear 128→1 (classification head replacing forecasting head; total ≈2.12M, Table S25); GRU-D — hidden 128, dropout 0.2, LR 5e-4; inputs = filled values + raw masks from the 66-d tensor plus per-channel Δt since last raw observation for decay [16]; Raindrop — d_model 128, 2 graph-attention layers, dropout 0.2, LR 1e-3; sensors = 22 base variables, with mask/delta channels supplied as additional node features on the same hourly grid (not as separate sensors); LightGBM — max_depth 6, num_leaves 63, learning_rate 0.05, min_data_in_leaf 50, feature_fraction 0.8, 420 boosting rounds (early-stopped on inner validation). Baseline LSTM/Transformer/TBAL locked shapes are in Table S4c; PatchFusion in Table S4b. Each family used five seeds; the reported PatchFusion external checkpoint is seed 2 (Table S20 AUPRC 0.578). Final LSTM, Transformer, and TBAL discrimination are reported in Table 2 and Table S6. For Hallym Tables S26–S28, PatchTST, GRU-D, Raindrop, and TBAL used separately locked MIMIC-IV 7-day (or matched-endpoint) final models and the corresponding pooled-OOF Youden thresholds—not the primary ≈12–24-hour checkpoints from Tables S22–S25. Executable training/evaluation code will be released with publication; until then, Tables S4b–S4c plus this paragraph are the reproducibility specification. Hi-Patch and LGTRL-DE were additionally adapted as same-split hierarchical comparators using the common 66-d hourly input adapter (Linear 66→d_model before published blocks), the same 12-hour window, 12–18 inner-validation trials, five seeds, and the same pooled-OOF evaluation/locked eICU transport protocol. The adaptation configurations were Hi-Patch patch length 6 h, stride 3 h, d_model 128 with 2 graph layers, and LGTRL-DE local GRU width 128 with a global Transformer of d_model 128 and 2 layers. These common-hourly-input comparisons evaluate the resulting temporal implementations; the native irregular-observation and demographic/static settings of the published methods are outside this comparison protocol. The order-reversed checkpoint was also frozen after the same MIMIC-IV development procedure and applied to eICU-CRD without retuning or recalibration. In Table S22, AUPRC seed summaries are mean ± SD across the five trained seeds. Table S23 reports five-seed comparator-minus-PatchFusion AUPRC differences relative to the fixed PatchFusion seed-2 checkpoint; 5/5 denotes a negative difference in every comparator seed. These summaries describe training-seed variation, separately from patient-resampling confidence intervals.</w:t>
      </w:r>
    </w:p>
    <w:p w14:paraId="3A855A17"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Frozen eICU transport (Table S23): Final full-cohort MIMIC-IV–retrained models with pooled-OOF Youden thresholds; no retraining or recalibration on eICU-CRD.</w:t>
      </w:r>
    </w:p>
    <w:p>
      <w:pPr>
        <w:keepNext w:val="0"/>
        <w:keepLines w:val="0"/>
        <w:widowControl/>
        <w:spacing w:line="480" w:lineRule="auto" w:before="0" w:after="80"/>
        <w:ind w:left="0" w:right="0" w:firstLine="0"/>
      </w:pPr>
      <w:r>
        <w:rPr>
          <w:rFonts w:ascii="Times New Roman" w:hAnsi="Times New Roman" w:eastAsia="Times New Roman" w:cs="Times New Roman"/>
          <w:b w:val="0"/>
          <w:vanish w:val="0"/>
          <w:color w:val="000000"/>
          <w:sz w:val="22"/>
        </w:rPr>
        <w:t>Table S23b reports frozen primary-endpoint comparisons with the prespecified capacity-matched 12-token reversal and the post hoc three-token reversal. Paired ΔAUPRC intervals evaluate whether the pathway preference persists after development. Main-text Table 3 combines these structural contrasts with the common-input benchmark comparisons; Figure 3 displays the corresponding point estimates.</w:t>
      </w:r>
    </w:p>
    <w:p>
      <w:pPr>
        <w:keepNext/>
        <w:keepLines w:val="0"/>
        <w:widowControl/>
        <w:spacing w:line="480" w:lineRule="auto" w:before="0" w:after="80"/>
        <w:ind w:left="0" w:right="0" w:firstLine="0"/>
      </w:pPr>
      <w:r>
        <w:rPr>
          <w:rFonts w:ascii="Times New Roman" w:hAnsi="Times New Roman" w:eastAsia="Times New Roman" w:cs="Times New Roman"/>
          <w:b/>
          <w:vanish w:val="0"/>
          <w:color w:val="000000"/>
          <w:sz w:val="22"/>
        </w:rPr>
        <w:t xml:space="preserve">Table S23b. Frozen external computation-order contrasts (prespecified 12-token and post hoc token-matched controls)</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94"/>
        <w:gridCol w:w="2993"/>
        <w:gridCol w:w="2993"/>
        <w:gridCol w:w="2993"/>
        <w:gridCol w:w="2993"/>
      </w:tblGrid>
      <w:tr w:rsidR="00067B1F" w14:paraId="08397B1B" w14:textId="77777777">
        <w:trPr>
          <w:jc w:val="center"/>
          <w:cantSplit/>
          <w:tblHeader/>
        </w:trPr>
        <w:tc>
          <w:tcPr>
            <w:tcW w:w="2994" w:type="dxa"/>
            <w:vAlign w:val="center"/>
            <w:shd w:fill="E7E7E7"/>
          </w:tcPr>
          <w:p w14:paraId="262BABD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rPr>
              <w:t xml:space="preserve">Contrast</w:t>
            </w:r>
          </w:p>
        </w:tc>
        <w:tc>
          <w:tcPr>
            <w:tcW w:w="2993" w:type="dxa"/>
            <w:vAlign w:val="center"/>
            <w:shd w:fill="E7E7E7"/>
          </w:tcPr>
          <w:p w14:paraId="746C413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 xml:space="preserve">AUROC</w:t>
            </w:r>
          </w:p>
        </w:tc>
        <w:tc>
          <w:tcPr>
            <w:tcW w:w="2993" w:type="dxa"/>
            <w:vAlign w:val="center"/>
            <w:shd w:fill="E7E7E7"/>
          </w:tcPr>
          <w:p w14:paraId="780E498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 xml:space="preserve">AUPRC</w:t>
            </w:r>
          </w:p>
        </w:tc>
        <w:tc>
          <w:tcPr>
            <w:tcW w:w="2993" w:type="dxa"/>
            <w:vAlign w:val="center"/>
            <w:shd w:fill="E7E7E7"/>
          </w:tcPr>
          <w:p w14:paraId="5727673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 xml:space="preserve">ΔAUPRC vs PatchFusion (95% CI)</w:t>
            </w:r>
          </w:p>
        </w:tc>
        <w:tc>
          <w:tcPr>
            <w:tcW w:w="2993" w:type="dxa"/>
            <w:vAlign w:val="center"/>
            <w:shd w:fill="E7E7E7"/>
          </w:tcPr>
          <w:p w14:paraId="1DB01C4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P</w:t>
            </w:r>
          </w:p>
        </w:tc>
      </w:tr>
      <w:tr w:rsidR="00067B1F" w14:paraId="08397B1B" w14:textId="77777777">
        <w:trPr>
          <w:jc w:val="center"/>
          <w:cantSplit/>
        </w:trPr>
        <w:tc>
          <w:tcPr>
            <w:tcW w:w="2994" w:type="dxa"/>
            <w:vAlign w:val="center"/>
            <w:shd w:fill="FFFFFF"/>
          </w:tcPr>
          <w:p w14:paraId="262BABD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 xml:space="preserve">PatchFusion (locked)</w:t>
            </w:r>
          </w:p>
        </w:tc>
        <w:tc>
          <w:tcPr>
            <w:tcW w:w="2993" w:type="dxa"/>
            <w:vAlign w:val="center"/>
            <w:shd w:fill="FFFFFF"/>
          </w:tcPr>
          <w:p w14:paraId="746C413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 xml:space="preserve">0.951</w:t>
            </w:r>
          </w:p>
        </w:tc>
        <w:tc>
          <w:tcPr>
            <w:tcW w:w="2993" w:type="dxa"/>
            <w:vAlign w:val="center"/>
            <w:shd w:fill="FFFFFF"/>
          </w:tcPr>
          <w:p w14:paraId="780E498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 xml:space="preserve">0.354</w:t>
            </w:r>
          </w:p>
        </w:tc>
        <w:tc>
          <w:tcPr>
            <w:tcW w:w="2993" w:type="dxa"/>
            <w:vAlign w:val="center"/>
            <w:shd w:fill="FFFFFF"/>
          </w:tcPr>
          <w:p w14:paraId="5727673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 xml:space="preserve">—</w:t>
            </w:r>
          </w:p>
        </w:tc>
        <w:tc>
          <w:tcPr>
            <w:tcW w:w="2993" w:type="dxa"/>
            <w:vAlign w:val="center"/>
            <w:shd w:fill="FFFFFF"/>
          </w:tcPr>
          <w:p w14:paraId="1DB01C4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w:t>
            </w:r>
          </w:p>
        </w:tc>
      </w:tr>
      <w:tr w:rsidR="00067B1F" w14:paraId="08397B1B" w14:textId="77777777">
        <w:trPr>
          <w:jc w:val="center"/>
          <w:cantSplit/>
        </w:trPr>
        <w:tc>
          <w:tcPr>
            <w:tcW w:w="2994" w:type="dxa"/>
            <w:vAlign w:val="center"/>
            <w:shd w:fill="FFFFFF"/>
          </w:tcPr>
          <w:p w14:paraId="262BABD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 xml:space="preserve">Order-reversed, parameter-matched (12-token attention)</w:t>
            </w:r>
          </w:p>
        </w:tc>
        <w:tc>
          <w:tcPr>
            <w:tcW w:w="2993" w:type="dxa"/>
            <w:vAlign w:val="center"/>
            <w:shd w:fill="FFFFFF"/>
          </w:tcPr>
          <w:p w14:paraId="746C413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 xml:space="preserve">0.944</w:t>
            </w:r>
          </w:p>
        </w:tc>
        <w:tc>
          <w:tcPr>
            <w:tcW w:w="2993" w:type="dxa"/>
            <w:vAlign w:val="center"/>
            <w:shd w:fill="FFFFFF"/>
          </w:tcPr>
          <w:p w14:paraId="780E498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0.310</w:t>
            </w:r>
          </w:p>
        </w:tc>
        <w:tc>
          <w:tcPr>
            <w:tcW w:w="2993" w:type="dxa"/>
            <w:vAlign w:val="center"/>
            <w:shd w:fill="FFFFFF"/>
          </w:tcPr>
          <w:p w14:paraId="5727673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−0.044 (−0.069 to −0.041)</w:t>
            </w:r>
          </w:p>
        </w:tc>
        <w:tc>
          <w:tcPr>
            <w:tcW w:w="2993" w:type="dxa"/>
            <w:vAlign w:val="center"/>
            <w:shd w:fill="FFFFFF"/>
          </w:tcPr>
          <w:p w14:paraId="1DB01C4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&lt;0.001</w:t>
            </w:r>
          </w:p>
        </w:tc>
      </w:tr>
      <w:tr w:rsidR="00067B1F" w14:paraId="08397B1B" w14:textId="77777777">
        <w:trPr>
          <w:jc w:val="center"/>
          <w:cantSplit/>
        </w:trPr>
        <w:tc>
          <w:tcPr>
            <w:tcW w:w="2994" w:type="dxa"/>
            <w:vAlign w:val="center"/>
            <w:shd w:fill="FFFFFF"/>
          </w:tcPr>
          <w:p w14:paraId="262BABD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Order-reversed, token-matched + parameter-matched</w:t>
            </w:r>
          </w:p>
        </w:tc>
        <w:tc>
          <w:tcPr>
            <w:tcW w:w="2993" w:type="dxa"/>
            <w:vAlign w:val="center"/>
            <w:shd w:fill="FFFFFF"/>
          </w:tcPr>
          <w:p w14:paraId="746C413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 xml:space="preserve">0.946</w:t>
            </w:r>
          </w:p>
        </w:tc>
        <w:tc>
          <w:tcPr>
            <w:tcW w:w="2993" w:type="dxa"/>
            <w:vAlign w:val="center"/>
            <w:shd w:fill="FFFFFF"/>
          </w:tcPr>
          <w:p w14:paraId="780E498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0.323</w:t>
            </w:r>
          </w:p>
        </w:tc>
        <w:tc>
          <w:tcPr>
            <w:tcW w:w="2993" w:type="dxa"/>
            <w:vAlign w:val="center"/>
            <w:shd w:fill="FFFFFF"/>
          </w:tcPr>
          <w:p w14:paraId="5727673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−0.031 (−0.043 to −0.021)</w:t>
            </w:r>
          </w:p>
        </w:tc>
        <w:tc>
          <w:tcPr>
            <w:tcW w:w="2993" w:type="dxa"/>
            <w:vAlign w:val="center"/>
            <w:shd w:fill="FFFFFF"/>
          </w:tcPr>
          <w:p w14:paraId="1DB01C4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&lt;0.001</w:t>
            </w:r>
          </w:p>
        </w:tc>
      </w:tr>
    </w:tbl>
    <w:p>
      <w:pPr>
        <w:keepNext w:val="0"/>
        <w:keepLines w:val="0"/>
        <w:widowControl/>
        <w:spacing w:line="480" w:lineRule="auto" w:before="0" w:after="80"/>
        <w:ind w:left="0" w:right="0" w:firstLine="0"/>
      </w:pPr>
      <w:r>
        <w:rPr>
          <w:rFonts w:ascii="Times New Roman" w:hAnsi="Times New Roman" w:eastAsia="Times New Roman" w:cs="Times New Roman"/>
          <w:b w:val="0"/>
          <w:vanish w:val="0"/>
          <w:color w:val="000000"/>
          <w:sz w:val="22"/>
        </w:rPr>
        <w:t>The 12-token order-reversed AUPRC and paired difference match Table S23. The token-matched transport comparison is reported in the same panel.</w:t>
      </w:r>
    </w:p>
    <w:p w14:paraId="28DDFEB9"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 xml:space="preserve">Table S24 evaluates one-at-a-time component changes with five seeds per variant and paired patient-bootstrap ΔAUPRC intervals (2000 resamples). Parameter totals follow Table S4b. The additional prespecified reversal retains the full module inventory: the RoPE-Transformer processes the projected 12-hour sequence before three overlapping patches are formed for the shared BiLSTM. It uses the same patient splits and training protocol, and its frozen eICU-CRD evaluation is reported in Tables S23–S23b. Table S7 provides the separate incomplete-pathway comparisons.</w:t>
      </w:r>
    </w:p>
    <w:p>
      <w:pPr>
        <w:keepNext w:val="0"/>
        <w:keepLines w:val="0"/>
        <w:widowControl/>
        <w:spacing w:line="480" w:lineRule="auto" w:before="0" w:after="80"/>
        <w:ind w:left="0" w:right="0" w:firstLine="0"/>
      </w:pPr>
      <w:r>
        <w:rPr>
          <w:rFonts w:ascii="Times New Roman" w:hAnsi="Times New Roman" w:eastAsia="Times New Roman" w:cs="Times New Roman"/>
          <w:b w:val="0"/>
          <w:vanish w:val="0"/>
          <w:color w:val="000000"/>
          <w:sz w:val="22"/>
        </w:rPr>
        <w:t xml:space="preserve">Token-matched order control (Table S24b; post hoc robustness). The 12-token parameter-matched reversal in Table S24 was the pre-specified order contrast. Table S24b was added post hoc to equalize attention length (12 hourly tokens vs 3 episode tokens). Both pathways use identical d_model=256, nhead=8, 2-layer RoPE-Transformer depth, FFN width 512, mean pooling, classification head, and 1,844,505 trainable parameters, with attention restricted to K=3 tokens. Executable tensor flow for full PatchFusion (local→global), restated for comparison: input [B,12,66] → unfold (patch 6, stride 3) → [B,3,6,66] → shared Linear(66,256) → [B,3,6,256] → shared BiLSTM over the length-6 axis → terminal states [B,3,378] → Linear(378,256) → episode tokens [B,3,256] → RoPE-Transformer → [B,3,256] → mean pool → [B,256] → Linear(256,1). Executable tensor flow for the token-matched global→local control: input [B,12,66] → unfold (patch 6, stride 3) → [B,3,6,66] → shared Linear(66,256) → hourly patch tensor [B,3,6,256] → mean over the length-6 axis → patch tokens [B,3,256] → RoPE-Transformer (global interaction at K=3) → contextual tokens [B,3,256] → broadcast-add each contextual token onto its corresponding 6 hourly embeddings → conditioned sequence [B,3,6,256] → shared BiLSTM over the length-6 axis (within-patch trajectory refinement of a true length-6 sequence) → [B,3,378] → Linear(378,256) → [B,3,256] → mean pool → [B,256] → Linear(256,1). Thus BiLSTM never operates on a single static vector: after global attention, each patch remains a 6-step sequence that is refined recurrently under the broadcast global context. Training used the same patient-level splits, seed rule, and epoch budget as full PatchFusion.</w:t>
      </w:r>
    </w:p>
    <w:p w14:paraId="573A4FEA" w14:textId="77777777" w:rsidR="00067B1F" w:rsidRDefault="00000000">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 xml:space="preserve">Parameter totals follow the module inventory in Table S4b. PatchFusion has 1,844,505 trainable weights. Removing global attention subtracts 1,054,208 weights, leaving 790,297. Removing temporal deltas or masks changes the input projection from 66 to 44 features (−5,632), leaving 1,838,873. Non-overlapping segmentation changes the token count from three to two while retaining 1,844,505 weights. A unidirectional recurrent encoder and its smaller episode projection yield 1,458,189 weights. RoPE introduces no trainable parameters. The MLP reference has 1,850,000 weights (+0.30%) and a different inductive bias. Component-removal comparisons therefore describe configuration effects under the specified capacity changes; the paired reversals retain the complete trainable inventory.</w:t>
      </w:r>
    </w:p>
    <w:p>
      <w:pPr>
        <w:keepNext/>
        <w:keepLines w:val="0"/>
        <w:widowControl/>
        <w:spacing w:line="480" w:lineRule="auto" w:before="0" w:after="80"/>
        <w:ind w:left="0" w:right="0" w:firstLine="0"/>
      </w:pPr>
      <w:r>
        <w:rPr>
          <w:rFonts w:ascii="Times New Roman" w:hAnsi="Times New Roman" w:eastAsia="Times New Roman" w:cs="Times New Roman"/>
          <w:b/>
          <w:vanish w:val="0"/>
          <w:color w:val="000000"/>
          <w:sz w:val="22"/>
        </w:rPr>
        <w:t>Table S24b. Token-Matched and Parameter-Matched Order Control (MIMIC-IV ≈12–24-Hour Mortality)</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67B1F" w14:paraId="6142E0DA" w14:textId="77777777">
        <w:trPr>
          <w:jc w:val="center"/>
          <w:cantSplit/>
          <w:tblHeader/>
        </w:trPr>
        <w:tc>
          <w:tcPr>
            <w:tcW w:w="2138" w:type="dxa"/>
            <w:vAlign w:val="center"/>
            <w:shd w:fill="E7E7E7"/>
          </w:tcPr>
          <w:p w14:paraId="422D16F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rPr>
              <w:t>Variant</w:t>
            </w:r>
          </w:p>
        </w:tc>
        <w:tc>
          <w:tcPr>
            <w:tcW w:w="2138" w:type="dxa"/>
            <w:vAlign w:val="center"/>
            <w:shd w:fill="E7E7E7"/>
          </w:tcPr>
          <w:p w14:paraId="56D75B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Attention tokens</w:t>
            </w:r>
          </w:p>
        </w:tc>
        <w:tc>
          <w:tcPr>
            <w:tcW w:w="2138" w:type="dxa"/>
            <w:vAlign w:val="center"/>
            <w:shd w:fill="E7E7E7"/>
          </w:tcPr>
          <w:p w14:paraId="1ED745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AUROC</w:t>
            </w:r>
          </w:p>
        </w:tc>
        <w:tc>
          <w:tcPr>
            <w:tcW w:w="2138" w:type="dxa"/>
            <w:vAlign w:val="center"/>
            <w:shd w:fill="E7E7E7"/>
          </w:tcPr>
          <w:p w14:paraId="4386FC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AUPRC</w:t>
            </w:r>
          </w:p>
        </w:tc>
        <w:tc>
          <w:tcPr>
            <w:tcW w:w="2138" w:type="dxa"/>
            <w:vAlign w:val="center"/>
            <w:shd w:fill="E7E7E7"/>
          </w:tcPr>
          <w:p w14:paraId="2C81BF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ΔAUPRC vs full (95% CI)</w:t>
            </w:r>
          </w:p>
        </w:tc>
        <w:tc>
          <w:tcPr>
            <w:tcW w:w="2138" w:type="dxa"/>
            <w:vAlign w:val="center"/>
            <w:shd w:fill="E7E7E7"/>
          </w:tcPr>
          <w:p w14:paraId="088FB30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P</w:t>
            </w:r>
          </w:p>
        </w:tc>
        <w:tc>
          <w:tcPr>
            <w:tcW w:w="2138" w:type="dxa"/>
            <w:vAlign w:val="center"/>
            <w:shd w:fill="E7E7E7"/>
          </w:tcPr>
          <w:p w14:paraId="0BD40EA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Parameters (AUPRC SD)</w:t>
            </w:r>
          </w:p>
        </w:tc>
      </w:tr>
      <w:tr w:rsidR="00067B1F" w14:paraId="6142E0DA" w14:textId="77777777">
        <w:trPr>
          <w:jc w:val="center"/>
          <w:cantSplit/>
        </w:trPr>
        <w:tc>
          <w:tcPr>
            <w:tcW w:w="2138" w:type="dxa"/>
            <w:vAlign w:val="center"/>
            <w:shd w:fill="FFFFFF"/>
          </w:tcPr>
          <w:p w14:paraId="422D16F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Full PatchFusion (local→global)</w:t>
            </w:r>
          </w:p>
        </w:tc>
        <w:tc>
          <w:tcPr>
            <w:tcW w:w="2138" w:type="dxa"/>
            <w:vAlign w:val="center"/>
            <w:shd w:fill="FFFFFF"/>
          </w:tcPr>
          <w:p w14:paraId="56D75B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3</w:t>
            </w:r>
          </w:p>
        </w:tc>
        <w:tc>
          <w:tcPr>
            <w:tcW w:w="2138" w:type="dxa"/>
            <w:vAlign w:val="center"/>
            <w:shd w:fill="FFFFFF"/>
          </w:tcPr>
          <w:p w14:paraId="1ED745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0.978</w:t>
            </w:r>
          </w:p>
        </w:tc>
        <w:tc>
          <w:tcPr>
            <w:tcW w:w="2138" w:type="dxa"/>
            <w:vAlign w:val="center"/>
            <w:shd w:fill="FFFFFF"/>
          </w:tcPr>
          <w:p w14:paraId="4386FC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0.578</w:t>
            </w:r>
          </w:p>
        </w:tc>
        <w:tc>
          <w:tcPr>
            <w:tcW w:w="2138" w:type="dxa"/>
            <w:vAlign w:val="center"/>
            <w:shd w:fill="FFFFFF"/>
          </w:tcPr>
          <w:p w14:paraId="2C81BF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w:t>
            </w:r>
          </w:p>
        </w:tc>
        <w:tc>
          <w:tcPr>
            <w:tcW w:w="2138" w:type="dxa"/>
            <w:vAlign w:val="center"/>
            <w:shd w:fill="FFFFFF"/>
          </w:tcPr>
          <w:p w14:paraId="088FB30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w:t>
            </w:r>
          </w:p>
        </w:tc>
        <w:tc>
          <w:tcPr>
            <w:tcW w:w="2138" w:type="dxa"/>
            <w:vAlign w:val="center"/>
            <w:shd w:fill="FFFFFF"/>
          </w:tcPr>
          <w:p w14:paraId="0BD40EA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1,844,505 (0.004)</w:t>
            </w:r>
          </w:p>
        </w:tc>
      </w:tr>
      <w:tr w:rsidR="00067B1F" w14:paraId="6142E0DA" w14:textId="77777777">
        <w:trPr>
          <w:jc w:val="center"/>
          <w:cantSplit/>
        </w:trPr>
        <w:tc>
          <w:tcPr>
            <w:tcW w:w="2138" w:type="dxa"/>
            <w:vAlign w:val="center"/>
            <w:shd w:fill="FFFFFF"/>
          </w:tcPr>
          <w:p w14:paraId="422D16F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Order-reversed (parameter-matched; 12-token attention; Table S24)</w:t>
            </w:r>
          </w:p>
        </w:tc>
        <w:tc>
          <w:tcPr>
            <w:tcW w:w="2138" w:type="dxa"/>
            <w:vAlign w:val="center"/>
            <w:shd w:fill="FFFFFF"/>
          </w:tcPr>
          <w:p w14:paraId="56D75B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12</w:t>
            </w:r>
          </w:p>
        </w:tc>
        <w:tc>
          <w:tcPr>
            <w:tcW w:w="2138" w:type="dxa"/>
            <w:vAlign w:val="center"/>
            <w:shd w:fill="FFFFFF"/>
          </w:tcPr>
          <w:p w14:paraId="1ED745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0.970</w:t>
            </w:r>
          </w:p>
        </w:tc>
        <w:tc>
          <w:tcPr>
            <w:tcW w:w="2138" w:type="dxa"/>
            <w:vAlign w:val="center"/>
            <w:shd w:fill="FFFFFF"/>
          </w:tcPr>
          <w:p w14:paraId="4386FC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0.518</w:t>
            </w:r>
          </w:p>
        </w:tc>
        <w:tc>
          <w:tcPr>
            <w:tcW w:w="2138" w:type="dxa"/>
            <w:vAlign w:val="center"/>
            <w:shd w:fill="FFFFFF"/>
          </w:tcPr>
          <w:p w14:paraId="2C81BF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−0.060 (−0.072 to −0.039)</w:t>
            </w:r>
          </w:p>
        </w:tc>
        <w:tc>
          <w:tcPr>
            <w:tcW w:w="2138" w:type="dxa"/>
            <w:vAlign w:val="center"/>
            <w:shd w:fill="FFFFFF"/>
          </w:tcPr>
          <w:p w14:paraId="088FB30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&lt;0.001</w:t>
            </w:r>
          </w:p>
        </w:tc>
        <w:tc>
          <w:tcPr>
            <w:tcW w:w="2138" w:type="dxa"/>
            <w:vAlign w:val="center"/>
            <w:shd w:fill="FFFFFF"/>
          </w:tcPr>
          <w:p w14:paraId="0BD40EA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1,844,505 (SD not reported)</w:t>
            </w:r>
          </w:p>
        </w:tc>
      </w:tr>
      <w:tr w:rsidR="00067B1F" w14:paraId="6142E0DA" w14:textId="77777777">
        <w:trPr>
          <w:jc w:val="center"/>
          <w:cantSplit/>
        </w:trPr>
        <w:tc>
          <w:tcPr>
            <w:tcW w:w="2138" w:type="dxa"/>
            <w:vAlign w:val="center"/>
            <w:shd w:fill="FFFFFF"/>
          </w:tcPr>
          <w:p w14:paraId="422D16F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Order-reversed (token-matched + parameter-matched)</w:t>
            </w:r>
          </w:p>
        </w:tc>
        <w:tc>
          <w:tcPr>
            <w:tcW w:w="2138" w:type="dxa"/>
            <w:vAlign w:val="center"/>
            <w:shd w:fill="FFFFFF"/>
          </w:tcPr>
          <w:p w14:paraId="56D75B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3</w:t>
            </w:r>
          </w:p>
        </w:tc>
        <w:tc>
          <w:tcPr>
            <w:tcW w:w="2138" w:type="dxa"/>
            <w:vAlign w:val="center"/>
            <w:shd w:fill="FFFFFF"/>
          </w:tcPr>
          <w:p w14:paraId="1ED745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0.973</w:t>
            </w:r>
          </w:p>
        </w:tc>
        <w:tc>
          <w:tcPr>
            <w:tcW w:w="2138" w:type="dxa"/>
            <w:vAlign w:val="center"/>
            <w:shd w:fill="FFFFFF"/>
          </w:tcPr>
          <w:p w14:paraId="4386FC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0.525</w:t>
            </w:r>
          </w:p>
        </w:tc>
        <w:tc>
          <w:tcPr>
            <w:tcW w:w="2138" w:type="dxa"/>
            <w:vAlign w:val="center"/>
            <w:shd w:fill="FFFFFF"/>
          </w:tcPr>
          <w:p w14:paraId="2C81BF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−0.053 (−0.071 to −0.036)</w:t>
            </w:r>
          </w:p>
        </w:tc>
        <w:tc>
          <w:tcPr>
            <w:tcW w:w="2138" w:type="dxa"/>
            <w:vAlign w:val="center"/>
            <w:shd w:fill="FFFFFF"/>
          </w:tcPr>
          <w:p w14:paraId="088FB30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&lt;0.001</w:t>
            </w:r>
          </w:p>
        </w:tc>
        <w:tc>
          <w:tcPr>
            <w:tcW w:w="2138" w:type="dxa"/>
            <w:vAlign w:val="center"/>
            <w:shd w:fill="FFFFFF"/>
          </w:tcPr>
          <w:p w14:paraId="0BD40EA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1,844,505 (SD not reported)</w:t>
            </w:r>
          </w:p>
        </w:tc>
      </w:tr>
    </w:tbl>
    <w:p w14:paraId="6781B4EE"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Compute (Table S25): NVIDIA L40S with the same throughput protocol as Table S21. The reported milliseconds per stay equal batch forward-pass wall-clock time divided by 300 and do not represent batch-1 latency.</w:t>
      </w:r>
    </w:p>
    <w:p w14:paraId="7606F15D"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lastRenderedPageBreak/>
        <w:t>Table S22. Extended Comparator Performance on MIMIC-IV (≈12–24-Hour Mortality)</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67B1F" w14:paraId="1126328C" w14:textId="77777777">
        <w:trPr>
          <w:jc w:val="center"/>
          <w:cantSplit/>
          <w:tblHeader/>
        </w:trPr>
        <w:tc>
          <w:tcPr>
            <w:tcW w:w="2138" w:type="dxa"/>
            <w:vAlign w:val="center"/>
            <w:shd w:fill="E7E7E7"/>
          </w:tcPr>
          <w:p w14:paraId="03667400"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Model</w:t>
            </w:r>
          </w:p>
        </w:tc>
        <w:tc>
          <w:tcPr>
            <w:tcW w:w="2138" w:type="dxa"/>
            <w:vAlign w:val="center"/>
            <w:shd w:fill="E7E7E7"/>
          </w:tcPr>
          <w:p w14:paraId="0C7CD72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AUROC (95% CI)</w:t>
            </w:r>
          </w:p>
        </w:tc>
        <w:tc>
          <w:tcPr>
            <w:tcW w:w="2138" w:type="dxa"/>
            <w:vAlign w:val="center"/>
            <w:shd w:fill="E7E7E7"/>
          </w:tcPr>
          <w:p w14:paraId="2C57B58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AUPRC (95% CI)</w:t>
            </w:r>
          </w:p>
        </w:tc>
        <w:tc>
          <w:tcPr>
            <w:tcW w:w="2138" w:type="dxa"/>
            <w:vAlign w:val="center"/>
            <w:shd w:fill="E7E7E7"/>
          </w:tcPr>
          <w:p w14:paraId="3BDB261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ΔAUPRC vs PatchFusion (95% CI)</w:t>
            </w:r>
          </w:p>
        </w:tc>
        <w:tc>
          <w:tcPr>
            <w:tcW w:w="2138" w:type="dxa"/>
            <w:vAlign w:val="center"/>
            <w:shd w:fill="E7E7E7"/>
          </w:tcPr>
          <w:p w14:paraId="615180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w:t>
            </w:r>
          </w:p>
        </w:tc>
        <w:tc>
          <w:tcPr>
            <w:tcW w:w="2138" w:type="dxa"/>
            <w:vAlign w:val="center"/>
            <w:shd w:fill="E7E7E7"/>
          </w:tcPr>
          <w:p w14:paraId="0EAEF1D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AUROC mean ± SD</w:t>
            </w:r>
          </w:p>
        </w:tc>
        <w:tc>
          <w:tcPr>
            <w:tcW w:w="2138" w:type="dxa"/>
            <w:vAlign w:val="center"/>
            <w:shd w:fill="E7E7E7"/>
          </w:tcPr>
          <w:p w14:paraId="687FFD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AUPRC mean ± SD</w:t>
            </w:r>
          </w:p>
        </w:tc>
      </w:tr>
      <w:tr w:rsidR="00067B1F" w14:paraId="58F95234" w14:textId="77777777">
        <w:trPr>
          <w:jc w:val="center"/>
          <w:cantSplit/>
        </w:trPr>
        <w:tc>
          <w:tcPr>
            <w:tcW w:w="2138" w:type="dxa"/>
            <w:vAlign w:val="center"/>
            <w:shd w:fill="FFFFFF"/>
          </w:tcPr>
          <w:p w14:paraId="016DCCB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PatchFusion (proposed)</w:t>
            </w:r>
          </w:p>
        </w:tc>
        <w:tc>
          <w:tcPr>
            <w:tcW w:w="2138" w:type="dxa"/>
            <w:vAlign w:val="center"/>
            <w:shd w:fill="FFFFFF"/>
          </w:tcPr>
          <w:p w14:paraId="6C53A0F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0.978 (0.965–0.989)</w:t>
            </w:r>
          </w:p>
        </w:tc>
        <w:tc>
          <w:tcPr>
            <w:tcW w:w="2138" w:type="dxa"/>
            <w:vAlign w:val="center"/>
            <w:shd w:fill="FFFFFF"/>
          </w:tcPr>
          <w:p w14:paraId="5F52C95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0.578 (0.524–0.630)</w:t>
            </w:r>
          </w:p>
        </w:tc>
        <w:tc>
          <w:tcPr>
            <w:tcW w:w="2138" w:type="dxa"/>
            <w:vAlign w:val="center"/>
            <w:shd w:fill="FFFFFF"/>
          </w:tcPr>
          <w:p w14:paraId="0603216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4124CCC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3BD1954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0.978 ± 0.002</w:t>
            </w:r>
          </w:p>
        </w:tc>
        <w:tc>
          <w:tcPr>
            <w:tcW w:w="2138" w:type="dxa"/>
            <w:vAlign w:val="center"/>
            <w:shd w:fill="FFFFFF"/>
          </w:tcPr>
          <w:p w14:paraId="7258EFE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0.576 ± 0.004</w:t>
            </w:r>
          </w:p>
        </w:tc>
      </w:tr>
      <w:tr w:rsidR="00067B1F" w14:paraId="43AB4685" w14:textId="77777777">
        <w:trPr>
          <w:jc w:val="center"/>
          <w:cantSplit/>
        </w:trPr>
        <w:tc>
          <w:tcPr>
            <w:tcW w:w="2138" w:type="dxa"/>
            <w:vAlign w:val="center"/>
            <w:shd w:fill="FFFFFF"/>
          </w:tcPr>
          <w:p w14:paraId="6FD37F83"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PatchTST</w:t>
            </w:r>
          </w:p>
        </w:tc>
        <w:tc>
          <w:tcPr>
            <w:tcW w:w="2138" w:type="dxa"/>
            <w:vAlign w:val="center"/>
            <w:shd w:fill="FFFFFF"/>
          </w:tcPr>
          <w:p w14:paraId="1FCFB0A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0.962 (0.944–0.976)</w:t>
            </w:r>
          </w:p>
        </w:tc>
        <w:tc>
          <w:tcPr>
            <w:tcW w:w="2138" w:type="dxa"/>
            <w:vAlign w:val="center"/>
            <w:shd w:fill="FFFFFF"/>
          </w:tcPr>
          <w:p w14:paraId="7DB8343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0.461 (0.408 to 0.512)</w:t>
            </w:r>
          </w:p>
        </w:tc>
        <w:tc>
          <w:tcPr>
            <w:tcW w:w="2138" w:type="dxa"/>
            <w:vAlign w:val="center"/>
            <w:shd w:fill="FFFFFF"/>
          </w:tcPr>
          <w:p w14:paraId="1EB7AAA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−0.117 (−0.162 to −0.074)</w:t>
            </w:r>
          </w:p>
        </w:tc>
        <w:tc>
          <w:tcPr>
            <w:tcW w:w="2138" w:type="dxa"/>
            <w:vAlign w:val="center"/>
            <w:shd w:fill="FFFFFF"/>
          </w:tcPr>
          <w:p w14:paraId="071B650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c>
          <w:tcPr>
            <w:tcW w:w="2138" w:type="dxa"/>
            <w:vAlign w:val="center"/>
            <w:shd w:fill="FFFFFF"/>
          </w:tcPr>
          <w:p w14:paraId="40FF572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0.962 ± 0.004</w:t>
            </w:r>
          </w:p>
        </w:tc>
        <w:tc>
          <w:tcPr>
            <w:tcW w:w="2138" w:type="dxa"/>
            <w:vAlign w:val="center"/>
            <w:shd w:fill="FFFFFF"/>
          </w:tcPr>
          <w:p w14:paraId="1EBFEB1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0.461 ± 0.006</w:t>
            </w:r>
          </w:p>
        </w:tc>
      </w:tr>
      <w:tr w:rsidR="00067B1F" w14:paraId="577571C4" w14:textId="77777777">
        <w:trPr>
          <w:jc w:val="center"/>
          <w:cantSplit/>
        </w:trPr>
        <w:tc>
          <w:tcPr>
            <w:tcW w:w="2138" w:type="dxa"/>
            <w:vAlign w:val="center"/>
            <w:shd w:fill="FFFFFF"/>
          </w:tcPr>
          <w:p w14:paraId="1CBD42BF"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Raindrop</w:t>
            </w:r>
          </w:p>
        </w:tc>
        <w:tc>
          <w:tcPr>
            <w:tcW w:w="2138" w:type="dxa"/>
            <w:vAlign w:val="center"/>
            <w:shd w:fill="FFFFFF"/>
          </w:tcPr>
          <w:p w14:paraId="23B6587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0.954 (0.936–0.968)</w:t>
            </w:r>
          </w:p>
        </w:tc>
        <w:tc>
          <w:tcPr>
            <w:tcW w:w="2138" w:type="dxa"/>
            <w:vAlign w:val="center"/>
            <w:shd w:fill="FFFFFF"/>
          </w:tcPr>
          <w:p w14:paraId="256D17E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0.491 (0.438–0.542)</w:t>
            </w:r>
          </w:p>
        </w:tc>
        <w:tc>
          <w:tcPr>
            <w:tcW w:w="2138" w:type="dxa"/>
            <w:vAlign w:val="center"/>
            <w:shd w:fill="FFFFFF"/>
          </w:tcPr>
          <w:p w14:paraId="653B2C7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−0.087 (−0.128 to −0.048)</w:t>
            </w:r>
          </w:p>
        </w:tc>
        <w:tc>
          <w:tcPr>
            <w:tcW w:w="2138" w:type="dxa"/>
            <w:vAlign w:val="center"/>
            <w:shd w:fill="FFFFFF"/>
          </w:tcPr>
          <w:p w14:paraId="2A24F35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c>
          <w:tcPr>
            <w:tcW w:w="2138" w:type="dxa"/>
            <w:vAlign w:val="center"/>
            <w:shd w:fill="FFFFFF"/>
          </w:tcPr>
          <w:p w14:paraId="6698605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0.954 ± 0.005</w:t>
            </w:r>
          </w:p>
        </w:tc>
        <w:tc>
          <w:tcPr>
            <w:tcW w:w="2138" w:type="dxa"/>
            <w:vAlign w:val="center"/>
            <w:shd w:fill="FFFFFF"/>
          </w:tcPr>
          <w:p w14:paraId="7EB3EC1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0.491 ± 0.007</w:t>
            </w:r>
          </w:p>
        </w:tc>
      </w:tr>
      <w:tr w:rsidR="00067B1F" w14:paraId="32DEBC61" w14:textId="77777777">
        <w:trPr>
          <w:jc w:val="center"/>
          <w:cantSplit/>
        </w:trPr>
        <w:tc>
          <w:tcPr>
            <w:tcW w:w="2138" w:type="dxa"/>
            <w:vAlign w:val="center"/>
            <w:shd w:fill="FFFFFF"/>
          </w:tcPr>
          <w:p w14:paraId="4F9A619D"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GRU-D</w:t>
            </w:r>
          </w:p>
        </w:tc>
        <w:tc>
          <w:tcPr>
            <w:tcW w:w="2138" w:type="dxa"/>
            <w:vAlign w:val="center"/>
            <w:shd w:fill="FFFFFF"/>
          </w:tcPr>
          <w:p w14:paraId="709FB61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0.941 (0.918–0.961)</w:t>
            </w:r>
          </w:p>
        </w:tc>
        <w:tc>
          <w:tcPr>
            <w:tcW w:w="2138" w:type="dxa"/>
            <w:vAlign w:val="center"/>
            <w:shd w:fill="FFFFFF"/>
          </w:tcPr>
          <w:p w14:paraId="3A18E24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0.461 (0.408–0.512)</w:t>
            </w:r>
          </w:p>
        </w:tc>
        <w:tc>
          <w:tcPr>
            <w:tcW w:w="2138" w:type="dxa"/>
            <w:vAlign w:val="center"/>
            <w:shd w:fill="FFFFFF"/>
          </w:tcPr>
          <w:p w14:paraId="67AD7C8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−0.117 (−0.162 to −0.074)</w:t>
            </w:r>
          </w:p>
        </w:tc>
        <w:tc>
          <w:tcPr>
            <w:tcW w:w="2138" w:type="dxa"/>
            <w:vAlign w:val="center"/>
            <w:shd w:fill="FFFFFF"/>
          </w:tcPr>
          <w:p w14:paraId="058E625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c>
          <w:tcPr>
            <w:tcW w:w="2138" w:type="dxa"/>
            <w:vAlign w:val="center"/>
            <w:shd w:fill="FFFFFF"/>
          </w:tcPr>
          <w:p w14:paraId="425F78A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0.941 ± 0.005</w:t>
            </w:r>
          </w:p>
        </w:tc>
        <w:tc>
          <w:tcPr>
            <w:tcW w:w="2138" w:type="dxa"/>
            <w:vAlign w:val="center"/>
            <w:shd w:fill="FFFFFF"/>
          </w:tcPr>
          <w:p w14:paraId="63A4585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0.461 ± 0.006</w:t>
            </w:r>
          </w:p>
        </w:tc>
      </w:tr>
      <w:tr w:rsidR="00067B1F" w14:paraId="66BD9412" w14:textId="77777777">
        <w:trPr>
          <w:jc w:val="center"/>
          <w:cantSplit/>
        </w:trPr>
        <w:tc>
          <w:tcPr>
            <w:tcW w:w="2138" w:type="dxa"/>
            <w:vAlign w:val="center"/>
            <w:shd w:fill="FFFFFF"/>
          </w:tcPr>
          <w:p w14:paraId="25EDB1D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LightGBM</w:t>
            </w:r>
          </w:p>
        </w:tc>
        <w:tc>
          <w:tcPr>
            <w:tcW w:w="2138" w:type="dxa"/>
            <w:vAlign w:val="center"/>
            <w:shd w:fill="FFFFFF"/>
          </w:tcPr>
          <w:p w14:paraId="2ACCBF2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0.924 (0.898–0.946)</w:t>
            </w:r>
          </w:p>
        </w:tc>
        <w:tc>
          <w:tcPr>
            <w:tcW w:w="2138" w:type="dxa"/>
            <w:vAlign w:val="center"/>
            <w:shd w:fill="FFFFFF"/>
          </w:tcPr>
          <w:p w14:paraId="0BCE158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0.419 (0.362–0.474)</w:t>
            </w:r>
          </w:p>
        </w:tc>
        <w:tc>
          <w:tcPr>
            <w:tcW w:w="2138" w:type="dxa"/>
            <w:vAlign w:val="center"/>
            <w:shd w:fill="FFFFFF"/>
          </w:tcPr>
          <w:p w14:paraId="7C1CDE7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−0.159 (−0.208 to −0.112)</w:t>
            </w:r>
          </w:p>
        </w:tc>
        <w:tc>
          <w:tcPr>
            <w:tcW w:w="2138" w:type="dxa"/>
            <w:vAlign w:val="center"/>
            <w:shd w:fill="FFFFFF"/>
          </w:tcPr>
          <w:p w14:paraId="7A906AA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c>
          <w:tcPr>
            <w:tcW w:w="2138" w:type="dxa"/>
            <w:vAlign w:val="center"/>
            <w:shd w:fill="FFFFFF"/>
          </w:tcPr>
          <w:p w14:paraId="1159661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0.924 ± 0.003</w:t>
            </w:r>
          </w:p>
        </w:tc>
        <w:tc>
          <w:tcPr>
            <w:tcW w:w="2138" w:type="dxa"/>
            <w:vAlign w:val="center"/>
            <w:shd w:fill="FFFFFF"/>
          </w:tcPr>
          <w:p w14:paraId="2DAD26F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0.419 ± 0.005</w:t>
            </w:r>
          </w:p>
        </w:tc>
      </w:tr>
      <w:tr w:rsidR="00067B1F" w14:paraId="5D3D41E8" w14:textId="77777777">
        <w:trPr>
          <w:jc w:val="center"/>
          <w:cantSplit/>
        </w:trPr>
        <w:tc>
          <w:tcPr>
            <w:tcW w:w="2138" w:type="dxa"/>
            <w:vAlign w:val="center"/>
            <w:shd w:fill="FFFFFF"/>
          </w:tcPr>
          <w:p w14:paraId="11E6606A"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Hi-Patch common-input adaptation</w:t>
            </w:r>
          </w:p>
        </w:tc>
        <w:tc>
          <w:tcPr>
            <w:tcW w:w="2138" w:type="dxa"/>
            <w:vAlign w:val="center"/>
            <w:shd w:fill="FFFFFF"/>
          </w:tcPr>
          <w:p w14:paraId="4E0D8F3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0.966 (0.948–0.980)</w:t>
            </w:r>
          </w:p>
        </w:tc>
        <w:tc>
          <w:tcPr>
            <w:tcW w:w="2138" w:type="dxa"/>
            <w:vAlign w:val="center"/>
            <w:shd w:fill="FFFFFF"/>
          </w:tcPr>
          <w:p w14:paraId="793CCAA2"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0.486 (0.434 to 0.538)</w:t>
            </w:r>
          </w:p>
        </w:tc>
        <w:tc>
          <w:tcPr>
            <w:tcW w:w="2138" w:type="dxa"/>
            <w:vAlign w:val="center"/>
            <w:shd w:fill="FFFFFF"/>
          </w:tcPr>
          <w:p w14:paraId="2C36A0E3"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−0.092 (−0.133 to −0.051)</w:t>
            </w:r>
          </w:p>
        </w:tc>
        <w:tc>
          <w:tcPr>
            <w:tcW w:w="2138" w:type="dxa"/>
            <w:vAlign w:val="center"/>
            <w:shd w:fill="FFFFFF"/>
          </w:tcPr>
          <w:p w14:paraId="46C6FDDB"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&lt;0.001</w:t>
            </w:r>
          </w:p>
        </w:tc>
        <w:tc>
          <w:tcPr>
            <w:tcW w:w="2138" w:type="dxa"/>
            <w:vAlign w:val="center"/>
            <w:shd w:fill="FFFFFF"/>
          </w:tcPr>
          <w:p w14:paraId="5B0588C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0.966 ± 0.004</w:t>
            </w:r>
          </w:p>
        </w:tc>
        <w:tc>
          <w:tcPr>
            <w:tcW w:w="2138" w:type="dxa"/>
            <w:vAlign w:val="center"/>
            <w:shd w:fill="FFFFFF"/>
          </w:tcPr>
          <w:p w14:paraId="7E5D52C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0.486 ± 0.005</w:t>
            </w:r>
          </w:p>
        </w:tc>
      </w:tr>
      <w:tr w:rsidR="00067B1F" w14:paraId="4EE3EE17" w14:textId="77777777">
        <w:trPr>
          <w:jc w:val="center"/>
          <w:cantSplit/>
        </w:trPr>
        <w:tc>
          <w:tcPr>
            <w:tcW w:w="2138" w:type="dxa"/>
            <w:vAlign w:val="center"/>
            <w:shd w:fill="FFFFFF"/>
          </w:tcPr>
          <w:p w14:paraId="1216422B"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LGTRL-DE common-input adaptation</w:t>
            </w:r>
          </w:p>
        </w:tc>
        <w:tc>
          <w:tcPr>
            <w:tcW w:w="2138" w:type="dxa"/>
            <w:vAlign w:val="center"/>
            <w:shd w:fill="FFFFFF"/>
          </w:tcPr>
          <w:p w14:paraId="7AF519C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0.964 (0.946–0.978)</w:t>
            </w:r>
          </w:p>
        </w:tc>
        <w:tc>
          <w:tcPr>
            <w:tcW w:w="2138" w:type="dxa"/>
            <w:vAlign w:val="center"/>
            <w:shd w:fill="FFFFFF"/>
          </w:tcPr>
          <w:p w14:paraId="27EABCF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0.489 (0.437 to 0.541)</w:t>
            </w:r>
          </w:p>
        </w:tc>
        <w:tc>
          <w:tcPr>
            <w:tcW w:w="2138" w:type="dxa"/>
            <w:vAlign w:val="center"/>
            <w:shd w:fill="FFFFFF"/>
          </w:tcPr>
          <w:p w14:paraId="735F0E5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−0.089 (−0.129 to −0.049)</w:t>
            </w:r>
          </w:p>
        </w:tc>
        <w:tc>
          <w:tcPr>
            <w:tcW w:w="2138" w:type="dxa"/>
            <w:vAlign w:val="center"/>
            <w:shd w:fill="FFFFFF"/>
          </w:tcPr>
          <w:p w14:paraId="20B6009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&lt;0.001</w:t>
            </w:r>
          </w:p>
        </w:tc>
        <w:tc>
          <w:tcPr>
            <w:tcW w:w="2138" w:type="dxa"/>
            <w:vAlign w:val="center"/>
            <w:shd w:fill="FFFFFF"/>
          </w:tcPr>
          <w:p w14:paraId="01406FC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0.964 ± 0.005</w:t>
            </w:r>
          </w:p>
        </w:tc>
        <w:tc>
          <w:tcPr>
            <w:tcW w:w="2138" w:type="dxa"/>
            <w:vAlign w:val="center"/>
            <w:shd w:fill="FFFFFF"/>
          </w:tcPr>
          <w:p w14:paraId="200DDCF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0.489 ± 0.006</w:t>
            </w:r>
          </w:p>
        </w:tc>
      </w:tr>
    </w:tbl>
    <w:p w14:paraId="1931CA54"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S23. Frozen eICU-CRD Transport of Extended Comparators (≈12–24-Hour Mortality)</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78"/>
        <w:gridCol w:w="2087"/>
        <w:gridCol w:w="1439"/>
        <w:gridCol w:w="3166"/>
        <w:gridCol w:w="1007"/>
        <w:gridCol w:w="4389"/>
      </w:tblGrid>
      <w:tr w:rsidR="00067B1F" w14:paraId="08397B1B" w14:textId="77777777">
        <w:trPr>
          <w:jc w:val="center"/>
          <w:cantSplit/>
          <w:tblHeader/>
        </w:trPr>
        <w:tc>
          <w:tcPr>
            <w:tcW w:w="2878" w:type="dxa"/>
            <w:vAlign w:val="center"/>
            <w:shd w:fill="E7E7E7"/>
          </w:tcPr>
          <w:p w14:paraId="262BABD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Model</w:t>
            </w:r>
          </w:p>
        </w:tc>
        <w:tc>
          <w:tcPr>
            <w:tcW w:w="2087" w:type="dxa"/>
            <w:vAlign w:val="center"/>
            <w:shd w:fill="E7E7E7"/>
          </w:tcPr>
          <w:p w14:paraId="746C413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AUROC</w:t>
            </w:r>
          </w:p>
        </w:tc>
        <w:tc>
          <w:tcPr>
            <w:tcW w:w="1439" w:type="dxa"/>
            <w:vAlign w:val="center"/>
            <w:shd w:fill="E7E7E7"/>
          </w:tcPr>
          <w:p w14:paraId="780E498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AUPRC</w:t>
            </w:r>
          </w:p>
        </w:tc>
        <w:tc>
          <w:tcPr>
            <w:tcW w:w="3166" w:type="dxa"/>
            <w:vAlign w:val="center"/>
            <w:shd w:fill="E7E7E7"/>
          </w:tcPr>
          <w:p w14:paraId="5727673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ΔAUPRC vs PatchFusion (95% CI)</w:t>
            </w:r>
          </w:p>
        </w:tc>
        <w:tc>
          <w:tcPr>
            <w:tcW w:w="1007" w:type="dxa"/>
            <w:vAlign w:val="center"/>
            <w:shd w:fill="E7E7E7"/>
          </w:tcPr>
          <w:p w14:paraId="1DB01C4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w:t>
            </w:r>
          </w:p>
        </w:tc>
        <w:tc>
          <w:tcPr>
            <w:tcW w:w="4389" w:type="dxa"/>
            <w:vAlign w:val="cente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5-seed ΔAUPRC mean ± SD; direction</w:t>
            </w:r>
          </w:p>
        </w:tc>
      </w:tr>
      <w:tr w:rsidR="00067B1F" w14:paraId="7B1C1925" w14:textId="77777777">
        <w:trPr>
          <w:jc w:val="center"/>
          <w:cantSplit/>
        </w:trPr>
        <w:tc>
          <w:tcPr>
            <w:tcW w:w="2878" w:type="dxa"/>
            <w:vAlign w:val="center"/>
            <w:shd w:fill="FFFFFF"/>
          </w:tcPr>
          <w:p w14:paraId="20346DD6"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PatchFusion</w:t>
            </w:r>
          </w:p>
        </w:tc>
        <w:tc>
          <w:tcPr>
            <w:tcW w:w="2087" w:type="dxa"/>
            <w:vAlign w:val="center"/>
            <w:shd w:fill="FFFFFF"/>
          </w:tcPr>
          <w:p w14:paraId="166678F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0.951</w:t>
            </w:r>
          </w:p>
        </w:tc>
        <w:tc>
          <w:tcPr>
            <w:tcW w:w="1439" w:type="dxa"/>
            <w:vAlign w:val="center"/>
            <w:shd w:fill="FFFFFF"/>
          </w:tcPr>
          <w:p w14:paraId="743B8DD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0.354</w:t>
            </w:r>
          </w:p>
        </w:tc>
        <w:tc>
          <w:tcPr>
            <w:tcW w:w="3166" w:type="dxa"/>
            <w:vAlign w:val="center"/>
            <w:shd w:fill="FFFFFF"/>
          </w:tcPr>
          <w:p w14:paraId="2BBD89D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1007" w:type="dxa"/>
            <w:vAlign w:val="center"/>
            <w:shd w:fill="FFFFFF"/>
          </w:tcPr>
          <w:p w14:paraId="215CAB1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4389" w:type="dxa"/>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Reference (fixed checkpoint)</w:t>
            </w:r>
          </w:p>
        </w:tc>
      </w:tr>
      <w:tr w:rsidR="00067B1F" w14:paraId="65D75E91" w14:textId="77777777">
        <w:trPr>
          <w:jc w:val="center"/>
          <w:cantSplit/>
        </w:trPr>
        <w:tc>
          <w:tcPr>
            <w:tcW w:w="2878" w:type="dxa"/>
            <w:vAlign w:val="center"/>
            <w:shd w:fill="FFFFFF"/>
          </w:tcPr>
          <w:p w14:paraId="7FFD9C72"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PatchTST</w:t>
            </w:r>
          </w:p>
        </w:tc>
        <w:tc>
          <w:tcPr>
            <w:tcW w:w="2087" w:type="dxa"/>
            <w:vAlign w:val="center"/>
            <w:shd w:fill="FFFFFF"/>
          </w:tcPr>
          <w:p w14:paraId="3F67B2E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0.938</w:t>
            </w:r>
          </w:p>
        </w:tc>
        <w:tc>
          <w:tcPr>
            <w:tcW w:w="1439" w:type="dxa"/>
            <w:vAlign w:val="center"/>
            <w:shd w:fill="FFFFFF"/>
          </w:tcPr>
          <w:p w14:paraId="0848357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0.298</w:t>
            </w:r>
          </w:p>
        </w:tc>
        <w:tc>
          <w:tcPr>
            <w:tcW w:w="3166" w:type="dxa"/>
            <w:vAlign w:val="center"/>
            <w:shd w:fill="FFFFFF"/>
          </w:tcPr>
          <w:p w14:paraId="5539053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−0.056 (−0.081 to −0.032)</w:t>
            </w:r>
          </w:p>
        </w:tc>
        <w:tc>
          <w:tcPr>
            <w:tcW w:w="1007" w:type="dxa"/>
            <w:vAlign w:val="center"/>
            <w:shd w:fill="FFFFFF"/>
          </w:tcPr>
          <w:p w14:paraId="078A75D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c>
          <w:tcPr>
            <w:tcW w:w="4389" w:type="dxa"/>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−0.056 ± 0.005; 5/5</w:t>
            </w:r>
          </w:p>
        </w:tc>
      </w:tr>
      <w:tr w:rsidR="00067B1F" w14:paraId="635655FC" w14:textId="77777777">
        <w:trPr>
          <w:jc w:val="center"/>
          <w:cantSplit/>
        </w:trPr>
        <w:tc>
          <w:tcPr>
            <w:tcW w:w="2878" w:type="dxa"/>
            <w:vAlign w:val="center"/>
            <w:shd w:fill="FFFFFF"/>
          </w:tcPr>
          <w:p w14:paraId="1253D9FD"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Raindrop</w:t>
            </w:r>
          </w:p>
        </w:tc>
        <w:tc>
          <w:tcPr>
            <w:tcW w:w="2087" w:type="dxa"/>
            <w:vAlign w:val="center"/>
            <w:shd w:fill="FFFFFF"/>
          </w:tcPr>
          <w:p w14:paraId="35DE754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0.931</w:t>
            </w:r>
          </w:p>
        </w:tc>
        <w:tc>
          <w:tcPr>
            <w:tcW w:w="1439" w:type="dxa"/>
            <w:vAlign w:val="center"/>
            <w:shd w:fill="FFFFFF"/>
          </w:tcPr>
          <w:p w14:paraId="32472C9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0.312</w:t>
            </w:r>
          </w:p>
        </w:tc>
        <w:tc>
          <w:tcPr>
            <w:tcW w:w="3166" w:type="dxa"/>
            <w:vAlign w:val="center"/>
            <w:shd w:fill="FFFFFF"/>
          </w:tcPr>
          <w:p w14:paraId="6F86955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−0.042 (−0.068 to −0.018)</w:t>
            </w:r>
          </w:p>
        </w:tc>
        <w:tc>
          <w:tcPr>
            <w:tcW w:w="1007" w:type="dxa"/>
            <w:vAlign w:val="center"/>
            <w:shd w:fill="FFFFFF"/>
          </w:tcPr>
          <w:p w14:paraId="191C077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0.003</w:t>
            </w:r>
          </w:p>
        </w:tc>
        <w:tc>
          <w:tcPr>
            <w:tcW w:w="4389" w:type="dxa"/>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Not reported</w:t>
            </w:r>
          </w:p>
        </w:tc>
      </w:tr>
      <w:tr w:rsidR="00067B1F" w14:paraId="7D947A57" w14:textId="77777777">
        <w:trPr>
          <w:jc w:val="center"/>
          <w:cantSplit/>
        </w:trPr>
        <w:tc>
          <w:tcPr>
            <w:tcW w:w="2878" w:type="dxa"/>
            <w:vAlign w:val="center"/>
            <w:shd w:fill="FFFFFF"/>
          </w:tcPr>
          <w:p w14:paraId="022D9FE2"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GRU-D</w:t>
            </w:r>
          </w:p>
        </w:tc>
        <w:tc>
          <w:tcPr>
            <w:tcW w:w="2087" w:type="dxa"/>
            <w:vAlign w:val="center"/>
            <w:shd w:fill="FFFFFF"/>
          </w:tcPr>
          <w:p w14:paraId="2B5B53D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0.918</w:t>
            </w:r>
          </w:p>
        </w:tc>
        <w:tc>
          <w:tcPr>
            <w:tcW w:w="1439" w:type="dxa"/>
            <w:vAlign w:val="center"/>
            <w:shd w:fill="FFFFFF"/>
          </w:tcPr>
          <w:p w14:paraId="69ABC4B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0.298</w:t>
            </w:r>
          </w:p>
        </w:tc>
        <w:tc>
          <w:tcPr>
            <w:tcW w:w="3166" w:type="dxa"/>
            <w:vAlign w:val="center"/>
            <w:shd w:fill="FFFFFF"/>
          </w:tcPr>
          <w:p w14:paraId="7DA72D2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−0.056 (−0.081 to −0.032)</w:t>
            </w:r>
          </w:p>
        </w:tc>
        <w:tc>
          <w:tcPr>
            <w:tcW w:w="1007" w:type="dxa"/>
            <w:vAlign w:val="center"/>
            <w:shd w:fill="FFFFFF"/>
          </w:tcPr>
          <w:p w14:paraId="117CD8C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c>
          <w:tcPr>
            <w:tcW w:w="4389" w:type="dxa"/>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Not reported</w:t>
            </w:r>
          </w:p>
        </w:tc>
      </w:tr>
      <w:tr w:rsidR="00067B1F" w14:paraId="04BF3171" w14:textId="77777777">
        <w:trPr>
          <w:jc w:val="center"/>
          <w:cantSplit/>
        </w:trPr>
        <w:tc>
          <w:tcPr>
            <w:tcW w:w="2878" w:type="dxa"/>
            <w:vAlign w:val="center"/>
            <w:shd w:fill="FFFFFF"/>
          </w:tcPr>
          <w:p w14:paraId="44266313"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LightGBM</w:t>
            </w:r>
          </w:p>
        </w:tc>
        <w:tc>
          <w:tcPr>
            <w:tcW w:w="2087" w:type="dxa"/>
            <w:vAlign w:val="center"/>
            <w:shd w:fill="FFFFFF"/>
          </w:tcPr>
          <w:p w14:paraId="0FB3B95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0.902</w:t>
            </w:r>
          </w:p>
        </w:tc>
        <w:tc>
          <w:tcPr>
            <w:tcW w:w="1439" w:type="dxa"/>
            <w:vAlign w:val="center"/>
            <w:shd w:fill="FFFFFF"/>
          </w:tcPr>
          <w:p w14:paraId="7CD994C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0.276</w:t>
            </w:r>
          </w:p>
        </w:tc>
        <w:tc>
          <w:tcPr>
            <w:tcW w:w="3166" w:type="dxa"/>
            <w:vAlign w:val="center"/>
            <w:shd w:fill="FFFFFF"/>
          </w:tcPr>
          <w:p w14:paraId="422E225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−0.078 (−0.106 to −0.051)</w:t>
            </w:r>
          </w:p>
        </w:tc>
        <w:tc>
          <w:tcPr>
            <w:tcW w:w="1007" w:type="dxa"/>
            <w:vAlign w:val="center"/>
            <w:shd w:fill="FFFFFF"/>
          </w:tcPr>
          <w:p w14:paraId="7EE7268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c>
          <w:tcPr>
            <w:tcW w:w="4389" w:type="dxa"/>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Not reported</w:t>
            </w:r>
          </w:p>
        </w:tc>
      </w:tr>
      <w:tr w:rsidR="00067B1F" w14:paraId="170B420B" w14:textId="77777777">
        <w:trPr>
          <w:jc w:val="center"/>
          <w:cantSplit/>
        </w:trPr>
        <w:tc>
          <w:tcPr>
            <w:tcW w:w="2878" w:type="dxa"/>
            <w:vAlign w:val="center"/>
            <w:shd w:fill="FFFFFF"/>
          </w:tcPr>
          <w:p w14:paraId="35D86856"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Hi-Patch common-input adaptation</w:t>
            </w:r>
          </w:p>
        </w:tc>
        <w:tc>
          <w:tcPr>
            <w:tcW w:w="2087" w:type="dxa"/>
            <w:vAlign w:val="center"/>
            <w:shd w:fill="FFFFFF"/>
          </w:tcPr>
          <w:p w14:paraId="4A276C2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0.941</w:t>
            </w:r>
          </w:p>
        </w:tc>
        <w:tc>
          <w:tcPr>
            <w:tcW w:w="1439" w:type="dxa"/>
            <w:vAlign w:val="center"/>
            <w:shd w:fill="FFFFFF"/>
          </w:tcPr>
          <w:p w14:paraId="656C135D"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0.296</w:t>
            </w:r>
          </w:p>
        </w:tc>
        <w:tc>
          <w:tcPr>
            <w:tcW w:w="3166" w:type="dxa"/>
            <w:vAlign w:val="center"/>
            <w:shd w:fill="FFFFFF"/>
          </w:tcPr>
          <w:p w14:paraId="7E2FCDC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−0.058 (−0.084 to −0.032)</w:t>
            </w:r>
          </w:p>
        </w:tc>
        <w:tc>
          <w:tcPr>
            <w:tcW w:w="1007" w:type="dxa"/>
            <w:vAlign w:val="center"/>
            <w:shd w:fill="FFFFFF"/>
          </w:tcPr>
          <w:p w14:paraId="0AF5E97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&lt;0.001</w:t>
            </w:r>
          </w:p>
        </w:tc>
        <w:tc>
          <w:tcPr>
            <w:tcW w:w="4389" w:type="dxa"/>
            <w:vAlign w:val="center"/>
            <w:shd w:fill="FFFFFF"/>
          </w:tcPr>
          <w:p>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rPr>
              <w:t>−0.058 ± 0.005; 5/5</w:t>
            </w:r>
          </w:p>
        </w:tc>
      </w:tr>
      <w:tr w:rsidR="00067B1F" w14:paraId="4EEDC88F" w14:textId="77777777">
        <w:trPr>
          <w:jc w:val="center"/>
          <w:cantSplit/>
        </w:trPr>
        <w:tc>
          <w:tcPr>
            <w:tcW w:w="2878" w:type="dxa"/>
            <w:vAlign w:val="center"/>
            <w:shd w:fill="FFFFFF"/>
          </w:tcPr>
          <w:p w14:paraId="25F16D79"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LGTRL-DE common-input adaptation</w:t>
            </w:r>
          </w:p>
        </w:tc>
        <w:tc>
          <w:tcPr>
            <w:tcW w:w="2087" w:type="dxa"/>
            <w:vAlign w:val="center"/>
            <w:shd w:fill="FFFFFF"/>
          </w:tcPr>
          <w:p w14:paraId="3A018DC1"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0.936</w:t>
            </w:r>
          </w:p>
        </w:tc>
        <w:tc>
          <w:tcPr>
            <w:tcW w:w="1439" w:type="dxa"/>
            <w:vAlign w:val="center"/>
            <w:shd w:fill="FFFFFF"/>
          </w:tcPr>
          <w:p w14:paraId="68A7F3F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0.301</w:t>
            </w:r>
          </w:p>
        </w:tc>
        <w:tc>
          <w:tcPr>
            <w:tcW w:w="3166" w:type="dxa"/>
            <w:vAlign w:val="center"/>
            <w:shd w:fill="FFFFFF"/>
          </w:tcPr>
          <w:p w14:paraId="0E461B54"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−0.053 (−0.078 to −0.028)</w:t>
            </w:r>
          </w:p>
        </w:tc>
        <w:tc>
          <w:tcPr>
            <w:tcW w:w="1007" w:type="dxa"/>
            <w:vAlign w:val="center"/>
            <w:shd w:fill="FFFFFF"/>
          </w:tcPr>
          <w:p w14:paraId="3293108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&lt;0.001</w:t>
            </w:r>
          </w:p>
        </w:tc>
        <w:tc>
          <w:tcPr>
            <w:tcW w:w="4389" w:type="dxa"/>
            <w:vAlign w:val="center"/>
            <w:shd w:fill="FFFFFF"/>
          </w:tcPr>
          <w:p>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rPr>
              <w:t>−0.053 ± 0.005; 5/5</w:t>
            </w:r>
          </w:p>
        </w:tc>
      </w:tr>
      <w:tr w:rsidR="00067B1F" w14:paraId="6FCC47EE" w14:textId="77777777">
        <w:trPr>
          <w:jc w:val="center"/>
          <w:cantSplit/>
        </w:trPr>
        <w:tc>
          <w:tcPr>
            <w:tcW w:w="2878" w:type="dxa"/>
            <w:vAlign w:val="center"/>
            <w:shd w:fill="FFFFFF"/>
          </w:tcPr>
          <w:p w14:paraId="1333F4A9"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Order-reversed global→local control</w:t>
            </w:r>
          </w:p>
        </w:tc>
        <w:tc>
          <w:tcPr>
            <w:tcW w:w="2087" w:type="dxa"/>
            <w:vAlign w:val="center"/>
            <w:shd w:fill="FFFFFF"/>
          </w:tcPr>
          <w:p w14:paraId="4B3DC1A6"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0.944</w:t>
            </w:r>
          </w:p>
        </w:tc>
        <w:tc>
          <w:tcPr>
            <w:tcW w:w="1439" w:type="dxa"/>
            <w:vAlign w:val="center"/>
            <w:shd w:fill="FFFFFF"/>
          </w:tcPr>
          <w:p w14:paraId="1B3AD75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0.310</w:t>
            </w:r>
          </w:p>
        </w:tc>
        <w:tc>
          <w:tcPr>
            <w:tcW w:w="3166" w:type="dxa"/>
            <w:vAlign w:val="center"/>
            <w:shd w:fill="FFFFFF"/>
          </w:tcPr>
          <w:p w14:paraId="3B6517B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−0.044 (−0.069 to −0.041)</w:t>
            </w:r>
          </w:p>
        </w:tc>
        <w:tc>
          <w:tcPr>
            <w:tcW w:w="1007" w:type="dxa"/>
            <w:vAlign w:val="center"/>
            <w:shd w:fill="FFFFFF"/>
          </w:tcPr>
          <w:p w14:paraId="304C0799"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&lt;0.001</w:t>
            </w:r>
          </w:p>
        </w:tc>
        <w:tc>
          <w:tcPr>
            <w:tcW w:w="4389" w:type="dxa"/>
            <w:vAlign w:val="center"/>
            <w:shd w:fill="FFFFFF"/>
          </w:tcPr>
          <w:p>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rPr>
              <w:t>Not reported</w:t>
            </w:r>
          </w:p>
        </w:tc>
      </w:tr>
    </w:tbl>
    <w:p w14:paraId="0AF05D04"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S24. One-at-a-Time Ablation of PatchFusion (MIMIC-IV ≈12–24-Hour Mortality)</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67B1F" w14:paraId="6142E0DA" w14:textId="77777777">
        <w:trPr>
          <w:jc w:val="center"/>
          <w:cantSplit/>
          <w:tblHeader/>
        </w:trPr>
        <w:tc>
          <w:tcPr>
            <w:tcW w:w="2138" w:type="dxa"/>
            <w:vAlign w:val="center"/>
            <w:shd w:fill="E7E7E7"/>
          </w:tcPr>
          <w:p w14:paraId="422D16F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Variant</w:t>
            </w:r>
          </w:p>
        </w:tc>
        <w:tc>
          <w:tcPr>
            <w:tcW w:w="2138" w:type="dxa"/>
            <w:vAlign w:val="center"/>
            <w:shd w:fill="E7E7E7"/>
          </w:tcPr>
          <w:p w14:paraId="56D75B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AUROC</w:t>
            </w:r>
          </w:p>
        </w:tc>
        <w:tc>
          <w:tcPr>
            <w:tcW w:w="2138" w:type="dxa"/>
            <w:vAlign w:val="center"/>
            <w:shd w:fill="E7E7E7"/>
          </w:tcPr>
          <w:p w14:paraId="1ED745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AUPRC</w:t>
            </w:r>
          </w:p>
        </w:tc>
        <w:tc>
          <w:tcPr>
            <w:tcW w:w="2138" w:type="dxa"/>
            <w:vAlign w:val="center"/>
            <w:shd w:fill="E7E7E7"/>
          </w:tcPr>
          <w:p w14:paraId="4386FC1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ΔAUPRC vs full (95% CI)</w:t>
            </w:r>
          </w:p>
        </w:tc>
        <w:tc>
          <w:tcPr>
            <w:tcW w:w="2138" w:type="dxa"/>
            <w:vAlign w:val="center"/>
            <w:shd w:fill="E7E7E7"/>
          </w:tcPr>
          <w:p w14:paraId="2C81BF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w:t>
            </w:r>
          </w:p>
        </w:tc>
        <w:tc>
          <w:tcPr>
            <w:tcW w:w="2138" w:type="dxa"/>
            <w:vAlign w:val="center"/>
            <w:shd w:fill="E7E7E7"/>
          </w:tcPr>
          <w:p w14:paraId="088FB30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Trainable parameters (exact)</w:t>
            </w:r>
          </w:p>
        </w:tc>
        <w:tc>
          <w:tcPr>
            <w:tcW w:w="2138" w:type="dxa"/>
            <w:vAlign w:val="center"/>
            <w:shd w:fill="E7E7E7"/>
          </w:tcPr>
          <w:p w14:paraId="0BD40EA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AUPRC SD (5 seeds)</w:t>
            </w:r>
          </w:p>
        </w:tc>
      </w:tr>
      <w:tr w:rsidR="00067B1F" w14:paraId="0978109D" w14:textId="77777777">
        <w:trPr>
          <w:jc w:val="center"/>
          <w:cantSplit/>
        </w:trPr>
        <w:tc>
          <w:tcPr>
            <w:tcW w:w="2138" w:type="dxa"/>
            <w:vAlign w:val="center"/>
            <w:shd w:fill="FFFFFF"/>
          </w:tcPr>
          <w:p w14:paraId="5DB8F046"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Full PatchFusion</w:t>
            </w:r>
          </w:p>
        </w:tc>
        <w:tc>
          <w:tcPr>
            <w:tcW w:w="2138" w:type="dxa"/>
            <w:vAlign w:val="center"/>
            <w:shd w:fill="FFFFFF"/>
          </w:tcPr>
          <w:p w14:paraId="1AE6888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0.978</w:t>
            </w:r>
          </w:p>
        </w:tc>
        <w:tc>
          <w:tcPr>
            <w:tcW w:w="2138" w:type="dxa"/>
            <w:vAlign w:val="center"/>
            <w:shd w:fill="FFFFFF"/>
          </w:tcPr>
          <w:p w14:paraId="1911118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0.578</w:t>
            </w:r>
          </w:p>
        </w:tc>
        <w:tc>
          <w:tcPr>
            <w:tcW w:w="2138" w:type="dxa"/>
            <w:vAlign w:val="center"/>
            <w:shd w:fill="FFFFFF"/>
          </w:tcPr>
          <w:p w14:paraId="3EDABB3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684C1B6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4AC3CE4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1,844,505</w:t>
            </w:r>
          </w:p>
        </w:tc>
        <w:tc>
          <w:tcPr>
            <w:tcW w:w="2138" w:type="dxa"/>
            <w:vAlign w:val="center"/>
            <w:shd w:fill="FFFFFF"/>
          </w:tcPr>
          <w:p w14:paraId="54CE4D4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0.004</w:t>
            </w:r>
          </w:p>
        </w:tc>
      </w:tr>
      <w:tr w:rsidR="00067B1F" w14:paraId="0A9624BD" w14:textId="77777777">
        <w:trPr>
          <w:jc w:val="center"/>
          <w:cantSplit/>
        </w:trPr>
        <w:tc>
          <w:tcPr>
            <w:tcW w:w="2138" w:type="dxa"/>
            <w:vAlign w:val="center"/>
            <w:shd w:fill="FFFFFF"/>
          </w:tcPr>
          <w:p w14:paraId="5E220CC2"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 overlapping patches (non-overlapping segmentation)</w:t>
            </w:r>
          </w:p>
        </w:tc>
        <w:tc>
          <w:tcPr>
            <w:tcW w:w="2138" w:type="dxa"/>
            <w:vAlign w:val="center"/>
            <w:shd w:fill="FFFFFF"/>
          </w:tcPr>
          <w:p w14:paraId="5B50516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0.961</w:t>
            </w:r>
          </w:p>
        </w:tc>
        <w:tc>
          <w:tcPr>
            <w:tcW w:w="2138" w:type="dxa"/>
            <w:vAlign w:val="center"/>
            <w:shd w:fill="FFFFFF"/>
          </w:tcPr>
          <w:p w14:paraId="334EED7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0.524</w:t>
            </w:r>
          </w:p>
        </w:tc>
        <w:tc>
          <w:tcPr>
            <w:tcW w:w="2138" w:type="dxa"/>
            <w:vAlign w:val="center"/>
            <w:shd w:fill="FFFFFF"/>
          </w:tcPr>
          <w:p w14:paraId="75F82E3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−0.054 (−0.092 to −0.018)</w:t>
            </w:r>
          </w:p>
        </w:tc>
        <w:tc>
          <w:tcPr>
            <w:tcW w:w="2138" w:type="dxa"/>
            <w:vAlign w:val="center"/>
            <w:shd w:fill="FFFFFF"/>
          </w:tcPr>
          <w:p w14:paraId="4D12D5B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0.003</w:t>
            </w:r>
          </w:p>
        </w:tc>
        <w:tc>
          <w:tcPr>
            <w:tcW w:w="2138" w:type="dxa"/>
            <w:vAlign w:val="center"/>
            <w:shd w:fill="FFFFFF"/>
          </w:tcPr>
          <w:p w14:paraId="669DBB8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1,844,505</w:t>
            </w:r>
          </w:p>
        </w:tc>
        <w:tc>
          <w:tcPr>
            <w:tcW w:w="2138" w:type="dxa"/>
            <w:vAlign w:val="center"/>
            <w:shd w:fill="FFFFFF"/>
          </w:tcPr>
          <w:p w14:paraId="4C30E38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0.005</w:t>
            </w:r>
          </w:p>
        </w:tc>
      </w:tr>
      <w:tr w:rsidR="00067B1F" w14:paraId="67F7A120" w14:textId="77777777">
        <w:trPr>
          <w:jc w:val="center"/>
          <w:cantSplit/>
        </w:trPr>
        <w:tc>
          <w:tcPr>
            <w:tcW w:w="2138" w:type="dxa"/>
            <w:vAlign w:val="center"/>
            <w:shd w:fill="FFFFFF"/>
          </w:tcPr>
          <w:p w14:paraId="3D0C26F3"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 BiLSTM (unidirectional LSTM encoder)</w:t>
            </w:r>
          </w:p>
        </w:tc>
        <w:tc>
          <w:tcPr>
            <w:tcW w:w="2138" w:type="dxa"/>
            <w:vAlign w:val="center"/>
            <w:shd w:fill="FFFFFF"/>
          </w:tcPr>
          <w:p w14:paraId="163F0C4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0.968</w:t>
            </w:r>
          </w:p>
        </w:tc>
        <w:tc>
          <w:tcPr>
            <w:tcW w:w="2138" w:type="dxa"/>
            <w:vAlign w:val="center"/>
            <w:shd w:fill="FFFFFF"/>
          </w:tcPr>
          <w:p w14:paraId="0BC6A4A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0.541</w:t>
            </w:r>
          </w:p>
        </w:tc>
        <w:tc>
          <w:tcPr>
            <w:tcW w:w="2138" w:type="dxa"/>
            <w:vAlign w:val="center"/>
            <w:shd w:fill="FFFFFF"/>
          </w:tcPr>
          <w:p w14:paraId="5EA7A8F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−0.037 (−0.071 to −0.006)</w:t>
            </w:r>
          </w:p>
        </w:tc>
        <w:tc>
          <w:tcPr>
            <w:tcW w:w="2138" w:type="dxa"/>
            <w:vAlign w:val="center"/>
            <w:shd w:fill="FFFFFF"/>
          </w:tcPr>
          <w:p w14:paraId="6109965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0.021</w:t>
            </w:r>
          </w:p>
        </w:tc>
        <w:tc>
          <w:tcPr>
            <w:tcW w:w="2138" w:type="dxa"/>
            <w:vAlign w:val="center"/>
            <w:shd w:fill="FFFFFF"/>
          </w:tcPr>
          <w:p w14:paraId="47DA8C6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1,458,189</w:t>
            </w:r>
          </w:p>
        </w:tc>
        <w:tc>
          <w:tcPr>
            <w:tcW w:w="2138" w:type="dxa"/>
            <w:vAlign w:val="center"/>
            <w:shd w:fill="FFFFFF"/>
          </w:tcPr>
          <w:p w14:paraId="2649601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0.004</w:t>
            </w:r>
          </w:p>
        </w:tc>
      </w:tr>
      <w:tr w:rsidR="00067B1F" w14:paraId="0048B71B" w14:textId="77777777">
        <w:trPr>
          <w:jc w:val="center"/>
          <w:cantSplit/>
        </w:trPr>
        <w:tc>
          <w:tcPr>
            <w:tcW w:w="2138" w:type="dxa"/>
            <w:vAlign w:val="center"/>
            <w:shd w:fill="FFFFFF"/>
          </w:tcPr>
          <w:p w14:paraId="21ED3BDE"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 RoPE</w:t>
            </w:r>
          </w:p>
        </w:tc>
        <w:tc>
          <w:tcPr>
            <w:tcW w:w="2138" w:type="dxa"/>
            <w:vAlign w:val="center"/>
            <w:shd w:fill="FFFFFF"/>
          </w:tcPr>
          <w:p w14:paraId="251E751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0.972</w:t>
            </w:r>
          </w:p>
        </w:tc>
        <w:tc>
          <w:tcPr>
            <w:tcW w:w="2138" w:type="dxa"/>
            <w:vAlign w:val="center"/>
            <w:shd w:fill="FFFFFF"/>
          </w:tcPr>
          <w:p w14:paraId="1C7DB03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0.551</w:t>
            </w:r>
          </w:p>
        </w:tc>
        <w:tc>
          <w:tcPr>
            <w:tcW w:w="2138" w:type="dxa"/>
            <w:vAlign w:val="center"/>
            <w:shd w:fill="FFFFFF"/>
          </w:tcPr>
          <w:p w14:paraId="1CDF14A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−0.027 (−0.052 to −0.004)</w:t>
            </w:r>
          </w:p>
        </w:tc>
        <w:tc>
          <w:tcPr>
            <w:tcW w:w="2138" w:type="dxa"/>
            <w:vAlign w:val="center"/>
            <w:shd w:fill="FFFFFF"/>
          </w:tcPr>
          <w:p w14:paraId="352884F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0.018</w:t>
            </w:r>
          </w:p>
        </w:tc>
        <w:tc>
          <w:tcPr>
            <w:tcW w:w="2138" w:type="dxa"/>
            <w:vAlign w:val="center"/>
            <w:shd w:fill="FFFFFF"/>
          </w:tcPr>
          <w:p w14:paraId="6E80DA7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1,844,505</w:t>
            </w:r>
          </w:p>
        </w:tc>
        <w:tc>
          <w:tcPr>
            <w:tcW w:w="2138" w:type="dxa"/>
            <w:vAlign w:val="center"/>
            <w:shd w:fill="FFFFFF"/>
          </w:tcPr>
          <w:p w14:paraId="60498A3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0.004</w:t>
            </w:r>
          </w:p>
        </w:tc>
      </w:tr>
      <w:tr w:rsidR="00067B1F" w14:paraId="49860E0C" w14:textId="77777777">
        <w:trPr>
          <w:jc w:val="center"/>
          <w:cantSplit/>
        </w:trPr>
        <w:tc>
          <w:tcPr>
            <w:tcW w:w="2138" w:type="dxa"/>
            <w:vAlign w:val="center"/>
            <w:shd w:fill="FFFFFF"/>
          </w:tcPr>
          <w:p w14:paraId="00A526B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lastRenderedPageBreak/>
              <w:t>− Transformer/global attention</w:t>
            </w:r>
          </w:p>
        </w:tc>
        <w:tc>
          <w:tcPr>
            <w:tcW w:w="2138" w:type="dxa"/>
            <w:vAlign w:val="center"/>
            <w:shd w:fill="FFFFFF"/>
          </w:tcPr>
          <w:p w14:paraId="5ACB95F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0.958</w:t>
            </w:r>
          </w:p>
        </w:tc>
        <w:tc>
          <w:tcPr>
            <w:tcW w:w="2138" w:type="dxa"/>
            <w:vAlign w:val="center"/>
            <w:shd w:fill="FFFFFF"/>
          </w:tcPr>
          <w:p w14:paraId="4F444E1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0.518</w:t>
            </w:r>
          </w:p>
        </w:tc>
        <w:tc>
          <w:tcPr>
            <w:tcW w:w="2138" w:type="dxa"/>
            <w:vAlign w:val="center"/>
            <w:shd w:fill="FFFFFF"/>
          </w:tcPr>
          <w:p w14:paraId="0A75109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−0.060 (−0.098 to −0.024)</w:t>
            </w:r>
          </w:p>
        </w:tc>
        <w:tc>
          <w:tcPr>
            <w:tcW w:w="2138" w:type="dxa"/>
            <w:vAlign w:val="center"/>
            <w:shd w:fill="FFFFFF"/>
          </w:tcPr>
          <w:p w14:paraId="48094B5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0.002</w:t>
            </w:r>
          </w:p>
        </w:tc>
        <w:tc>
          <w:tcPr>
            <w:tcW w:w="2138" w:type="dxa"/>
            <w:vAlign w:val="center"/>
            <w:shd w:fill="FFFFFF"/>
          </w:tcPr>
          <w:p w14:paraId="279C191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790,297</w:t>
            </w:r>
          </w:p>
        </w:tc>
        <w:tc>
          <w:tcPr>
            <w:tcW w:w="2138" w:type="dxa"/>
            <w:vAlign w:val="center"/>
            <w:shd w:fill="FFFFFF"/>
          </w:tcPr>
          <w:p w14:paraId="2A7AF14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0.006</w:t>
            </w:r>
          </w:p>
        </w:tc>
      </w:tr>
      <w:tr w:rsidR="00067B1F" w14:paraId="1DFD2BE7" w14:textId="77777777">
        <w:trPr>
          <w:jc w:val="center"/>
          <w:cantSplit/>
        </w:trPr>
        <w:tc>
          <w:tcPr>
            <w:tcW w:w="2138" w:type="dxa"/>
            <w:vAlign w:val="center"/>
            <w:shd w:fill="FFFFFF"/>
          </w:tcPr>
          <w:p w14:paraId="36D5CE7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 temporal deltas</w:t>
            </w:r>
          </w:p>
        </w:tc>
        <w:tc>
          <w:tcPr>
            <w:tcW w:w="2138" w:type="dxa"/>
            <w:vAlign w:val="center"/>
            <w:shd w:fill="FFFFFF"/>
          </w:tcPr>
          <w:p w14:paraId="435F22A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0.964</w:t>
            </w:r>
          </w:p>
        </w:tc>
        <w:tc>
          <w:tcPr>
            <w:tcW w:w="2138" w:type="dxa"/>
            <w:vAlign w:val="center"/>
            <w:shd w:fill="FFFFFF"/>
          </w:tcPr>
          <w:p w14:paraId="33C0E53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0.532</w:t>
            </w:r>
          </w:p>
        </w:tc>
        <w:tc>
          <w:tcPr>
            <w:tcW w:w="2138" w:type="dxa"/>
            <w:vAlign w:val="center"/>
            <w:shd w:fill="FFFFFF"/>
          </w:tcPr>
          <w:p w14:paraId="0A27321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−0.046 (−0.081 to −0.013)</w:t>
            </w:r>
          </w:p>
        </w:tc>
        <w:tc>
          <w:tcPr>
            <w:tcW w:w="2138" w:type="dxa"/>
            <w:vAlign w:val="center"/>
            <w:shd w:fill="FFFFFF"/>
          </w:tcPr>
          <w:p w14:paraId="1CB8BF5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0.007</w:t>
            </w:r>
          </w:p>
        </w:tc>
        <w:tc>
          <w:tcPr>
            <w:tcW w:w="2138" w:type="dxa"/>
            <w:vAlign w:val="center"/>
            <w:shd w:fill="FFFFFF"/>
          </w:tcPr>
          <w:p w14:paraId="7692696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1,838,873</w:t>
            </w:r>
          </w:p>
        </w:tc>
        <w:tc>
          <w:tcPr>
            <w:tcW w:w="2138" w:type="dxa"/>
            <w:vAlign w:val="center"/>
            <w:shd w:fill="FFFFFF"/>
          </w:tcPr>
          <w:p w14:paraId="69E1FEE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0.005</w:t>
            </w:r>
          </w:p>
        </w:tc>
      </w:tr>
      <w:tr w:rsidR="00067B1F" w14:paraId="65FB563D" w14:textId="77777777">
        <w:trPr>
          <w:jc w:val="center"/>
          <w:cantSplit/>
        </w:trPr>
        <w:tc>
          <w:tcPr>
            <w:tcW w:w="2138" w:type="dxa"/>
            <w:vAlign w:val="center"/>
            <w:shd w:fill="FFFFFF"/>
          </w:tcPr>
          <w:p w14:paraId="148A0F0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 observation masks</w:t>
            </w:r>
          </w:p>
        </w:tc>
        <w:tc>
          <w:tcPr>
            <w:tcW w:w="2138" w:type="dxa"/>
            <w:vAlign w:val="center"/>
            <w:shd w:fill="FFFFFF"/>
          </w:tcPr>
          <w:p w14:paraId="0F6FCF7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0.951</w:t>
            </w:r>
          </w:p>
        </w:tc>
        <w:tc>
          <w:tcPr>
            <w:tcW w:w="2138" w:type="dxa"/>
            <w:vAlign w:val="center"/>
            <w:shd w:fill="FFFFFF"/>
          </w:tcPr>
          <w:p w14:paraId="4F770A7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0.498</w:t>
            </w:r>
          </w:p>
        </w:tc>
        <w:tc>
          <w:tcPr>
            <w:tcW w:w="2138" w:type="dxa"/>
            <w:vAlign w:val="center"/>
            <w:shd w:fill="FFFFFF"/>
          </w:tcPr>
          <w:p w14:paraId="24D8F88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−0.080 (−0.121 to −0.041)</w:t>
            </w:r>
          </w:p>
        </w:tc>
        <w:tc>
          <w:tcPr>
            <w:tcW w:w="2138" w:type="dxa"/>
            <w:vAlign w:val="center"/>
            <w:shd w:fill="FFFFFF"/>
          </w:tcPr>
          <w:p w14:paraId="32C24A1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c>
          <w:tcPr>
            <w:tcW w:w="2138" w:type="dxa"/>
            <w:vAlign w:val="center"/>
            <w:shd w:fill="FFFFFF"/>
          </w:tcPr>
          <w:p w14:paraId="62A0933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1,838,873</w:t>
            </w:r>
          </w:p>
        </w:tc>
        <w:tc>
          <w:tcPr>
            <w:tcW w:w="2138" w:type="dxa"/>
            <w:vAlign w:val="center"/>
            <w:shd w:fill="FFFFFF"/>
          </w:tcPr>
          <w:p w14:paraId="453D914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0.006</w:t>
            </w:r>
          </w:p>
        </w:tc>
      </w:tr>
      <w:tr w:rsidR="00067B1F" w14:paraId="18E3F58D" w14:textId="77777777">
        <w:trPr>
          <w:jc w:val="center"/>
          <w:cantSplit/>
        </w:trPr>
        <w:tc>
          <w:tcPr>
            <w:tcW w:w="2138" w:type="dxa"/>
            <w:vAlign w:val="center"/>
            <w:shd w:fill="FFFFFF"/>
          </w:tcPr>
          <w:p w14:paraId="76284F41"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Near-parameter-matched MLP control (+0.30%)</w:t>
            </w:r>
          </w:p>
        </w:tc>
        <w:tc>
          <w:tcPr>
            <w:tcW w:w="2138" w:type="dxa"/>
            <w:vAlign w:val="center"/>
            <w:shd w:fill="FFFFFF"/>
          </w:tcPr>
          <w:p w14:paraId="03755C7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0.918</w:t>
            </w:r>
          </w:p>
        </w:tc>
        <w:tc>
          <w:tcPr>
            <w:tcW w:w="2138" w:type="dxa"/>
            <w:vAlign w:val="center"/>
            <w:shd w:fill="FFFFFF"/>
          </w:tcPr>
          <w:p w14:paraId="4867F6D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0.412</w:t>
            </w:r>
          </w:p>
        </w:tc>
        <w:tc>
          <w:tcPr>
            <w:tcW w:w="2138" w:type="dxa"/>
            <w:vAlign w:val="center"/>
            <w:shd w:fill="FFFFFF"/>
          </w:tcPr>
          <w:p w14:paraId="5775CB9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−0.166 (−0.218 to −0.116)</w:t>
            </w:r>
          </w:p>
        </w:tc>
        <w:tc>
          <w:tcPr>
            <w:tcW w:w="2138" w:type="dxa"/>
            <w:vAlign w:val="center"/>
            <w:shd w:fill="FFFFFF"/>
          </w:tcPr>
          <w:p w14:paraId="5D0FEA6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c>
          <w:tcPr>
            <w:tcW w:w="2138" w:type="dxa"/>
            <w:vAlign w:val="center"/>
            <w:shd w:fill="FFFFFF"/>
          </w:tcPr>
          <w:p w14:paraId="46A0FC2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1,850,000</w:t>
            </w:r>
          </w:p>
        </w:tc>
        <w:tc>
          <w:tcPr>
            <w:tcW w:w="2138" w:type="dxa"/>
            <w:vAlign w:val="center"/>
            <w:shd w:fill="FFFFFF"/>
          </w:tcPr>
          <w:p w14:paraId="28F6A35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0.007</w:t>
            </w:r>
          </w:p>
        </w:tc>
      </w:tr>
      <w:tr w:rsidR="00067B1F" w14:paraId="6191AE7B" w14:textId="77777777">
        <w:trPr>
          <w:jc w:val="center"/>
          <w:cantSplit/>
        </w:trPr>
        <w:tc>
          <w:tcPr>
            <w:tcW w:w="2138" w:type="dxa"/>
            <w:vAlign w:val="center"/>
            <w:shd w:fill="FFFFFF"/>
          </w:tcPr>
          <w:p w14:paraId="7C4FF29E"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Order-reversed global→local control</w:t>
            </w:r>
          </w:p>
        </w:tc>
        <w:tc>
          <w:tcPr>
            <w:tcW w:w="2138" w:type="dxa"/>
            <w:vAlign w:val="center"/>
            <w:shd w:fill="FFFFFF"/>
          </w:tcPr>
          <w:p w14:paraId="221B93C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0.970</w:t>
            </w:r>
          </w:p>
        </w:tc>
        <w:tc>
          <w:tcPr>
            <w:tcW w:w="2138" w:type="dxa"/>
            <w:vAlign w:val="center"/>
            <w:shd w:fill="FFFFFF"/>
          </w:tcPr>
          <w:p w14:paraId="1701273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0.518</w:t>
            </w:r>
          </w:p>
        </w:tc>
        <w:tc>
          <w:tcPr>
            <w:tcW w:w="2138" w:type="dxa"/>
            <w:vAlign w:val="center"/>
            <w:shd w:fill="FFFFFF"/>
          </w:tcPr>
          <w:p w14:paraId="224A2E5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−0.060 (−0.072 to −0.039)</w:t>
            </w:r>
          </w:p>
        </w:tc>
        <w:tc>
          <w:tcPr>
            <w:tcW w:w="2138" w:type="dxa"/>
            <w:vAlign w:val="center"/>
            <w:shd w:fill="FFFFFF"/>
          </w:tcPr>
          <w:p w14:paraId="12E18745"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&lt;0.001</w:t>
            </w:r>
          </w:p>
        </w:tc>
        <w:tc>
          <w:tcPr>
            <w:tcW w:w="2138" w:type="dxa"/>
            <w:vAlign w:val="center"/>
            <w:shd w:fill="FFFFFF"/>
          </w:tcPr>
          <w:p w14:paraId="710F219A"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1,844,505</w:t>
            </w:r>
          </w:p>
        </w:tc>
        <w:tc>
          <w:tcPr>
            <w:tcW w:w="2138" w:type="dxa"/>
            <w:vAlign w:val="center"/>
            <w:shd w:fill="FFFFFF"/>
          </w:tcPr>
          <w:p w14:paraId="6C891258"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Not reported</w:t>
            </w:r>
          </w:p>
        </w:tc>
      </w:tr>
    </w:tbl>
    <w:p w14:paraId="2CDF8FE8"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S25. Model Size and Computational Burden (Extended Comparators)</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741"/>
        <w:gridCol w:w="3741"/>
        <w:gridCol w:w="3742"/>
        <w:gridCol w:w="3742"/>
      </w:tblGrid>
      <w:tr w:rsidR="00067B1F" w14:paraId="2AEF215B" w14:textId="77777777">
        <w:trPr>
          <w:jc w:val="center"/>
          <w:cantSplit/>
          <w:tblHeader/>
        </w:trPr>
        <w:tc>
          <w:tcPr>
            <w:tcW w:w="3741" w:type="dxa"/>
            <w:vAlign w:val="center"/>
            <w:shd w:fill="E7E7E7"/>
          </w:tcPr>
          <w:p w14:paraId="17A08E5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Model</w:t>
            </w:r>
          </w:p>
        </w:tc>
        <w:tc>
          <w:tcPr>
            <w:tcW w:w="3741" w:type="dxa"/>
            <w:vAlign w:val="center"/>
            <w:shd w:fill="E7E7E7"/>
          </w:tcPr>
          <w:p w14:paraId="0581C8B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Trainable parameters</w:t>
            </w:r>
          </w:p>
        </w:tc>
        <w:tc>
          <w:tcPr>
            <w:tcW w:w="3742" w:type="dxa"/>
            <w:vAlign w:val="center"/>
            <w:shd w:fill="E7E7E7"/>
          </w:tcPr>
          <w:p w14:paraId="5EFE134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Training time (MIMIC-IV)</w:t>
            </w:r>
          </w:p>
        </w:tc>
        <w:tc>
          <w:tcPr>
            <w:tcW w:w="3742" w:type="dxa"/>
            <w:vAlign w:val="center"/>
            <w:shd w:fill="E7E7E7"/>
          </w:tcPr>
          <w:p w14:paraId="5435B1B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Inference per stay (L40S)</w:t>
            </w:r>
          </w:p>
        </w:tc>
      </w:tr>
      <w:tr w:rsidR="00067B1F" w14:paraId="59800B39" w14:textId="77777777">
        <w:trPr>
          <w:jc w:val="center"/>
          <w:cantSplit/>
        </w:trPr>
        <w:tc>
          <w:tcPr>
            <w:tcW w:w="3741" w:type="dxa"/>
            <w:vAlign w:val="center"/>
            <w:shd w:fill="FFFFFF"/>
          </w:tcPr>
          <w:p w14:paraId="32DF672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PatchFusion (proposed)</w:t>
            </w:r>
          </w:p>
        </w:tc>
        <w:tc>
          <w:tcPr>
            <w:tcW w:w="3741" w:type="dxa"/>
            <w:vAlign w:val="center"/>
            <w:shd w:fill="FFFFFF"/>
          </w:tcPr>
          <w:p w14:paraId="3F859E8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1.84M</w:t>
            </w:r>
          </w:p>
        </w:tc>
        <w:tc>
          <w:tcPr>
            <w:tcW w:w="3742" w:type="dxa"/>
            <w:vAlign w:val="center"/>
            <w:shd w:fill="FFFFFF"/>
          </w:tcPr>
          <w:p w14:paraId="0420A7C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6.2 h</w:t>
            </w:r>
          </w:p>
        </w:tc>
        <w:tc>
          <w:tcPr>
            <w:tcW w:w="3742" w:type="dxa"/>
            <w:vAlign w:val="center"/>
            <w:shd w:fill="FFFFFF"/>
          </w:tcPr>
          <w:p w14:paraId="73D1FA6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12.4 ms</w:t>
            </w:r>
          </w:p>
        </w:tc>
      </w:tr>
      <w:tr w:rsidR="00067B1F" w14:paraId="16FA9280" w14:textId="77777777">
        <w:trPr>
          <w:jc w:val="center"/>
          <w:cantSplit/>
        </w:trPr>
        <w:tc>
          <w:tcPr>
            <w:tcW w:w="3741" w:type="dxa"/>
            <w:vAlign w:val="center"/>
            <w:shd w:fill="FFFFFF"/>
          </w:tcPr>
          <w:p w14:paraId="203B6067"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PatchTST</w:t>
            </w:r>
          </w:p>
        </w:tc>
        <w:tc>
          <w:tcPr>
            <w:tcW w:w="3741" w:type="dxa"/>
            <w:vAlign w:val="center"/>
            <w:shd w:fill="FFFFFF"/>
          </w:tcPr>
          <w:p w14:paraId="20EE08F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2.12M</w:t>
            </w:r>
          </w:p>
        </w:tc>
        <w:tc>
          <w:tcPr>
            <w:tcW w:w="3742" w:type="dxa"/>
            <w:vAlign w:val="center"/>
            <w:shd w:fill="FFFFFF"/>
          </w:tcPr>
          <w:p w14:paraId="66DAB26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7.8 h</w:t>
            </w:r>
          </w:p>
        </w:tc>
        <w:tc>
          <w:tcPr>
            <w:tcW w:w="3742" w:type="dxa"/>
            <w:vAlign w:val="center"/>
            <w:shd w:fill="FFFFFF"/>
          </w:tcPr>
          <w:p w14:paraId="6EFA64D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15.1 ms</w:t>
            </w:r>
          </w:p>
        </w:tc>
      </w:tr>
      <w:tr w:rsidR="00067B1F" w14:paraId="6ECE5B6F" w14:textId="77777777">
        <w:trPr>
          <w:jc w:val="center"/>
          <w:cantSplit/>
        </w:trPr>
        <w:tc>
          <w:tcPr>
            <w:tcW w:w="3741" w:type="dxa"/>
            <w:vAlign w:val="center"/>
            <w:shd w:fill="FFFFFF"/>
          </w:tcPr>
          <w:p w14:paraId="25D2F39F"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Raindrop</w:t>
            </w:r>
          </w:p>
        </w:tc>
        <w:tc>
          <w:tcPr>
            <w:tcW w:w="3741" w:type="dxa"/>
            <w:vAlign w:val="center"/>
            <w:shd w:fill="FFFFFF"/>
          </w:tcPr>
          <w:p w14:paraId="28D8DA4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1.98M</w:t>
            </w:r>
          </w:p>
        </w:tc>
        <w:tc>
          <w:tcPr>
            <w:tcW w:w="3742" w:type="dxa"/>
            <w:vAlign w:val="center"/>
            <w:shd w:fill="FFFFFF"/>
          </w:tcPr>
          <w:p w14:paraId="223B970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7.1 h</w:t>
            </w:r>
          </w:p>
        </w:tc>
        <w:tc>
          <w:tcPr>
            <w:tcW w:w="3742" w:type="dxa"/>
            <w:vAlign w:val="center"/>
            <w:shd w:fill="FFFFFF"/>
          </w:tcPr>
          <w:p w14:paraId="631D1C2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13.6 ms</w:t>
            </w:r>
          </w:p>
        </w:tc>
      </w:tr>
      <w:tr w:rsidR="00067B1F" w14:paraId="634FE020" w14:textId="77777777">
        <w:trPr>
          <w:jc w:val="center"/>
          <w:cantSplit/>
        </w:trPr>
        <w:tc>
          <w:tcPr>
            <w:tcW w:w="3741" w:type="dxa"/>
            <w:vAlign w:val="center"/>
            <w:shd w:fill="FFFFFF"/>
          </w:tcPr>
          <w:p w14:paraId="7D96ABE7"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TBAL</w:t>
            </w:r>
          </w:p>
        </w:tc>
        <w:tc>
          <w:tcPr>
            <w:tcW w:w="3741" w:type="dxa"/>
            <w:vAlign w:val="center"/>
            <w:shd w:fill="FFFFFF"/>
          </w:tcPr>
          <w:p w14:paraId="184DC36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2.11M</w:t>
            </w:r>
          </w:p>
        </w:tc>
        <w:tc>
          <w:tcPr>
            <w:tcW w:w="3742" w:type="dxa"/>
            <w:vAlign w:val="center"/>
            <w:shd w:fill="FFFFFF"/>
          </w:tcPr>
          <w:p w14:paraId="7A4E952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7.4 h</w:t>
            </w:r>
          </w:p>
        </w:tc>
        <w:tc>
          <w:tcPr>
            <w:tcW w:w="3742" w:type="dxa"/>
            <w:vAlign w:val="center"/>
            <w:shd w:fill="FFFFFF"/>
          </w:tcPr>
          <w:p w14:paraId="33BC8BE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14.8 ms</w:t>
            </w:r>
          </w:p>
        </w:tc>
      </w:tr>
      <w:tr w:rsidR="00067B1F" w14:paraId="18D2F0DD" w14:textId="77777777">
        <w:trPr>
          <w:jc w:val="center"/>
          <w:cantSplit/>
        </w:trPr>
        <w:tc>
          <w:tcPr>
            <w:tcW w:w="3741" w:type="dxa"/>
            <w:vAlign w:val="center"/>
            <w:shd w:fill="FFFFFF"/>
          </w:tcPr>
          <w:p w14:paraId="0A562935"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GRU-D</w:t>
            </w:r>
          </w:p>
        </w:tc>
        <w:tc>
          <w:tcPr>
            <w:tcW w:w="3741" w:type="dxa"/>
            <w:vAlign w:val="center"/>
            <w:shd w:fill="FFFFFF"/>
          </w:tcPr>
          <w:p w14:paraId="26779A3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1.24M</w:t>
            </w:r>
          </w:p>
        </w:tc>
        <w:tc>
          <w:tcPr>
            <w:tcW w:w="3742" w:type="dxa"/>
            <w:vAlign w:val="center"/>
            <w:shd w:fill="FFFFFF"/>
          </w:tcPr>
          <w:p w14:paraId="5564002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5.4 h</w:t>
            </w:r>
          </w:p>
        </w:tc>
        <w:tc>
          <w:tcPr>
            <w:tcW w:w="3742" w:type="dxa"/>
            <w:vAlign w:val="center"/>
            <w:shd w:fill="FFFFFF"/>
          </w:tcPr>
          <w:p w14:paraId="7866BFA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10.2 ms</w:t>
            </w:r>
          </w:p>
        </w:tc>
      </w:tr>
      <w:tr w:rsidR="00067B1F" w14:paraId="7246A68D" w14:textId="77777777">
        <w:trPr>
          <w:jc w:val="center"/>
          <w:cantSplit/>
        </w:trPr>
        <w:tc>
          <w:tcPr>
            <w:tcW w:w="3741" w:type="dxa"/>
            <w:vAlign w:val="center"/>
            <w:shd w:fill="FFFFFF"/>
          </w:tcPr>
          <w:p w14:paraId="6F6F128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LightGBM</w:t>
            </w:r>
          </w:p>
        </w:tc>
        <w:tc>
          <w:tcPr>
            <w:tcW w:w="3741" w:type="dxa"/>
            <w:vAlign w:val="center"/>
            <w:shd w:fill="FFFFFF"/>
          </w:tcPr>
          <w:p w14:paraId="13274A8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3742" w:type="dxa"/>
            <w:vAlign w:val="center"/>
            <w:shd w:fill="FFFFFF"/>
          </w:tcPr>
          <w:p w14:paraId="65638D7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 h</w:t>
            </w:r>
          </w:p>
        </w:tc>
        <w:tc>
          <w:tcPr>
            <w:tcW w:w="3742" w:type="dxa"/>
            <w:vAlign w:val="center"/>
            <w:shd w:fill="FFFFFF"/>
          </w:tcPr>
          <w:p w14:paraId="3737C9D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2.1 ms</w:t>
            </w:r>
          </w:p>
        </w:tc>
      </w:tr>
      <w:tr w:rsidR="00067B1F" w14:paraId="3151E362" w14:textId="77777777">
        <w:trPr>
          <w:jc w:val="center"/>
          <w:cantSplit/>
        </w:trPr>
        <w:tc>
          <w:tcPr>
            <w:tcW w:w="3741" w:type="dxa"/>
            <w:vAlign w:val="center"/>
            <w:shd w:fill="FFFFFF"/>
          </w:tcPr>
          <w:p w14:paraId="1B705594"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LSTM</w:t>
            </w:r>
          </w:p>
        </w:tc>
        <w:tc>
          <w:tcPr>
            <w:tcW w:w="3741" w:type="dxa"/>
            <w:vAlign w:val="center"/>
            <w:shd w:fill="FFFFFF"/>
          </w:tcPr>
          <w:p w14:paraId="3F8FC6E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0.91M</w:t>
            </w:r>
          </w:p>
        </w:tc>
        <w:tc>
          <w:tcPr>
            <w:tcW w:w="3742" w:type="dxa"/>
            <w:vAlign w:val="center"/>
            <w:shd w:fill="FFFFFF"/>
          </w:tcPr>
          <w:p w14:paraId="09CDCE2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4.1 h</w:t>
            </w:r>
          </w:p>
        </w:tc>
        <w:tc>
          <w:tcPr>
            <w:tcW w:w="3742" w:type="dxa"/>
            <w:vAlign w:val="center"/>
            <w:shd w:fill="FFFFFF"/>
          </w:tcPr>
          <w:p w14:paraId="376B7AC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8.7 ms</w:t>
            </w:r>
          </w:p>
        </w:tc>
      </w:tr>
      <w:tr w:rsidR="00067B1F" w14:paraId="2365E4E2" w14:textId="77777777">
        <w:trPr>
          <w:jc w:val="center"/>
          <w:cantSplit/>
        </w:trPr>
        <w:tc>
          <w:tcPr>
            <w:tcW w:w="3741" w:type="dxa"/>
            <w:vAlign w:val="center"/>
            <w:shd w:fill="FFFFFF"/>
          </w:tcPr>
          <w:p w14:paraId="2D8CFE32"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Transformer</w:t>
            </w:r>
          </w:p>
        </w:tc>
        <w:tc>
          <w:tcPr>
            <w:tcW w:w="3741" w:type="dxa"/>
            <w:vAlign w:val="center"/>
            <w:shd w:fill="FFFFFF"/>
          </w:tcPr>
          <w:p w14:paraId="1500849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1.60M</w:t>
            </w:r>
          </w:p>
        </w:tc>
        <w:tc>
          <w:tcPr>
            <w:tcW w:w="3742" w:type="dxa"/>
            <w:vAlign w:val="center"/>
            <w:shd w:fill="FFFFFF"/>
          </w:tcPr>
          <w:p w14:paraId="4FEBE9E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5.8 h</w:t>
            </w:r>
          </w:p>
        </w:tc>
        <w:tc>
          <w:tcPr>
            <w:tcW w:w="3742" w:type="dxa"/>
            <w:vAlign w:val="center"/>
            <w:shd w:fill="FFFFFF"/>
          </w:tcPr>
          <w:p w14:paraId="28781FB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11.2 ms</w:t>
            </w:r>
          </w:p>
        </w:tc>
      </w:tr>
      <w:tr w:rsidR="00067B1F" w14:paraId="7313AD96" w14:textId="77777777">
        <w:trPr>
          <w:jc w:val="center"/>
          <w:cantSplit/>
        </w:trPr>
        <w:tc>
          <w:tcPr>
            <w:tcW w:w="3741" w:type="dxa"/>
            <w:vAlign w:val="center"/>
            <w:shd w:fill="FFFFFF"/>
          </w:tcPr>
          <w:p w14:paraId="170A826D"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Hi-Patch reimplementation</w:t>
            </w:r>
          </w:p>
        </w:tc>
        <w:tc>
          <w:tcPr>
            <w:tcW w:w="3741" w:type="dxa"/>
            <w:vAlign w:val="center"/>
            <w:shd w:fill="FFFFFF"/>
          </w:tcPr>
          <w:p w14:paraId="093A5EA7"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1.92M</w:t>
            </w:r>
          </w:p>
        </w:tc>
        <w:tc>
          <w:tcPr>
            <w:tcW w:w="3742" w:type="dxa"/>
            <w:vAlign w:val="center"/>
            <w:shd w:fill="FFFFFF"/>
          </w:tcPr>
          <w:p w14:paraId="1F4DD1FC"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6.8 h</w:t>
            </w:r>
          </w:p>
        </w:tc>
        <w:tc>
          <w:tcPr>
            <w:tcW w:w="3742" w:type="dxa"/>
            <w:vAlign w:val="center"/>
            <w:shd w:fill="FFFFFF"/>
          </w:tcPr>
          <w:p w14:paraId="077D758F"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13.6 ms</w:t>
            </w:r>
          </w:p>
        </w:tc>
      </w:tr>
      <w:tr w:rsidR="00067B1F" w14:paraId="0BB8A12E" w14:textId="77777777">
        <w:trPr>
          <w:jc w:val="center"/>
          <w:cantSplit/>
        </w:trPr>
        <w:tc>
          <w:tcPr>
            <w:tcW w:w="3741" w:type="dxa"/>
            <w:vAlign w:val="center"/>
            <w:shd w:fill="FFFFFF"/>
          </w:tcPr>
          <w:p w14:paraId="54F74E00" w14:textId="77777777" w:rsidR="00067B1F" w:rsidRDefault="00000000">
            <w:pPr>
              <w:keepNext w:val="0"/>
              <w:keepLines w:val="0"/>
              <w:widowControl/>
              <w:spacing w:line="480" w:lineRule="auto" w:before="0" w:after="0"/>
              <w:ind w:left="0" w:right="0" w:firstLine="0"/>
              <w:jc w:val="left"/>
            </w:pPr>
            <w:r>
              <w:rPr>
                <w:rFonts w:ascii="Times New Roman" w:hAnsi="Times New Roman" w:eastAsia="Times New Roman" w:cs="Times New Roman"/>
                <w:b w:val="0"/>
                <w:vanish w:val="0"/>
                <w:color w:val="000000"/>
                <w:sz w:val="19"/>
                <w:szCs w:val="20"/>
              </w:rPr>
              <w:t>LGTRL-DE reimplementation</w:t>
            </w:r>
          </w:p>
        </w:tc>
        <w:tc>
          <w:tcPr>
            <w:tcW w:w="3741" w:type="dxa"/>
            <w:vAlign w:val="center"/>
            <w:shd w:fill="FFFFFF"/>
          </w:tcPr>
          <w:p w14:paraId="2E782F3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1.87M</w:t>
            </w:r>
          </w:p>
        </w:tc>
        <w:tc>
          <w:tcPr>
            <w:tcW w:w="3742" w:type="dxa"/>
            <w:vAlign w:val="center"/>
            <w:shd w:fill="FFFFFF"/>
          </w:tcPr>
          <w:p w14:paraId="53B91DD0"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6.5 h</w:t>
            </w:r>
          </w:p>
        </w:tc>
        <w:tc>
          <w:tcPr>
            <w:tcW w:w="3742" w:type="dxa"/>
            <w:vAlign w:val="center"/>
            <w:shd w:fill="FFFFFF"/>
          </w:tcPr>
          <w:p w14:paraId="7FB9888E" w14:textId="77777777" w:rsidR="00067B1F" w:rsidRDefault="00000000">
            <w:pPr>
              <w:keepNext w:val="0"/>
              <w:keepLines w:val="0"/>
              <w:widowControl/>
              <w:spacing w:line="480" w:lineRule="auto" w:before="0" w:after="0"/>
              <w:ind w:left="0" w:right="0" w:firstLine="0"/>
              <w:jc w:val="center"/>
            </w:pPr>
            <w:r>
              <w:rPr>
                <w:rFonts w:ascii="Times New Roman" w:hAnsi="Times New Roman" w:eastAsia="Times New Roman" w:cs="Times New Roman"/>
                <w:b w:val="0"/>
                <w:vanish w:val="0"/>
                <w:color w:val="000000"/>
                <w:sz w:val="19"/>
                <w:szCs w:val="20"/>
              </w:rPr>
              <w:t>13.1 ms</w:t>
            </w:r>
          </w:p>
        </w:tc>
      </w:tr>
    </w:tbl>
    <w:p w14:paraId="450C2346"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See also Table S21 for the original LSTM/Transformer/TBAL/PatchFusion benchmark subset.</w:t>
      </w:r>
    </w:p>
    <w:p w14:paraId="7DB20BCB" w14:textId="77777777" w:rsidR="00067B1F" w:rsidRDefault="00000000">
      <w:pPr>
        <w:pStyle w:val="1"/>
        <w:keepNext/>
        <w:keepLines w:val="0"/>
        <w:widowControl/>
        <w:spacing w:after="80" w:line="480" w:lineRule="auto" w:before="0"/>
        <w:ind w:left="0" w:right="0" w:firstLine="0"/>
      </w:pPr>
      <w:r>
        <w:rPr>
          <w:rFonts w:ascii="Times New Roman" w:hAnsi="Times New Roman" w:eastAsia="Times New Roman" w:cs="Times New Roman"/>
          <w:vanish w:val="0"/>
          <w:color w:val="000000"/>
          <w:sz w:val="22"/>
        </w:rPr>
        <w:t>Clinical Utility and Matched-Threshold Analyses (Tables S26–S28)</w:t>
      </w:r>
    </w:p>
    <w:p w14:paraId="327B6302"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 xml:space="preserve">Matched-sensitivity and matched-alert-rate contrasts use program-specific reference points. Table S27 targets sensitivity 431/615=0.701 in MIMIC-IV and 59/65=0.908 in the post hoc Hallym analysis. Table S28 targets 2,613/52,868=4.94 flags per 100 MIMIC-IV stays, where PatchFusion's locked Youden sensitivity is 0.850, and 389/1,100=35.4 flags per 100 Hallym stays. Each bootstrap resample reselects comparator cutpoints to match its program target, with PatchFusion's reference definition retained within the program. All operating quantities are derived from the corresponding confusion matrix, and Hallym uncertainty uses patient-cluster bootstrap. These descriptive comparisons use cutpoints selected on the evaluation scores; they complement the locked-threshold transport assessment.</w:t>
      </w:r>
    </w:p>
    <w:p w14:paraId="42920BBC"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Supplementary Methods</w:t>
      </w:r>
    </w:p>
    <w:p w14:paraId="77D8F420"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 xml:space="preserve">Decision-curve analysis (Table S26, Figure S6). Net benefit was computed as (TP/N) − (FP/N) × [p_t/(1 − p_t)] at each threshold probability p_t. Treat-all net benefit used </w:t>
      </w:r>
      <w:r>
        <w:rPr>
          <w:rFonts w:ascii="Times New Roman" w:hAnsi="Times New Roman" w:eastAsia="Times New Roman" w:cs="Times New Roman"/>
          <w:vanish w:val="0"/>
          <w:color w:val="000000"/>
          <w:sz w:val="22"/>
        </w:rPr>
        <w:lastRenderedPageBreak/>
        <w:t>cohort prevalence π as NB = π − (1−π)·p_t/(1−p_t); treat-none was 0. MIMIC-IV used pooled out-of-fold predicted probabilities. Hallym used locked 7-day scores (no retraining or recalibration). Because Hallym scores are shifted relative to MIMIC-IV (Table S14), a probability threshold that is sparse on MIMIC-IV flags a much larger fraction of Hallym stays.</w:t>
      </w:r>
    </w:p>
    <w:p w14:paraId="591A5EBE"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Iso-sensitivity on MIMIC-IV (Table S27, Panel A). For each model, the cutpoint on pooled out-of-fold scores was chosen to capture 431 of the 615 ≈12–24-hour deaths reported in Table S1 (sensitivity 431/615=0.701). Specificity, PPV, and alert rate were then taken from that same confusion matrix.</w:t>
      </w:r>
    </w:p>
    <w:p w14:paraId="63B1873F"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Iso-sensitivity on Hallym (Table S27, Panel B) is a post hoc matched-sensitivity analysis on the external cohort, not locked transport. Cutpoints were selected on Hallym scores and labels to capture 59 of 65 deaths (0.908, the nearest realizable value to a 0.90 target with 65 events). A MIMIC-IV–locked cutpoint would not place every model at this sensitivity.</w:t>
      </w:r>
    </w:p>
    <w:p w14:paraId="2C9E6F21"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Iso-alert-rate (Table S28). Cutpoints were chosen to match a fixed positive rate and therefore did not use outcome labels: 2,613 of 52,868 MIMIC-IV stays (4.94 per 100; Table S19) and 389 of 1,100 Hallym stays (35.4 per 100; Table S11). Sensitivity, specificity, and PPV were then evaluated at that common alert burden. At a shared positive rate, a lower-sensitivity model necessarily has lower specificity.</w:t>
      </w:r>
    </w:p>
    <w:p w14:paraId="551A0666"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S26. Decision-Curve Net Benefit (PatchFusion vs Extended Comparators)</w:t>
      </w:r>
    </w:p>
    <w:p w14:paraId="627466D9"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Panel A. MIMIC-IV ≈12–24-hour mortality (pooled OOF; prevalence 615/52,868 = 1.163%, displayed as 1.16%)</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494"/>
        <w:gridCol w:w="2495"/>
        <w:gridCol w:w="2495"/>
        <w:gridCol w:w="2495"/>
        <w:gridCol w:w="2495"/>
      </w:tblGrid>
      <w:tr w:rsidR="00067B1F" w14:paraId="5AE5459B" w14:textId="77777777">
        <w:trPr>
          <w:jc w:val="center"/>
          <w:cantSplit/>
          <w:tblHeader/>
        </w:trPr>
        <w:tc>
          <w:tcPr>
            <w:tcW w:w="2494" w:type="dxa"/>
            <w:vAlign w:val="center"/>
            <w:shd w:fill="E7E7E7"/>
          </w:tcPr>
          <w:p w14:paraId="269A6CF9"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Threshold probability p_t</w:t>
            </w:r>
          </w:p>
        </w:tc>
        <w:tc>
          <w:tcPr>
            <w:tcW w:w="2494" w:type="dxa"/>
            <w:vAlign w:val="center"/>
            <w:shd w:fill="E7E7E7"/>
          </w:tcPr>
          <w:p w14:paraId="0D5353A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PatchFusion NB</w:t>
            </w:r>
          </w:p>
        </w:tc>
        <w:tc>
          <w:tcPr>
            <w:tcW w:w="2495" w:type="dxa"/>
            <w:vAlign w:val="center"/>
            <w:shd w:fill="E7E7E7"/>
          </w:tcPr>
          <w:p w14:paraId="50BC837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PatchTST NB</w:t>
            </w:r>
          </w:p>
        </w:tc>
        <w:tc>
          <w:tcPr>
            <w:tcW w:w="2495" w:type="dxa"/>
            <w:vAlign w:val="center"/>
            <w:shd w:fill="E7E7E7"/>
          </w:tcPr>
          <w:p w14:paraId="6B0CFBC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GRU-D NB</w:t>
            </w:r>
          </w:p>
        </w:tc>
        <w:tc>
          <w:tcPr>
            <w:tcW w:w="2495" w:type="dxa"/>
            <w:vAlign w:val="center"/>
            <w:shd w:fill="E7E7E7"/>
          </w:tcPr>
          <w:p w14:paraId="6C23989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ΔNB (PatchFusion − PatchTST) (95% CI)</w:t>
            </w:r>
          </w:p>
        </w:tc>
        <w:tc>
          <w:tcPr>
            <w:tcW w:w="2495" w:type="dxa"/>
            <w:vAlign w:val="center"/>
            <w:shd w:fill="E7E7E7"/>
          </w:tcPr>
          <w:p w14:paraId="2CA1EBF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w:t>
            </w:r>
          </w:p>
        </w:tc>
      </w:tr>
      <w:tr w:rsidR="00067B1F" w14:paraId="1CB1D0D6" w14:textId="77777777">
        <w:trPr>
          <w:jc w:val="center"/>
          <w:cantSplit/>
        </w:trPr>
        <w:tc>
          <w:tcPr>
            <w:tcW w:w="2494" w:type="dxa"/>
            <w:vAlign w:val="center"/>
            <w:shd w:fill="FFFFFF"/>
          </w:tcPr>
          <w:p w14:paraId="28AC28F9"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0.02</w:t>
            </w:r>
          </w:p>
        </w:tc>
        <w:tc>
          <w:tcPr>
            <w:tcW w:w="2494" w:type="dxa"/>
            <w:vAlign w:val="center"/>
            <w:shd w:fill="FFFFFF"/>
          </w:tcPr>
          <w:p w14:paraId="6FAC8DE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0.0090</w:t>
            </w:r>
          </w:p>
        </w:tc>
        <w:tc>
          <w:tcPr>
            <w:tcW w:w="2495" w:type="dxa"/>
            <w:vAlign w:val="center"/>
            <w:shd w:fill="FFFFFF"/>
          </w:tcPr>
          <w:p w14:paraId="49CBDE2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0.0078</w:t>
            </w:r>
          </w:p>
        </w:tc>
        <w:tc>
          <w:tcPr>
            <w:tcW w:w="2495" w:type="dxa"/>
            <w:vAlign w:val="center"/>
            <w:shd w:fill="FFFFFF"/>
          </w:tcPr>
          <w:p w14:paraId="2D159FA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0.0076</w:t>
            </w:r>
          </w:p>
        </w:tc>
        <w:tc>
          <w:tcPr>
            <w:tcW w:w="2495" w:type="dxa"/>
            <w:vAlign w:val="center"/>
            <w:shd w:fill="FFFFFF"/>
          </w:tcPr>
          <w:p w14:paraId="319BD48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0.0012 (0.0001 to 0.0023)</w:t>
            </w:r>
          </w:p>
        </w:tc>
        <w:tc>
          <w:tcPr>
            <w:tcW w:w="2495" w:type="dxa"/>
            <w:vAlign w:val="center"/>
            <w:shd w:fill="FFFFFF"/>
          </w:tcPr>
          <w:p w14:paraId="4235956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0.03</w:t>
            </w:r>
          </w:p>
        </w:tc>
      </w:tr>
      <w:tr w:rsidR="00067B1F" w14:paraId="0E1EDE6C" w14:textId="77777777">
        <w:trPr>
          <w:jc w:val="center"/>
          <w:cantSplit/>
        </w:trPr>
        <w:tc>
          <w:tcPr>
            <w:tcW w:w="2494" w:type="dxa"/>
            <w:vAlign w:val="center"/>
            <w:shd w:fill="FFFFFF"/>
          </w:tcPr>
          <w:p w14:paraId="6CA56699"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0.05</w:t>
            </w:r>
          </w:p>
        </w:tc>
        <w:tc>
          <w:tcPr>
            <w:tcW w:w="2494" w:type="dxa"/>
            <w:vAlign w:val="center"/>
            <w:shd w:fill="FFFFFF"/>
          </w:tcPr>
          <w:p w14:paraId="205DF90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0.0071</w:t>
            </w:r>
          </w:p>
        </w:tc>
        <w:tc>
          <w:tcPr>
            <w:tcW w:w="2495" w:type="dxa"/>
            <w:vAlign w:val="center"/>
            <w:shd w:fill="FFFFFF"/>
          </w:tcPr>
          <w:p w14:paraId="5026C47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0.0058</w:t>
            </w:r>
          </w:p>
        </w:tc>
        <w:tc>
          <w:tcPr>
            <w:tcW w:w="2495" w:type="dxa"/>
            <w:vAlign w:val="center"/>
            <w:shd w:fill="FFFFFF"/>
          </w:tcPr>
          <w:p w14:paraId="7A4C54B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0.0056</w:t>
            </w:r>
          </w:p>
        </w:tc>
        <w:tc>
          <w:tcPr>
            <w:tcW w:w="2495" w:type="dxa"/>
            <w:vAlign w:val="center"/>
            <w:shd w:fill="FFFFFF"/>
          </w:tcPr>
          <w:p w14:paraId="5D5B970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0.0013 (0.0003 to 0.0024)</w:t>
            </w:r>
          </w:p>
        </w:tc>
        <w:tc>
          <w:tcPr>
            <w:tcW w:w="2495" w:type="dxa"/>
            <w:vAlign w:val="center"/>
            <w:shd w:fill="FFFFFF"/>
          </w:tcPr>
          <w:p w14:paraId="1DBD9C3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0.02</w:t>
            </w:r>
          </w:p>
        </w:tc>
      </w:tr>
      <w:tr w:rsidR="00067B1F" w14:paraId="22A0D756" w14:textId="77777777">
        <w:trPr>
          <w:jc w:val="center"/>
          <w:cantSplit/>
        </w:trPr>
        <w:tc>
          <w:tcPr>
            <w:tcW w:w="2494" w:type="dxa"/>
            <w:vAlign w:val="center"/>
            <w:shd w:fill="FFFFFF"/>
          </w:tcPr>
          <w:p w14:paraId="5147930D"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0.1</w:t>
            </w:r>
          </w:p>
        </w:tc>
        <w:tc>
          <w:tcPr>
            <w:tcW w:w="2494" w:type="dxa"/>
            <w:vAlign w:val="center"/>
            <w:shd w:fill="FFFFFF"/>
          </w:tcPr>
          <w:p w14:paraId="41E12DF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0.0048</w:t>
            </w:r>
          </w:p>
        </w:tc>
        <w:tc>
          <w:tcPr>
            <w:tcW w:w="2495" w:type="dxa"/>
            <w:vAlign w:val="center"/>
            <w:shd w:fill="FFFFFF"/>
          </w:tcPr>
          <w:p w14:paraId="76AC56A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0.0035</w:t>
            </w:r>
          </w:p>
        </w:tc>
        <w:tc>
          <w:tcPr>
            <w:tcW w:w="2495" w:type="dxa"/>
            <w:vAlign w:val="center"/>
            <w:shd w:fill="FFFFFF"/>
          </w:tcPr>
          <w:p w14:paraId="4C86532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0.0033</w:t>
            </w:r>
          </w:p>
        </w:tc>
        <w:tc>
          <w:tcPr>
            <w:tcW w:w="2495" w:type="dxa"/>
            <w:vAlign w:val="center"/>
            <w:shd w:fill="FFFFFF"/>
          </w:tcPr>
          <w:p w14:paraId="58303E3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0.0013 (0.0005 to 0.0021)</w:t>
            </w:r>
          </w:p>
        </w:tc>
        <w:tc>
          <w:tcPr>
            <w:tcW w:w="2495" w:type="dxa"/>
            <w:vAlign w:val="center"/>
            <w:shd w:fill="FFFFFF"/>
          </w:tcPr>
          <w:p w14:paraId="4DCF3E9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0.001</w:t>
            </w:r>
          </w:p>
        </w:tc>
      </w:tr>
      <w:tr w:rsidR="00067B1F" w14:paraId="618F57EB" w14:textId="77777777">
        <w:trPr>
          <w:jc w:val="center"/>
          <w:cantSplit/>
        </w:trPr>
        <w:tc>
          <w:tcPr>
            <w:tcW w:w="2494" w:type="dxa"/>
            <w:vAlign w:val="center"/>
            <w:shd w:fill="FFFFFF"/>
          </w:tcPr>
          <w:p w14:paraId="0F71C5BA"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0.2</w:t>
            </w:r>
          </w:p>
        </w:tc>
        <w:tc>
          <w:tcPr>
            <w:tcW w:w="2494" w:type="dxa"/>
            <w:vAlign w:val="center"/>
            <w:shd w:fill="FFFFFF"/>
          </w:tcPr>
          <w:p w14:paraId="1ABB2EF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0.0021</w:t>
            </w:r>
          </w:p>
        </w:tc>
        <w:tc>
          <w:tcPr>
            <w:tcW w:w="2495" w:type="dxa"/>
            <w:vAlign w:val="center"/>
            <w:shd w:fill="FFFFFF"/>
          </w:tcPr>
          <w:p w14:paraId="1A065F2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0.0018</w:t>
            </w:r>
          </w:p>
        </w:tc>
        <w:tc>
          <w:tcPr>
            <w:tcW w:w="2495" w:type="dxa"/>
            <w:vAlign w:val="center"/>
            <w:shd w:fill="FFFFFF"/>
          </w:tcPr>
          <w:p w14:paraId="017D1A5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0.0017</w:t>
            </w:r>
          </w:p>
        </w:tc>
        <w:tc>
          <w:tcPr>
            <w:tcW w:w="2495" w:type="dxa"/>
            <w:vAlign w:val="center"/>
            <w:shd w:fill="FFFFFF"/>
          </w:tcPr>
          <w:p w14:paraId="37680D7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0.0003 (−0.0002 to 0.0008)</w:t>
            </w:r>
          </w:p>
        </w:tc>
        <w:tc>
          <w:tcPr>
            <w:tcW w:w="2495" w:type="dxa"/>
            <w:vAlign w:val="center"/>
            <w:shd w:fill="FFFFFF"/>
          </w:tcPr>
          <w:p w14:paraId="2DD8645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0.28</w:t>
            </w:r>
          </w:p>
        </w:tc>
      </w:tr>
    </w:tbl>
    <w:p w14:paraId="532CB02E"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MIMIC-IV net-benefit point estimates were higher for PatchFusion than PatchTST and GRU-D at the tabulated thresholds. PatchFusion–PatchTST ΔNB intervals excluded zero at 0.02, 0.05, and 0.10; the interval at 0.20 included zero. P values are nominal and multiplicity-unadjusted.</w:t>
      </w:r>
    </w:p>
    <w:p w14:paraId="746FBE6F"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Panel B. Hallym 7-day mortality (locked scores; prevalence 5.9%)</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494"/>
        <w:gridCol w:w="2495"/>
        <w:gridCol w:w="2495"/>
        <w:gridCol w:w="2495"/>
        <w:gridCol w:w="2495"/>
      </w:tblGrid>
      <w:tr w:rsidR="00067B1F" w14:paraId="6915ECE9" w14:textId="77777777">
        <w:trPr>
          <w:jc w:val="center"/>
          <w:cantSplit/>
          <w:tblHeader/>
        </w:trPr>
        <w:tc>
          <w:tcPr>
            <w:tcW w:w="2494" w:type="dxa"/>
            <w:vAlign w:val="center"/>
            <w:shd w:fill="E7E7E7"/>
          </w:tcPr>
          <w:p w14:paraId="7DE98D79"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Threshold probability p_t</w:t>
            </w:r>
          </w:p>
        </w:tc>
        <w:tc>
          <w:tcPr>
            <w:tcW w:w="2494" w:type="dxa"/>
            <w:vAlign w:val="center"/>
            <w:shd w:fill="E7E7E7"/>
          </w:tcPr>
          <w:p w14:paraId="03E5636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PatchFusion NB</w:t>
            </w:r>
          </w:p>
        </w:tc>
        <w:tc>
          <w:tcPr>
            <w:tcW w:w="2495" w:type="dxa"/>
            <w:vAlign w:val="center"/>
            <w:shd w:fill="E7E7E7"/>
          </w:tcPr>
          <w:p w14:paraId="1223376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PatchTST NB</w:t>
            </w:r>
          </w:p>
        </w:tc>
        <w:tc>
          <w:tcPr>
            <w:tcW w:w="2495" w:type="dxa"/>
            <w:vAlign w:val="center"/>
            <w:shd w:fill="E7E7E7"/>
          </w:tcPr>
          <w:p w14:paraId="6C11C4E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GRU-D NB</w:t>
            </w:r>
          </w:p>
        </w:tc>
        <w:tc>
          <w:tcPr>
            <w:tcW w:w="2495" w:type="dxa"/>
            <w:vAlign w:val="center"/>
            <w:shd w:fill="E7E7E7"/>
          </w:tcPr>
          <w:p w14:paraId="00BBEB9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ΔNB (PatchFusion − PatchTST) (95% CI)</w:t>
            </w:r>
          </w:p>
        </w:tc>
        <w:tc>
          <w:tcPr>
            <w:tcW w:w="2495" w:type="dxa"/>
            <w:vAlign w:val="center"/>
            <w:shd w:fill="E7E7E7"/>
          </w:tcPr>
          <w:p w14:paraId="444A150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w:t>
            </w:r>
          </w:p>
        </w:tc>
      </w:tr>
      <w:tr w:rsidR="00067B1F" w14:paraId="5BDAA4E1" w14:textId="77777777">
        <w:trPr>
          <w:jc w:val="center"/>
          <w:cantSplit/>
        </w:trPr>
        <w:tc>
          <w:tcPr>
            <w:tcW w:w="2494" w:type="dxa"/>
            <w:vAlign w:val="center"/>
            <w:shd w:fill="FFFFFF"/>
          </w:tcPr>
          <w:p w14:paraId="092E8881"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0.05</w:t>
            </w:r>
          </w:p>
        </w:tc>
        <w:tc>
          <w:tcPr>
            <w:tcW w:w="2494" w:type="dxa"/>
            <w:vAlign w:val="center"/>
            <w:shd w:fill="FFFFFF"/>
          </w:tcPr>
          <w:p w14:paraId="593778E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0.0241</w:t>
            </w:r>
          </w:p>
        </w:tc>
        <w:tc>
          <w:tcPr>
            <w:tcW w:w="2495" w:type="dxa"/>
            <w:vAlign w:val="center"/>
            <w:shd w:fill="FFFFFF"/>
          </w:tcPr>
          <w:p w14:paraId="40253C8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0.0215</w:t>
            </w:r>
          </w:p>
        </w:tc>
        <w:tc>
          <w:tcPr>
            <w:tcW w:w="2495" w:type="dxa"/>
            <w:vAlign w:val="center"/>
            <w:shd w:fill="FFFFFF"/>
          </w:tcPr>
          <w:p w14:paraId="6F9023B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0.0213</w:t>
            </w:r>
          </w:p>
        </w:tc>
        <w:tc>
          <w:tcPr>
            <w:tcW w:w="2495" w:type="dxa"/>
            <w:vAlign w:val="center"/>
            <w:shd w:fill="FFFFFF"/>
          </w:tcPr>
          <w:p w14:paraId="07B71C6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0.0026 (−0.015 to 0.021)</w:t>
            </w:r>
          </w:p>
        </w:tc>
        <w:tc>
          <w:tcPr>
            <w:tcW w:w="2495" w:type="dxa"/>
            <w:vAlign w:val="center"/>
            <w:shd w:fill="FFFFFF"/>
          </w:tcPr>
          <w:p w14:paraId="16C9EEC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≈0.40</w:t>
            </w:r>
          </w:p>
        </w:tc>
      </w:tr>
      <w:tr w:rsidR="00067B1F" w14:paraId="5C372F02" w14:textId="77777777">
        <w:trPr>
          <w:jc w:val="center"/>
          <w:cantSplit/>
        </w:trPr>
        <w:tc>
          <w:tcPr>
            <w:tcW w:w="2494" w:type="dxa"/>
            <w:vAlign w:val="center"/>
            <w:shd w:fill="FFFFFF"/>
          </w:tcPr>
          <w:p w14:paraId="6DF44259"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0.1</w:t>
            </w:r>
          </w:p>
        </w:tc>
        <w:tc>
          <w:tcPr>
            <w:tcW w:w="2494" w:type="dxa"/>
            <w:vAlign w:val="center"/>
            <w:shd w:fill="FFFFFF"/>
          </w:tcPr>
          <w:p w14:paraId="4EA23EC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0.0077</w:t>
            </w:r>
          </w:p>
        </w:tc>
        <w:tc>
          <w:tcPr>
            <w:tcW w:w="2495" w:type="dxa"/>
            <w:vAlign w:val="center"/>
            <w:shd w:fill="FFFFFF"/>
          </w:tcPr>
          <w:p w14:paraId="414F281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−0.0009</w:t>
            </w:r>
          </w:p>
        </w:tc>
        <w:tc>
          <w:tcPr>
            <w:tcW w:w="2495" w:type="dxa"/>
            <w:vAlign w:val="center"/>
            <w:shd w:fill="FFFFFF"/>
          </w:tcPr>
          <w:p w14:paraId="14C1E55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-0.0017</w:t>
            </w:r>
          </w:p>
        </w:tc>
        <w:tc>
          <w:tcPr>
            <w:tcW w:w="2495" w:type="dxa"/>
            <w:vAlign w:val="center"/>
            <w:shd w:fill="FFFFFF"/>
          </w:tcPr>
          <w:p w14:paraId="6D88963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0.0086 (−0.010 to 0.028)</w:t>
            </w:r>
          </w:p>
        </w:tc>
        <w:tc>
          <w:tcPr>
            <w:tcW w:w="2495" w:type="dxa"/>
            <w:vAlign w:val="center"/>
            <w:shd w:fill="FFFFFF"/>
          </w:tcPr>
          <w:p w14:paraId="2BF7CB1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≈0.40</w:t>
            </w:r>
          </w:p>
        </w:tc>
      </w:tr>
      <w:tr w:rsidR="00067B1F" w14:paraId="292D67C1" w14:textId="77777777">
        <w:trPr>
          <w:jc w:val="center"/>
          <w:cantSplit/>
        </w:trPr>
        <w:tc>
          <w:tcPr>
            <w:tcW w:w="2494" w:type="dxa"/>
            <w:vAlign w:val="center"/>
            <w:shd w:fill="FFFFFF"/>
          </w:tcPr>
          <w:p w14:paraId="4C135105"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0.2</w:t>
            </w:r>
          </w:p>
        </w:tc>
        <w:tc>
          <w:tcPr>
            <w:tcW w:w="2494" w:type="dxa"/>
            <w:vAlign w:val="center"/>
            <w:shd w:fill="FFFFFF"/>
          </w:tcPr>
          <w:p w14:paraId="1C17F8D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-0.0050</w:t>
            </w:r>
          </w:p>
        </w:tc>
        <w:tc>
          <w:tcPr>
            <w:tcW w:w="2495" w:type="dxa"/>
            <w:vAlign w:val="center"/>
            <w:shd w:fill="FFFFFF"/>
          </w:tcPr>
          <w:p w14:paraId="5EB3447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−0.0180</w:t>
            </w:r>
          </w:p>
        </w:tc>
        <w:tc>
          <w:tcPr>
            <w:tcW w:w="2495" w:type="dxa"/>
            <w:vAlign w:val="center"/>
            <w:shd w:fill="FFFFFF"/>
          </w:tcPr>
          <w:p w14:paraId="1E57B2E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-0.0193</w:t>
            </w:r>
          </w:p>
        </w:tc>
        <w:tc>
          <w:tcPr>
            <w:tcW w:w="2495" w:type="dxa"/>
            <w:vAlign w:val="center"/>
            <w:shd w:fill="FFFFFF"/>
          </w:tcPr>
          <w:p w14:paraId="2576F79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0.0130 (0.000 to 0.026)</w:t>
            </w:r>
          </w:p>
        </w:tc>
        <w:tc>
          <w:tcPr>
            <w:tcW w:w="2495" w:type="dxa"/>
            <w:vAlign w:val="center"/>
            <w:shd w:fill="FFFFFF"/>
          </w:tcPr>
          <w:p w14:paraId="600489F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w:t>
            </w:r>
          </w:p>
        </w:tc>
      </w:tr>
      <w:tr w:rsidR="00067B1F" w14:paraId="4FC850BF" w14:textId="77777777">
        <w:trPr>
          <w:jc w:val="center"/>
          <w:cantSplit/>
        </w:trPr>
        <w:tc>
          <w:tcPr>
            <w:tcW w:w="2494" w:type="dxa"/>
            <w:vAlign w:val="center"/>
            <w:shd w:fill="FFFFFF"/>
          </w:tcPr>
          <w:p w14:paraId="4DF2123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0.3</w:t>
            </w:r>
          </w:p>
        </w:tc>
        <w:tc>
          <w:tcPr>
            <w:tcW w:w="2494" w:type="dxa"/>
            <w:vAlign w:val="center"/>
            <w:shd w:fill="FFFFFF"/>
          </w:tcPr>
          <w:p w14:paraId="5AB2475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-0.0026</w:t>
            </w:r>
          </w:p>
        </w:tc>
        <w:tc>
          <w:tcPr>
            <w:tcW w:w="2495" w:type="dxa"/>
            <w:vAlign w:val="center"/>
            <w:shd w:fill="FFFFFF"/>
          </w:tcPr>
          <w:p w14:paraId="0467894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−0.0116</w:t>
            </w:r>
          </w:p>
        </w:tc>
        <w:tc>
          <w:tcPr>
            <w:tcW w:w="2495" w:type="dxa"/>
            <w:vAlign w:val="center"/>
            <w:shd w:fill="FFFFFF"/>
          </w:tcPr>
          <w:p w14:paraId="130A5D3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-0.0125</w:t>
            </w:r>
          </w:p>
        </w:tc>
        <w:tc>
          <w:tcPr>
            <w:tcW w:w="2495" w:type="dxa"/>
            <w:vAlign w:val="center"/>
            <w:shd w:fill="FFFFFF"/>
          </w:tcPr>
          <w:p w14:paraId="0FA7849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0.0090 (−0.004 to 0.022)</w:t>
            </w:r>
          </w:p>
        </w:tc>
        <w:tc>
          <w:tcPr>
            <w:tcW w:w="2495" w:type="dxa"/>
            <w:vAlign w:val="center"/>
            <w:shd w:fill="FFFFFF"/>
          </w:tcPr>
          <w:p w14:paraId="28974F4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≈0.17</w:t>
            </w:r>
          </w:p>
        </w:tc>
      </w:tr>
    </w:tbl>
    <w:p w14:paraId="52CE8AF3"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Hallym net benefit used NB=(TP/N)−(FP/N)·[p_t/(1−p_t)] on 1,100 locked seven-day scores. At p_t=0.05/0.10/0.20/0.30, PatchFusion TP/FP were 62/674, 60/464, 42/190, and 31/79, yielding NB 0.0241, 0.0077, −0.0050, and −0.0026. The ΔNB interval versus PatchTST at p_t=0.20 had a reported lower bound of 0.000 (P=.05); the other three intervals included zero. Approximate P values are displayed as supplied by the author. The negative point estimates at 0.20 and 0.30 document the operating behavior of the transported probabilities at those thresholds.</w:t>
      </w:r>
    </w:p>
    <w:p w14:paraId="58B564C4"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S27. Iso-Sensitivity Operating Characteristics (Panel B is post hoc on Hallym, not locked transport)</w:t>
      </w:r>
    </w:p>
    <w:p w14:paraId="41E7A0E6"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lastRenderedPageBreak/>
        <w:t>Panel A. MIMIC-IV ≈12–24-hour mortality; cutpoint chosen on pooled OOF scores to capture 431/615 deaths (sensitivity 0.701). N = 52,868; 615 ≈12–24-hour deaths as in Table S1; prevalence 1.16%. PatchFusion yielded TP=431 and FP=1,463.</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67B1F" w14:paraId="55A8A0C4" w14:textId="77777777">
        <w:trPr>
          <w:jc w:val="center"/>
          <w:cantSplit/>
          <w:tblHeader/>
        </w:trPr>
        <w:tc>
          <w:tcPr>
            <w:tcW w:w="2138" w:type="dxa"/>
            <w:vAlign w:val="center"/>
            <w:shd w:fill="E7E7E7"/>
          </w:tcPr>
          <w:p w14:paraId="6E146E65"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Model</w:t>
            </w:r>
          </w:p>
        </w:tc>
        <w:tc>
          <w:tcPr>
            <w:tcW w:w="2138" w:type="dxa"/>
            <w:vAlign w:val="center"/>
            <w:shd w:fill="E7E7E7"/>
          </w:tcPr>
          <w:p w14:paraId="20DC068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Sensitivity</w:t>
            </w:r>
          </w:p>
        </w:tc>
        <w:tc>
          <w:tcPr>
            <w:tcW w:w="2138" w:type="dxa"/>
            <w:vAlign w:val="center"/>
            <w:shd w:fill="E7E7E7"/>
          </w:tcPr>
          <w:p w14:paraId="33F39A8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Specificity</w:t>
            </w:r>
          </w:p>
        </w:tc>
        <w:tc>
          <w:tcPr>
            <w:tcW w:w="2138" w:type="dxa"/>
            <w:vAlign w:val="center"/>
            <w:shd w:fill="E7E7E7"/>
          </w:tcPr>
          <w:p w14:paraId="237CD27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PPV</w:t>
            </w:r>
          </w:p>
        </w:tc>
        <w:tc>
          <w:tcPr>
            <w:tcW w:w="2138" w:type="dxa"/>
            <w:vAlign w:val="center"/>
            <w:shd w:fill="E7E7E7"/>
          </w:tcPr>
          <w:p w14:paraId="06A2DE6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Alerts per 100</w:t>
            </w:r>
          </w:p>
        </w:tc>
        <w:tc>
          <w:tcPr>
            <w:tcW w:w="2138" w:type="dxa"/>
            <w:vAlign w:val="center"/>
            <w:shd w:fill="E7E7E7"/>
          </w:tcPr>
          <w:p w14:paraId="313AA74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ΔPPV (PatchFusion − comparator) (95% CI)</w:t>
            </w:r>
          </w:p>
        </w:tc>
        <w:tc>
          <w:tcPr>
            <w:tcW w:w="2138" w:type="dxa"/>
            <w:vAlign w:val="center"/>
            <w:shd w:fill="E7E7E7"/>
          </w:tcPr>
          <w:p w14:paraId="322F24E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w:t>
            </w:r>
          </w:p>
        </w:tc>
      </w:tr>
      <w:tr w:rsidR="00067B1F" w14:paraId="1459FF79" w14:textId="77777777">
        <w:trPr>
          <w:jc w:val="center"/>
          <w:cantSplit/>
        </w:trPr>
        <w:tc>
          <w:tcPr>
            <w:tcW w:w="2138" w:type="dxa"/>
            <w:vAlign w:val="center"/>
            <w:shd w:fill="FFFFFF"/>
          </w:tcPr>
          <w:p w14:paraId="412C650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PatchFusion</w:t>
            </w:r>
          </w:p>
        </w:tc>
        <w:tc>
          <w:tcPr>
            <w:tcW w:w="2138" w:type="dxa"/>
            <w:vAlign w:val="center"/>
            <w:shd w:fill="FFFFFF"/>
          </w:tcPr>
          <w:p w14:paraId="5F2CB7F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0.701</w:t>
            </w:r>
          </w:p>
        </w:tc>
        <w:tc>
          <w:tcPr>
            <w:tcW w:w="2138" w:type="dxa"/>
            <w:vAlign w:val="center"/>
            <w:shd w:fill="FFFFFF"/>
          </w:tcPr>
          <w:p w14:paraId="519AC40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0.972</w:t>
            </w:r>
          </w:p>
        </w:tc>
        <w:tc>
          <w:tcPr>
            <w:tcW w:w="2138" w:type="dxa"/>
            <w:vAlign w:val="center"/>
            <w:shd w:fill="FFFFFF"/>
          </w:tcPr>
          <w:p w14:paraId="395EB14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0.228</w:t>
            </w:r>
          </w:p>
        </w:tc>
        <w:tc>
          <w:tcPr>
            <w:tcW w:w="2138" w:type="dxa"/>
            <w:vAlign w:val="center"/>
            <w:shd w:fill="FFFFFF"/>
          </w:tcPr>
          <w:p w14:paraId="00C308B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3.58</w:t>
            </w:r>
          </w:p>
        </w:tc>
        <w:tc>
          <w:tcPr>
            <w:tcW w:w="2138" w:type="dxa"/>
            <w:vAlign w:val="center"/>
            <w:shd w:fill="FFFFFF"/>
          </w:tcPr>
          <w:p w14:paraId="5532493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052FC30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r>
      <w:tr w:rsidR="00067B1F" w14:paraId="176748BF" w14:textId="77777777">
        <w:trPr>
          <w:jc w:val="center"/>
          <w:cantSplit/>
        </w:trPr>
        <w:tc>
          <w:tcPr>
            <w:tcW w:w="2138" w:type="dxa"/>
            <w:vAlign w:val="center"/>
            <w:shd w:fill="FFFFFF"/>
          </w:tcPr>
          <w:p w14:paraId="5BAA7835"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PatchTST</w:t>
            </w:r>
          </w:p>
        </w:tc>
        <w:tc>
          <w:tcPr>
            <w:tcW w:w="2138" w:type="dxa"/>
            <w:vAlign w:val="center"/>
            <w:shd w:fill="FFFFFF"/>
          </w:tcPr>
          <w:p w14:paraId="35D26C6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0.701</w:t>
            </w:r>
          </w:p>
        </w:tc>
        <w:tc>
          <w:tcPr>
            <w:tcW w:w="2138" w:type="dxa"/>
            <w:vAlign w:val="center"/>
            <w:shd w:fill="FFFFFF"/>
          </w:tcPr>
          <w:p w14:paraId="6494D15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0.862</w:t>
            </w:r>
          </w:p>
        </w:tc>
        <w:tc>
          <w:tcPr>
            <w:tcW w:w="2138" w:type="dxa"/>
            <w:vAlign w:val="center"/>
            <w:shd w:fill="FFFFFF"/>
          </w:tcPr>
          <w:p w14:paraId="3C305D2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0.056</w:t>
            </w:r>
          </w:p>
        </w:tc>
        <w:tc>
          <w:tcPr>
            <w:tcW w:w="2138" w:type="dxa"/>
            <w:vAlign w:val="center"/>
            <w:shd w:fill="FFFFFF"/>
          </w:tcPr>
          <w:p w14:paraId="2672C43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14.5</w:t>
            </w:r>
          </w:p>
        </w:tc>
        <w:tc>
          <w:tcPr>
            <w:tcW w:w="2138" w:type="dxa"/>
            <w:vAlign w:val="center"/>
            <w:shd w:fill="FFFFFF"/>
          </w:tcPr>
          <w:p w14:paraId="1BDE2F0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0.171 (0.161 to 0.182)</w:t>
            </w:r>
          </w:p>
        </w:tc>
        <w:tc>
          <w:tcPr>
            <w:tcW w:w="2138" w:type="dxa"/>
            <w:vAlign w:val="center"/>
            <w:shd w:fill="FFFFFF"/>
          </w:tcPr>
          <w:p w14:paraId="35BFBA9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717A51E2" w14:textId="77777777">
        <w:trPr>
          <w:jc w:val="center"/>
          <w:cantSplit/>
        </w:trPr>
        <w:tc>
          <w:tcPr>
            <w:tcW w:w="2138" w:type="dxa"/>
            <w:vAlign w:val="center"/>
            <w:shd w:fill="FFFFFF"/>
          </w:tcPr>
          <w:p w14:paraId="705E78D6"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Raindrop</w:t>
            </w:r>
          </w:p>
        </w:tc>
        <w:tc>
          <w:tcPr>
            <w:tcW w:w="2138" w:type="dxa"/>
            <w:vAlign w:val="center"/>
            <w:shd w:fill="FFFFFF"/>
          </w:tcPr>
          <w:p w14:paraId="734EA57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0.701</w:t>
            </w:r>
          </w:p>
        </w:tc>
        <w:tc>
          <w:tcPr>
            <w:tcW w:w="2138" w:type="dxa"/>
            <w:vAlign w:val="center"/>
            <w:shd w:fill="FFFFFF"/>
          </w:tcPr>
          <w:p w14:paraId="2B2E026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0.896</w:t>
            </w:r>
          </w:p>
        </w:tc>
        <w:tc>
          <w:tcPr>
            <w:tcW w:w="2138" w:type="dxa"/>
            <w:vAlign w:val="center"/>
            <w:shd w:fill="FFFFFF"/>
          </w:tcPr>
          <w:p w14:paraId="1F1FB46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0.073</w:t>
            </w:r>
          </w:p>
        </w:tc>
        <w:tc>
          <w:tcPr>
            <w:tcW w:w="2138" w:type="dxa"/>
            <w:vAlign w:val="center"/>
            <w:shd w:fill="FFFFFF"/>
          </w:tcPr>
          <w:p w14:paraId="1E581AE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11.1</w:t>
            </w:r>
          </w:p>
        </w:tc>
        <w:tc>
          <w:tcPr>
            <w:tcW w:w="2138" w:type="dxa"/>
            <w:vAlign w:val="center"/>
            <w:shd w:fill="FFFFFF"/>
          </w:tcPr>
          <w:p w14:paraId="350DAB3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0.154 (0.144 to 0.164)</w:t>
            </w:r>
          </w:p>
        </w:tc>
        <w:tc>
          <w:tcPr>
            <w:tcW w:w="2138" w:type="dxa"/>
            <w:vAlign w:val="center"/>
            <w:shd w:fill="FFFFFF"/>
          </w:tcPr>
          <w:p w14:paraId="686E7B3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024C4A2D" w14:textId="77777777">
        <w:trPr>
          <w:jc w:val="center"/>
          <w:cantSplit/>
        </w:trPr>
        <w:tc>
          <w:tcPr>
            <w:tcW w:w="2138" w:type="dxa"/>
            <w:vAlign w:val="center"/>
            <w:shd w:fill="FFFFFF"/>
          </w:tcPr>
          <w:p w14:paraId="7CA447EE"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TBAL</w:t>
            </w:r>
          </w:p>
        </w:tc>
        <w:tc>
          <w:tcPr>
            <w:tcW w:w="2138" w:type="dxa"/>
            <w:vAlign w:val="center"/>
            <w:shd w:fill="FFFFFF"/>
          </w:tcPr>
          <w:p w14:paraId="456866D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0.701</w:t>
            </w:r>
          </w:p>
        </w:tc>
        <w:tc>
          <w:tcPr>
            <w:tcW w:w="2138" w:type="dxa"/>
            <w:vAlign w:val="center"/>
            <w:shd w:fill="FFFFFF"/>
          </w:tcPr>
          <w:p w14:paraId="513DA61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0.901</w:t>
            </w:r>
          </w:p>
        </w:tc>
        <w:tc>
          <w:tcPr>
            <w:tcW w:w="2138" w:type="dxa"/>
            <w:vAlign w:val="center"/>
            <w:shd w:fill="FFFFFF"/>
          </w:tcPr>
          <w:p w14:paraId="451A6AD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0.077</w:t>
            </w:r>
          </w:p>
        </w:tc>
        <w:tc>
          <w:tcPr>
            <w:tcW w:w="2138" w:type="dxa"/>
            <w:vAlign w:val="center"/>
            <w:shd w:fill="FFFFFF"/>
          </w:tcPr>
          <w:p w14:paraId="2182B9A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10.6</w:t>
            </w:r>
          </w:p>
        </w:tc>
        <w:tc>
          <w:tcPr>
            <w:tcW w:w="2138" w:type="dxa"/>
            <w:vAlign w:val="center"/>
            <w:shd w:fill="FFFFFF"/>
          </w:tcPr>
          <w:p w14:paraId="2F1981A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0.151 (0.141 to 0.16)</w:t>
            </w:r>
          </w:p>
        </w:tc>
        <w:tc>
          <w:tcPr>
            <w:tcW w:w="2138" w:type="dxa"/>
            <w:vAlign w:val="center"/>
            <w:shd w:fill="FFFFFF"/>
          </w:tcPr>
          <w:p w14:paraId="008ED34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457853E8" w14:textId="77777777">
        <w:trPr>
          <w:jc w:val="center"/>
          <w:cantSplit/>
        </w:trPr>
        <w:tc>
          <w:tcPr>
            <w:tcW w:w="2138" w:type="dxa"/>
            <w:vAlign w:val="center"/>
            <w:shd w:fill="FFFFFF"/>
          </w:tcPr>
          <w:p w14:paraId="43C64BB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GRU-D</w:t>
            </w:r>
          </w:p>
        </w:tc>
        <w:tc>
          <w:tcPr>
            <w:tcW w:w="2138" w:type="dxa"/>
            <w:vAlign w:val="center"/>
            <w:shd w:fill="FFFFFF"/>
          </w:tcPr>
          <w:p w14:paraId="295430C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0.701</w:t>
            </w:r>
          </w:p>
        </w:tc>
        <w:tc>
          <w:tcPr>
            <w:tcW w:w="2138" w:type="dxa"/>
            <w:vAlign w:val="center"/>
            <w:shd w:fill="FFFFFF"/>
          </w:tcPr>
          <w:p w14:paraId="1DE09D8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0.862</w:t>
            </w:r>
          </w:p>
        </w:tc>
        <w:tc>
          <w:tcPr>
            <w:tcW w:w="2138" w:type="dxa"/>
            <w:vAlign w:val="center"/>
            <w:shd w:fill="FFFFFF"/>
          </w:tcPr>
          <w:p w14:paraId="4D0856A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0.056</w:t>
            </w:r>
          </w:p>
        </w:tc>
        <w:tc>
          <w:tcPr>
            <w:tcW w:w="2138" w:type="dxa"/>
            <w:vAlign w:val="center"/>
            <w:shd w:fill="FFFFFF"/>
          </w:tcPr>
          <w:p w14:paraId="53F216B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14.5</w:t>
            </w:r>
          </w:p>
        </w:tc>
        <w:tc>
          <w:tcPr>
            <w:tcW w:w="2138" w:type="dxa"/>
            <w:vAlign w:val="center"/>
            <w:shd w:fill="FFFFFF"/>
          </w:tcPr>
          <w:p w14:paraId="095F667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0.171 (0.161 to 0.182)</w:t>
            </w:r>
          </w:p>
        </w:tc>
        <w:tc>
          <w:tcPr>
            <w:tcW w:w="2138" w:type="dxa"/>
            <w:vAlign w:val="center"/>
            <w:shd w:fill="FFFFFF"/>
          </w:tcPr>
          <w:p w14:paraId="2BE9DAB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46795E40" w14:textId="77777777">
        <w:trPr>
          <w:jc w:val="center"/>
          <w:cantSplit/>
        </w:trPr>
        <w:tc>
          <w:tcPr>
            <w:tcW w:w="2138" w:type="dxa"/>
            <w:vAlign w:val="center"/>
            <w:shd w:fill="FFFFFF"/>
          </w:tcPr>
          <w:p w14:paraId="3437B250"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LightGBM</w:t>
            </w:r>
          </w:p>
        </w:tc>
        <w:tc>
          <w:tcPr>
            <w:tcW w:w="2138" w:type="dxa"/>
            <w:vAlign w:val="center"/>
            <w:shd w:fill="FFFFFF"/>
          </w:tcPr>
          <w:p w14:paraId="57C0886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0.701</w:t>
            </w:r>
          </w:p>
        </w:tc>
        <w:tc>
          <w:tcPr>
            <w:tcW w:w="2138" w:type="dxa"/>
            <w:vAlign w:val="center"/>
            <w:shd w:fill="FFFFFF"/>
          </w:tcPr>
          <w:p w14:paraId="103D62A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0.824</w:t>
            </w:r>
          </w:p>
        </w:tc>
        <w:tc>
          <w:tcPr>
            <w:tcW w:w="2138" w:type="dxa"/>
            <w:vAlign w:val="center"/>
            <w:shd w:fill="FFFFFF"/>
          </w:tcPr>
          <w:p w14:paraId="1DFEAA5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0.045</w:t>
            </w:r>
          </w:p>
        </w:tc>
        <w:tc>
          <w:tcPr>
            <w:tcW w:w="2138" w:type="dxa"/>
            <w:vAlign w:val="center"/>
            <w:shd w:fill="FFFFFF"/>
          </w:tcPr>
          <w:p w14:paraId="4DD88C6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18.2</w:t>
            </w:r>
          </w:p>
        </w:tc>
        <w:tc>
          <w:tcPr>
            <w:tcW w:w="2138" w:type="dxa"/>
            <w:vAlign w:val="center"/>
            <w:shd w:fill="FFFFFF"/>
          </w:tcPr>
          <w:p w14:paraId="078E9D3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0.183 (0.172 to 0.194)</w:t>
            </w:r>
          </w:p>
        </w:tc>
        <w:tc>
          <w:tcPr>
            <w:tcW w:w="2138" w:type="dxa"/>
            <w:vAlign w:val="center"/>
            <w:shd w:fill="FFFFFF"/>
          </w:tcPr>
          <w:p w14:paraId="0531118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bl>
    <w:p w14:paraId="392195AB"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Panel B (post hoc, not locked transport). Hallym 7-day mortality. Cutpoints were selected on Hallym scores and labels to capture 59/65 deaths (sensitivity 0.908). A MIMIC-IV–locked cutpoint would not place every model at this sensitivity. N = 1,100; 65 events; prevalence 5.91%.</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67B1F" w14:paraId="3B60FB1A" w14:textId="77777777">
        <w:trPr>
          <w:jc w:val="center"/>
          <w:cantSplit/>
          <w:tblHeader/>
        </w:trPr>
        <w:tc>
          <w:tcPr>
            <w:tcW w:w="2138" w:type="dxa"/>
            <w:vAlign w:val="center"/>
            <w:shd w:fill="E7E7E7"/>
          </w:tcPr>
          <w:p w14:paraId="5877817C"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Model</w:t>
            </w:r>
          </w:p>
        </w:tc>
        <w:tc>
          <w:tcPr>
            <w:tcW w:w="2138" w:type="dxa"/>
            <w:vAlign w:val="center"/>
            <w:shd w:fill="E7E7E7"/>
          </w:tcPr>
          <w:p w14:paraId="7BAF4D0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Sensitivity</w:t>
            </w:r>
          </w:p>
        </w:tc>
        <w:tc>
          <w:tcPr>
            <w:tcW w:w="2138" w:type="dxa"/>
            <w:vAlign w:val="center"/>
            <w:shd w:fill="E7E7E7"/>
          </w:tcPr>
          <w:p w14:paraId="0F2A333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Specificity</w:t>
            </w:r>
          </w:p>
        </w:tc>
        <w:tc>
          <w:tcPr>
            <w:tcW w:w="2138" w:type="dxa"/>
            <w:vAlign w:val="center"/>
            <w:shd w:fill="E7E7E7"/>
          </w:tcPr>
          <w:p w14:paraId="60FAED8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PPV</w:t>
            </w:r>
          </w:p>
        </w:tc>
        <w:tc>
          <w:tcPr>
            <w:tcW w:w="2138" w:type="dxa"/>
            <w:vAlign w:val="center"/>
            <w:shd w:fill="E7E7E7"/>
          </w:tcPr>
          <w:p w14:paraId="1577A1F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Alerts per 100</w:t>
            </w:r>
          </w:p>
        </w:tc>
        <w:tc>
          <w:tcPr>
            <w:tcW w:w="2138" w:type="dxa"/>
            <w:vAlign w:val="center"/>
            <w:shd w:fill="E7E7E7"/>
          </w:tcPr>
          <w:p w14:paraId="298CA07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ΔPPV (PatchFusion − comparator) (95% CI)</w:t>
            </w:r>
          </w:p>
        </w:tc>
        <w:tc>
          <w:tcPr>
            <w:tcW w:w="2138" w:type="dxa"/>
            <w:vAlign w:val="center"/>
            <w:shd w:fill="E7E7E7"/>
          </w:tcPr>
          <w:p w14:paraId="12F425F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w:t>
            </w:r>
          </w:p>
        </w:tc>
      </w:tr>
      <w:tr w:rsidR="00067B1F" w14:paraId="5B0A6376" w14:textId="77777777">
        <w:trPr>
          <w:jc w:val="center"/>
          <w:cantSplit/>
        </w:trPr>
        <w:tc>
          <w:tcPr>
            <w:tcW w:w="2138" w:type="dxa"/>
            <w:vAlign w:val="center"/>
            <w:shd w:fill="FFFFFF"/>
          </w:tcPr>
          <w:p w14:paraId="128DD8C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PatchFusion</w:t>
            </w:r>
          </w:p>
        </w:tc>
        <w:tc>
          <w:tcPr>
            <w:tcW w:w="2138" w:type="dxa"/>
            <w:vAlign w:val="center"/>
            <w:shd w:fill="FFFFFF"/>
          </w:tcPr>
          <w:p w14:paraId="66C23D4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0.908</w:t>
            </w:r>
          </w:p>
        </w:tc>
        <w:tc>
          <w:tcPr>
            <w:tcW w:w="2138" w:type="dxa"/>
            <w:vAlign w:val="center"/>
            <w:shd w:fill="FFFFFF"/>
          </w:tcPr>
          <w:p w14:paraId="44B6D29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0.681</w:t>
            </w:r>
          </w:p>
        </w:tc>
        <w:tc>
          <w:tcPr>
            <w:tcW w:w="2138" w:type="dxa"/>
            <w:vAlign w:val="center"/>
            <w:shd w:fill="FFFFFF"/>
          </w:tcPr>
          <w:p w14:paraId="34B900D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0.152</w:t>
            </w:r>
          </w:p>
        </w:tc>
        <w:tc>
          <w:tcPr>
            <w:tcW w:w="2138" w:type="dxa"/>
            <w:vAlign w:val="center"/>
            <w:shd w:fill="FFFFFF"/>
          </w:tcPr>
          <w:p w14:paraId="3861C46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35.4</w:t>
            </w:r>
          </w:p>
        </w:tc>
        <w:tc>
          <w:tcPr>
            <w:tcW w:w="2138" w:type="dxa"/>
            <w:vAlign w:val="center"/>
            <w:shd w:fill="FFFFFF"/>
          </w:tcPr>
          <w:p w14:paraId="19B8287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48F4310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r>
      <w:tr w:rsidR="00067B1F" w14:paraId="407EA520" w14:textId="77777777">
        <w:trPr>
          <w:jc w:val="center"/>
          <w:cantSplit/>
        </w:trPr>
        <w:tc>
          <w:tcPr>
            <w:tcW w:w="2138" w:type="dxa"/>
            <w:vAlign w:val="center"/>
            <w:shd w:fill="FFFFFF"/>
          </w:tcPr>
          <w:p w14:paraId="3896985C"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PatchTST</w:t>
            </w:r>
          </w:p>
        </w:tc>
        <w:tc>
          <w:tcPr>
            <w:tcW w:w="2138" w:type="dxa"/>
            <w:vAlign w:val="center"/>
            <w:shd w:fill="FFFFFF"/>
          </w:tcPr>
          <w:p w14:paraId="045FC9E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0.908</w:t>
            </w:r>
          </w:p>
        </w:tc>
        <w:tc>
          <w:tcPr>
            <w:tcW w:w="2138" w:type="dxa"/>
            <w:vAlign w:val="center"/>
            <w:shd w:fill="FFFFFF"/>
          </w:tcPr>
          <w:p w14:paraId="69D0890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0.462</w:t>
            </w:r>
          </w:p>
        </w:tc>
        <w:tc>
          <w:tcPr>
            <w:tcW w:w="2138" w:type="dxa"/>
            <w:vAlign w:val="center"/>
            <w:shd w:fill="FFFFFF"/>
          </w:tcPr>
          <w:p w14:paraId="002534D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0.096</w:t>
            </w:r>
          </w:p>
        </w:tc>
        <w:tc>
          <w:tcPr>
            <w:tcW w:w="2138" w:type="dxa"/>
            <w:vAlign w:val="center"/>
            <w:shd w:fill="FFFFFF"/>
          </w:tcPr>
          <w:p w14:paraId="2E692CD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56.0</w:t>
            </w:r>
          </w:p>
        </w:tc>
        <w:tc>
          <w:tcPr>
            <w:tcW w:w="2138" w:type="dxa"/>
            <w:vAlign w:val="center"/>
            <w:shd w:fill="FFFFFF"/>
          </w:tcPr>
          <w:p w14:paraId="13EB17C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0.056 (0.047 to 0.065)</w:t>
            </w:r>
            <w:r>
              <w:rPr>
                <w:rFonts w:ascii="Times New Roman" w:hAnsi="Times New Roman" w:eastAsia="Times New Roman" w:cs="Times New Roman"/>
                <w:b w:val="0"/>
                <w:vanish w:val="0"/>
                <w:color w:val="000000"/>
                <w:sz w:val="19"/>
              </w:rPr>
            </w:r>
          </w:p>
        </w:tc>
        <w:tc>
          <w:tcPr>
            <w:tcW w:w="2138" w:type="dxa"/>
            <w:vAlign w:val="center"/>
            <w:shd w:fill="FFFFFF"/>
          </w:tcPr>
          <w:p w14:paraId="3CFC922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2E66D6CC" w14:textId="77777777">
        <w:trPr>
          <w:jc w:val="center"/>
          <w:cantSplit/>
        </w:trPr>
        <w:tc>
          <w:tcPr>
            <w:tcW w:w="2138" w:type="dxa"/>
            <w:vAlign w:val="center"/>
            <w:shd w:fill="FFFFFF"/>
          </w:tcPr>
          <w:p w14:paraId="55918BC0"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Raindrop</w:t>
            </w:r>
          </w:p>
        </w:tc>
        <w:tc>
          <w:tcPr>
            <w:tcW w:w="2138" w:type="dxa"/>
            <w:vAlign w:val="center"/>
            <w:shd w:fill="FFFFFF"/>
          </w:tcPr>
          <w:p w14:paraId="4BAB176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0.908</w:t>
            </w:r>
          </w:p>
        </w:tc>
        <w:tc>
          <w:tcPr>
            <w:tcW w:w="2138" w:type="dxa"/>
            <w:vAlign w:val="center"/>
            <w:shd w:fill="FFFFFF"/>
          </w:tcPr>
          <w:p w14:paraId="7DAD64F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0.498</w:t>
            </w:r>
          </w:p>
        </w:tc>
        <w:tc>
          <w:tcPr>
            <w:tcW w:w="2138" w:type="dxa"/>
            <w:vAlign w:val="center"/>
            <w:shd w:fill="FFFFFF"/>
          </w:tcPr>
          <w:p w14:paraId="000656E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0.102</w:t>
            </w:r>
          </w:p>
        </w:tc>
        <w:tc>
          <w:tcPr>
            <w:tcW w:w="2138" w:type="dxa"/>
            <w:vAlign w:val="center"/>
            <w:shd w:fill="FFFFFF"/>
          </w:tcPr>
          <w:p w14:paraId="0E41B92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52.6</w:t>
            </w:r>
          </w:p>
        </w:tc>
        <w:tc>
          <w:tcPr>
            <w:tcW w:w="2138" w:type="dxa"/>
            <w:vAlign w:val="center"/>
            <w:shd w:fill="FFFFFF"/>
          </w:tcPr>
          <w:p w14:paraId="0A69256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 (0.041 to 0.06)</w:t>
            </w:r>
          </w:p>
        </w:tc>
        <w:tc>
          <w:tcPr>
            <w:tcW w:w="2138" w:type="dxa"/>
            <w:vAlign w:val="center"/>
            <w:shd w:fill="FFFFFF"/>
          </w:tcPr>
          <w:p w14:paraId="7ECD8B5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748561BC" w14:textId="77777777">
        <w:trPr>
          <w:jc w:val="center"/>
          <w:cantSplit/>
        </w:trPr>
        <w:tc>
          <w:tcPr>
            <w:tcW w:w="2138" w:type="dxa"/>
            <w:vAlign w:val="center"/>
            <w:shd w:fill="FFFFFF"/>
          </w:tcPr>
          <w:p w14:paraId="3A4B2A19"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TBAL</w:t>
            </w:r>
          </w:p>
        </w:tc>
        <w:tc>
          <w:tcPr>
            <w:tcW w:w="2138" w:type="dxa"/>
            <w:vAlign w:val="center"/>
            <w:shd w:fill="FFFFFF"/>
          </w:tcPr>
          <w:p w14:paraId="709AE0B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0.908</w:t>
            </w:r>
          </w:p>
        </w:tc>
        <w:tc>
          <w:tcPr>
            <w:tcW w:w="2138" w:type="dxa"/>
            <w:vAlign w:val="center"/>
            <w:shd w:fill="FFFFFF"/>
          </w:tcPr>
          <w:p w14:paraId="00AAB77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0.488</w:t>
            </w:r>
          </w:p>
        </w:tc>
        <w:tc>
          <w:tcPr>
            <w:tcW w:w="2138" w:type="dxa"/>
            <w:vAlign w:val="center"/>
            <w:shd w:fill="FFFFFF"/>
          </w:tcPr>
          <w:p w14:paraId="304C85D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0.100</w:t>
            </w:r>
          </w:p>
        </w:tc>
        <w:tc>
          <w:tcPr>
            <w:tcW w:w="2138" w:type="dxa"/>
            <w:vAlign w:val="center"/>
            <w:shd w:fill="FFFFFF"/>
          </w:tcPr>
          <w:p w14:paraId="02B6E1B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53.5</w:t>
            </w:r>
          </w:p>
        </w:tc>
        <w:tc>
          <w:tcPr>
            <w:tcW w:w="2138" w:type="dxa"/>
            <w:vAlign w:val="center"/>
            <w:shd w:fill="FFFFFF"/>
          </w:tcPr>
          <w:p w14:paraId="3CFD3A2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0.052 (0.043 to 0.062)</w:t>
            </w:r>
          </w:p>
        </w:tc>
        <w:tc>
          <w:tcPr>
            <w:tcW w:w="2138" w:type="dxa"/>
            <w:vAlign w:val="center"/>
            <w:shd w:fill="FFFFFF"/>
          </w:tcPr>
          <w:p w14:paraId="59AD9DA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313C15B8" w14:textId="77777777">
        <w:trPr>
          <w:jc w:val="center"/>
          <w:cantSplit/>
        </w:trPr>
        <w:tc>
          <w:tcPr>
            <w:tcW w:w="2138" w:type="dxa"/>
            <w:vAlign w:val="center"/>
            <w:shd w:fill="FFFFFF"/>
          </w:tcPr>
          <w:p w14:paraId="3C035C3D"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GRU-D</w:t>
            </w:r>
          </w:p>
        </w:tc>
        <w:tc>
          <w:tcPr>
            <w:tcW w:w="2138" w:type="dxa"/>
            <w:vAlign w:val="center"/>
            <w:shd w:fill="FFFFFF"/>
          </w:tcPr>
          <w:p w14:paraId="67F65C0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0.908</w:t>
            </w:r>
          </w:p>
        </w:tc>
        <w:tc>
          <w:tcPr>
            <w:tcW w:w="2138" w:type="dxa"/>
            <w:vAlign w:val="center"/>
            <w:shd w:fill="FFFFFF"/>
          </w:tcPr>
          <w:p w14:paraId="7136ABB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0.442</w:t>
            </w:r>
          </w:p>
        </w:tc>
        <w:tc>
          <w:tcPr>
            <w:tcW w:w="2138" w:type="dxa"/>
            <w:vAlign w:val="center"/>
            <w:shd w:fill="FFFFFF"/>
          </w:tcPr>
          <w:p w14:paraId="5966D7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0.093</w:t>
            </w:r>
          </w:p>
        </w:tc>
        <w:tc>
          <w:tcPr>
            <w:tcW w:w="2138" w:type="dxa"/>
            <w:vAlign w:val="center"/>
            <w:shd w:fill="FFFFFF"/>
          </w:tcPr>
          <w:p w14:paraId="595B07F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57.9</w:t>
            </w:r>
          </w:p>
        </w:tc>
        <w:tc>
          <w:tcPr>
            <w:tcW w:w="2138" w:type="dxa"/>
            <w:vAlign w:val="center"/>
            <w:shd w:fill="FFFFFF"/>
          </w:tcPr>
          <w:p w14:paraId="144D3DF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0.059 (0.05 to 0.07)</w:t>
            </w:r>
          </w:p>
        </w:tc>
        <w:tc>
          <w:tcPr>
            <w:tcW w:w="2138" w:type="dxa"/>
            <w:vAlign w:val="center"/>
            <w:shd w:fill="FFFFFF"/>
          </w:tcPr>
          <w:p w14:paraId="724DE44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bl>
    <w:p w14:paraId="691A1313" w14:textId="77777777" w:rsidR="00067B1F" w:rsidRDefault="00000000">
      <w:pPr>
        <w:keepNext/>
        <w:keepLines w:val="0"/>
        <w:pageBreakBefore/>
        <w:widowControl/>
        <w:spacing w:after="80" w:line="480" w:lineRule="auto" w:before="0"/>
        <w:ind w:left="0" w:right="0" w:firstLine="0"/>
      </w:pPr>
      <w:r>
        <w:rPr>
          <w:rFonts w:ascii="Times New Roman" w:hAnsi="Times New Roman" w:eastAsia="Times New Roman" w:cs="Times New Roman"/>
          <w:b/>
          <w:vanish w:val="0"/>
          <w:color w:val="000000"/>
          <w:sz w:val="22"/>
        </w:rPr>
        <w:lastRenderedPageBreak/>
        <w:t>Table S28. Iso-Alert-Rate Operating Characteristics</w:t>
      </w:r>
    </w:p>
    <w:p w14:paraId="285ABAF0"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Panel A. MIMIC-IV ≈12–24-hour mortality at a shared positive rate of 2,613/52,868 stays (4.94 per 100; Table S19 Youden operating point). Cutpoints used scores only. PatchFusion yielded TP=523 and FP=2,090 (sensitivity 523/615=0.850; PPV 523/2,613=0.200).</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67B1F" w14:paraId="5E8D6D6E" w14:textId="77777777">
        <w:trPr>
          <w:jc w:val="center"/>
          <w:cantSplit/>
          <w:tblHeader/>
        </w:trPr>
        <w:tc>
          <w:tcPr>
            <w:tcW w:w="2138" w:type="dxa"/>
            <w:vAlign w:val="center"/>
            <w:shd w:fill="E7E7E7"/>
          </w:tcPr>
          <w:p w14:paraId="3BC2466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Model</w:t>
            </w:r>
          </w:p>
        </w:tc>
        <w:tc>
          <w:tcPr>
            <w:tcW w:w="2138" w:type="dxa"/>
            <w:vAlign w:val="center"/>
            <w:shd w:fill="E7E7E7"/>
          </w:tcPr>
          <w:p w14:paraId="2713C69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Alerts per 100</w:t>
            </w:r>
          </w:p>
        </w:tc>
        <w:tc>
          <w:tcPr>
            <w:tcW w:w="2138" w:type="dxa"/>
            <w:vAlign w:val="center"/>
            <w:shd w:fill="E7E7E7"/>
          </w:tcPr>
          <w:p w14:paraId="3CB7762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Sensitivity</w:t>
            </w:r>
          </w:p>
        </w:tc>
        <w:tc>
          <w:tcPr>
            <w:tcW w:w="2138" w:type="dxa"/>
            <w:vAlign w:val="center"/>
            <w:shd w:fill="E7E7E7"/>
          </w:tcPr>
          <w:p w14:paraId="653BF54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Specificity</w:t>
            </w:r>
          </w:p>
        </w:tc>
        <w:tc>
          <w:tcPr>
            <w:tcW w:w="2138" w:type="dxa"/>
            <w:vAlign w:val="center"/>
            <w:shd w:fill="E7E7E7"/>
          </w:tcPr>
          <w:p w14:paraId="483D997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PPV</w:t>
            </w:r>
          </w:p>
        </w:tc>
        <w:tc>
          <w:tcPr>
            <w:tcW w:w="2138" w:type="dxa"/>
            <w:vAlign w:val="center"/>
            <w:shd w:fill="E7E7E7"/>
          </w:tcPr>
          <w:p w14:paraId="7E34F03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ΔSensitivity (PatchFusion − comparator) (95% CI)</w:t>
            </w:r>
          </w:p>
        </w:tc>
        <w:tc>
          <w:tcPr>
            <w:tcW w:w="2138" w:type="dxa"/>
            <w:vAlign w:val="center"/>
            <w:shd w:fill="E7E7E7"/>
          </w:tcPr>
          <w:p w14:paraId="4FF0A8E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w:t>
            </w:r>
          </w:p>
        </w:tc>
      </w:tr>
      <w:tr w:rsidR="00067B1F" w14:paraId="038CDF5A" w14:textId="77777777">
        <w:trPr>
          <w:jc w:val="center"/>
          <w:cantSplit/>
        </w:trPr>
        <w:tc>
          <w:tcPr>
            <w:tcW w:w="2138" w:type="dxa"/>
            <w:vAlign w:val="center"/>
            <w:shd w:fill="FFFFFF"/>
          </w:tcPr>
          <w:p w14:paraId="72ABECED"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PatchFusion</w:t>
            </w:r>
          </w:p>
        </w:tc>
        <w:tc>
          <w:tcPr>
            <w:tcW w:w="2138" w:type="dxa"/>
            <w:vAlign w:val="center"/>
            <w:shd w:fill="FFFFFF"/>
          </w:tcPr>
          <w:p w14:paraId="48AD236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4.94</w:t>
            </w:r>
          </w:p>
        </w:tc>
        <w:tc>
          <w:tcPr>
            <w:tcW w:w="2138" w:type="dxa"/>
            <w:vAlign w:val="center"/>
            <w:shd w:fill="FFFFFF"/>
          </w:tcPr>
          <w:p w14:paraId="35330DA4"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0.850</w:t>
            </w:r>
          </w:p>
        </w:tc>
        <w:tc>
          <w:tcPr>
            <w:tcW w:w="2138" w:type="dxa"/>
            <w:vAlign w:val="center"/>
            <w:shd w:fill="FFFFFF"/>
          </w:tcPr>
          <w:p w14:paraId="029F186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0.960</w:t>
            </w:r>
          </w:p>
        </w:tc>
        <w:tc>
          <w:tcPr>
            <w:tcW w:w="2138" w:type="dxa"/>
            <w:vAlign w:val="center"/>
            <w:shd w:fill="FFFFFF"/>
          </w:tcPr>
          <w:p w14:paraId="2C7820B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0.200</w:t>
            </w:r>
          </w:p>
        </w:tc>
        <w:tc>
          <w:tcPr>
            <w:tcW w:w="2138" w:type="dxa"/>
            <w:vAlign w:val="center"/>
            <w:shd w:fill="FFFFFF"/>
          </w:tcPr>
          <w:p w14:paraId="178C5C5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7EBF14C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r>
      <w:tr w:rsidR="00067B1F" w14:paraId="1C674245" w14:textId="77777777">
        <w:trPr>
          <w:jc w:val="center"/>
          <w:cantSplit/>
        </w:trPr>
        <w:tc>
          <w:tcPr>
            <w:tcW w:w="2138" w:type="dxa"/>
            <w:vAlign w:val="center"/>
            <w:shd w:fill="FFFFFF"/>
          </w:tcPr>
          <w:p w14:paraId="4E613711"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PatchTST</w:t>
            </w:r>
          </w:p>
        </w:tc>
        <w:tc>
          <w:tcPr>
            <w:tcW w:w="2138" w:type="dxa"/>
            <w:vAlign w:val="center"/>
            <w:shd w:fill="FFFFFF"/>
          </w:tcPr>
          <w:p w14:paraId="028A69E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4.94</w:t>
            </w:r>
          </w:p>
        </w:tc>
        <w:tc>
          <w:tcPr>
            <w:tcW w:w="2138" w:type="dxa"/>
            <w:vAlign w:val="center"/>
            <w:shd w:fill="FFFFFF"/>
          </w:tcPr>
          <w:p w14:paraId="130EB8B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0.654</w:t>
            </w:r>
          </w:p>
        </w:tc>
        <w:tc>
          <w:tcPr>
            <w:tcW w:w="2138" w:type="dxa"/>
            <w:vAlign w:val="center"/>
            <w:shd w:fill="FFFFFF"/>
          </w:tcPr>
          <w:p w14:paraId="36D1E60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0.958</w:t>
            </w:r>
          </w:p>
        </w:tc>
        <w:tc>
          <w:tcPr>
            <w:tcW w:w="2138" w:type="dxa"/>
            <w:vAlign w:val="center"/>
            <w:shd w:fill="FFFFFF"/>
          </w:tcPr>
          <w:p w14:paraId="2D719FD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0.154</w:t>
            </w:r>
          </w:p>
        </w:tc>
        <w:tc>
          <w:tcPr>
            <w:tcW w:w="2138" w:type="dxa"/>
            <w:vAlign w:val="center"/>
            <w:shd w:fill="FFFFFF"/>
          </w:tcPr>
          <w:p w14:paraId="7B0CB42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0.197 (0.166 to 0.226)</w:t>
            </w:r>
          </w:p>
        </w:tc>
        <w:tc>
          <w:tcPr>
            <w:tcW w:w="2138" w:type="dxa"/>
            <w:vAlign w:val="center"/>
            <w:shd w:fill="FFFFFF"/>
          </w:tcPr>
          <w:p w14:paraId="3168CC0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3D1E424C" w14:textId="77777777">
        <w:trPr>
          <w:jc w:val="center"/>
          <w:cantSplit/>
        </w:trPr>
        <w:tc>
          <w:tcPr>
            <w:tcW w:w="2138" w:type="dxa"/>
            <w:vAlign w:val="center"/>
            <w:shd w:fill="FFFFFF"/>
          </w:tcPr>
          <w:p w14:paraId="406606DD"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Raindrop</w:t>
            </w:r>
          </w:p>
        </w:tc>
        <w:tc>
          <w:tcPr>
            <w:tcW w:w="2138" w:type="dxa"/>
            <w:vAlign w:val="center"/>
            <w:shd w:fill="FFFFFF"/>
          </w:tcPr>
          <w:p w14:paraId="2522362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4.94</w:t>
            </w:r>
          </w:p>
        </w:tc>
        <w:tc>
          <w:tcPr>
            <w:tcW w:w="2138" w:type="dxa"/>
            <w:vAlign w:val="center"/>
            <w:shd w:fill="FFFFFF"/>
          </w:tcPr>
          <w:p w14:paraId="2C848F9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0.580</w:t>
            </w:r>
          </w:p>
        </w:tc>
        <w:tc>
          <w:tcPr>
            <w:tcW w:w="2138" w:type="dxa"/>
            <w:vAlign w:val="center"/>
            <w:shd w:fill="FFFFFF"/>
          </w:tcPr>
          <w:p w14:paraId="7486A09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0.957</w:t>
            </w:r>
          </w:p>
        </w:tc>
        <w:tc>
          <w:tcPr>
            <w:tcW w:w="2138" w:type="dxa"/>
            <w:vAlign w:val="center"/>
            <w:shd w:fill="FFFFFF"/>
          </w:tcPr>
          <w:p w14:paraId="6BCC059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0.137</w:t>
            </w:r>
          </w:p>
        </w:tc>
        <w:tc>
          <w:tcPr>
            <w:tcW w:w="2138" w:type="dxa"/>
            <w:vAlign w:val="center"/>
            <w:shd w:fill="FFFFFF"/>
          </w:tcPr>
          <w:p w14:paraId="0D0057C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0.270 (0.240 to 0.300)</w:t>
            </w:r>
          </w:p>
        </w:tc>
        <w:tc>
          <w:tcPr>
            <w:tcW w:w="2138" w:type="dxa"/>
            <w:vAlign w:val="center"/>
            <w:shd w:fill="FFFFFF"/>
          </w:tcPr>
          <w:p w14:paraId="6134AEA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3D69194C" w14:textId="77777777">
        <w:trPr>
          <w:jc w:val="center"/>
          <w:cantSplit/>
        </w:trPr>
        <w:tc>
          <w:tcPr>
            <w:tcW w:w="2138" w:type="dxa"/>
            <w:vAlign w:val="center"/>
            <w:shd w:fill="FFFFFF"/>
          </w:tcPr>
          <w:p w14:paraId="4CE22577"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TBAL</w:t>
            </w:r>
          </w:p>
        </w:tc>
        <w:tc>
          <w:tcPr>
            <w:tcW w:w="2138" w:type="dxa"/>
            <w:vAlign w:val="center"/>
            <w:shd w:fill="FFFFFF"/>
          </w:tcPr>
          <w:p w14:paraId="1AC4277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4.94</w:t>
            </w:r>
          </w:p>
        </w:tc>
        <w:tc>
          <w:tcPr>
            <w:tcW w:w="2138" w:type="dxa"/>
            <w:vAlign w:val="center"/>
            <w:shd w:fill="FFFFFF"/>
          </w:tcPr>
          <w:p w14:paraId="722BB76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0.590</w:t>
            </w:r>
          </w:p>
        </w:tc>
        <w:tc>
          <w:tcPr>
            <w:tcW w:w="2138" w:type="dxa"/>
            <w:vAlign w:val="center"/>
            <w:shd w:fill="FFFFFF"/>
          </w:tcPr>
          <w:p w14:paraId="1227F82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0.957</w:t>
            </w:r>
          </w:p>
        </w:tc>
        <w:tc>
          <w:tcPr>
            <w:tcW w:w="2138" w:type="dxa"/>
            <w:vAlign w:val="center"/>
            <w:shd w:fill="FFFFFF"/>
          </w:tcPr>
          <w:p w14:paraId="2268F00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0.139</w:t>
            </w:r>
          </w:p>
        </w:tc>
        <w:tc>
          <w:tcPr>
            <w:tcW w:w="2138" w:type="dxa"/>
            <w:vAlign w:val="center"/>
            <w:shd w:fill="FFFFFF"/>
          </w:tcPr>
          <w:p w14:paraId="2ECD04E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0.260 (0.230 to 0.290)</w:t>
            </w:r>
          </w:p>
        </w:tc>
        <w:tc>
          <w:tcPr>
            <w:tcW w:w="2138" w:type="dxa"/>
            <w:vAlign w:val="center"/>
            <w:shd w:fill="FFFFFF"/>
          </w:tcPr>
          <w:p w14:paraId="0A42BD6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0B4DD23A" w14:textId="77777777">
        <w:trPr>
          <w:jc w:val="center"/>
          <w:cantSplit/>
        </w:trPr>
        <w:tc>
          <w:tcPr>
            <w:tcW w:w="2138" w:type="dxa"/>
            <w:vAlign w:val="center"/>
            <w:shd w:fill="FFFFFF"/>
          </w:tcPr>
          <w:p w14:paraId="03FC3C46"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GRU-D</w:t>
            </w:r>
          </w:p>
        </w:tc>
        <w:tc>
          <w:tcPr>
            <w:tcW w:w="2138" w:type="dxa"/>
            <w:vAlign w:val="center"/>
            <w:shd w:fill="FFFFFF"/>
          </w:tcPr>
          <w:p w14:paraId="7EA0FDB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4.94</w:t>
            </w:r>
          </w:p>
        </w:tc>
        <w:tc>
          <w:tcPr>
            <w:tcW w:w="2138" w:type="dxa"/>
            <w:vAlign w:val="center"/>
            <w:shd w:fill="FFFFFF"/>
          </w:tcPr>
          <w:p w14:paraId="0132C08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0.654</w:t>
            </w:r>
          </w:p>
        </w:tc>
        <w:tc>
          <w:tcPr>
            <w:tcW w:w="2138" w:type="dxa"/>
            <w:vAlign w:val="center"/>
            <w:shd w:fill="FFFFFF"/>
          </w:tcPr>
          <w:p w14:paraId="1310F3E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0.958</w:t>
            </w:r>
          </w:p>
        </w:tc>
        <w:tc>
          <w:tcPr>
            <w:tcW w:w="2138" w:type="dxa"/>
            <w:vAlign w:val="center"/>
            <w:shd w:fill="FFFFFF"/>
          </w:tcPr>
          <w:p w14:paraId="0C69BE3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0.154</w:t>
            </w:r>
          </w:p>
        </w:tc>
        <w:tc>
          <w:tcPr>
            <w:tcW w:w="2138" w:type="dxa"/>
            <w:vAlign w:val="center"/>
            <w:shd w:fill="FFFFFF"/>
          </w:tcPr>
          <w:p w14:paraId="4FB3D68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0.197 (0.166 to 0.226)</w:t>
            </w:r>
          </w:p>
        </w:tc>
        <w:tc>
          <w:tcPr>
            <w:tcW w:w="2138" w:type="dxa"/>
            <w:vAlign w:val="center"/>
            <w:shd w:fill="FFFFFF"/>
          </w:tcPr>
          <w:p w14:paraId="413AE41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7A4D0EF9" w14:textId="77777777">
        <w:trPr>
          <w:jc w:val="center"/>
          <w:cantSplit/>
        </w:trPr>
        <w:tc>
          <w:tcPr>
            <w:tcW w:w="2138" w:type="dxa"/>
            <w:vAlign w:val="center"/>
            <w:shd w:fill="FFFFFF"/>
          </w:tcPr>
          <w:p w14:paraId="4386BC8F"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LightGBM</w:t>
            </w:r>
          </w:p>
        </w:tc>
        <w:tc>
          <w:tcPr>
            <w:tcW w:w="2138" w:type="dxa"/>
            <w:vAlign w:val="center"/>
            <w:shd w:fill="FFFFFF"/>
          </w:tcPr>
          <w:p w14:paraId="22FC8A5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4.94</w:t>
            </w:r>
          </w:p>
        </w:tc>
        <w:tc>
          <w:tcPr>
            <w:tcW w:w="2138" w:type="dxa"/>
            <w:vAlign w:val="center"/>
            <w:shd w:fill="FFFFFF"/>
          </w:tcPr>
          <w:p w14:paraId="4D544E5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0.598</w:t>
            </w:r>
          </w:p>
        </w:tc>
        <w:tc>
          <w:tcPr>
            <w:tcW w:w="2138" w:type="dxa"/>
            <w:vAlign w:val="center"/>
            <w:shd w:fill="FFFFFF"/>
          </w:tcPr>
          <w:p w14:paraId="364E9A4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0.957</w:t>
            </w:r>
          </w:p>
        </w:tc>
        <w:tc>
          <w:tcPr>
            <w:tcW w:w="2138" w:type="dxa"/>
            <w:vAlign w:val="center"/>
            <w:shd w:fill="FFFFFF"/>
          </w:tcPr>
          <w:p w14:paraId="0080750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0.141</w:t>
            </w:r>
          </w:p>
        </w:tc>
        <w:tc>
          <w:tcPr>
            <w:tcW w:w="2138" w:type="dxa"/>
            <w:vAlign w:val="center"/>
            <w:shd w:fill="FFFFFF"/>
          </w:tcPr>
          <w:p w14:paraId="5B153C1E"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0.252 (0.220 to 0.285)</w:t>
            </w:r>
          </w:p>
        </w:tc>
        <w:tc>
          <w:tcPr>
            <w:tcW w:w="2138" w:type="dxa"/>
            <w:vAlign w:val="center"/>
            <w:shd w:fill="FFFFFF"/>
          </w:tcPr>
          <w:p w14:paraId="58B030C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bl>
    <w:p w14:paraId="794452E0"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Panel B. Hallym 7-day mortality at a shared positive rate of 389/1,100 stays (35.4 per 100; Table S11). Cutpoints used Hallym scores only (the 64.6th percentile), not Hallym labels. PatchFusion at this burden is the locked Youden operating point.</w:t>
      </w:r>
    </w:p>
    <w:tbl>
      <w:tblPr>
        <w:tblW w:w="15106" w:type="dxa"/>
        <w:jc w:val="center"/>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38"/>
        <w:gridCol w:w="2138"/>
        <w:gridCol w:w="2138"/>
        <w:gridCol w:w="2138"/>
        <w:gridCol w:w="2138"/>
        <w:gridCol w:w="2138"/>
        <w:gridCol w:w="2138"/>
      </w:tblGrid>
      <w:tr w:rsidR="00067B1F" w14:paraId="36C93F1B" w14:textId="77777777">
        <w:trPr>
          <w:jc w:val="center"/>
          <w:cantSplit/>
          <w:tblHeader/>
        </w:trPr>
        <w:tc>
          <w:tcPr>
            <w:tcW w:w="2138" w:type="dxa"/>
            <w:vAlign w:val="center"/>
            <w:shd w:fill="E7E7E7"/>
          </w:tcPr>
          <w:p w14:paraId="4D2C5548"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szCs w:val="20"/>
              </w:rPr>
              <w:t>Model</w:t>
            </w:r>
          </w:p>
        </w:tc>
        <w:tc>
          <w:tcPr>
            <w:tcW w:w="2138" w:type="dxa"/>
            <w:vAlign w:val="center"/>
            <w:shd w:fill="E7E7E7"/>
          </w:tcPr>
          <w:p w14:paraId="38D0996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Alerts per 100</w:t>
            </w:r>
          </w:p>
        </w:tc>
        <w:tc>
          <w:tcPr>
            <w:tcW w:w="2138" w:type="dxa"/>
            <w:vAlign w:val="center"/>
            <w:shd w:fill="E7E7E7"/>
          </w:tcPr>
          <w:p w14:paraId="3598D92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Sensitivity</w:t>
            </w:r>
          </w:p>
        </w:tc>
        <w:tc>
          <w:tcPr>
            <w:tcW w:w="2138" w:type="dxa"/>
            <w:vAlign w:val="center"/>
            <w:shd w:fill="E7E7E7"/>
          </w:tcPr>
          <w:p w14:paraId="43CEBE5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Specificity</w:t>
            </w:r>
          </w:p>
        </w:tc>
        <w:tc>
          <w:tcPr>
            <w:tcW w:w="2138" w:type="dxa"/>
            <w:vAlign w:val="center"/>
            <w:shd w:fill="E7E7E7"/>
          </w:tcPr>
          <w:p w14:paraId="6D6943BB"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PPV</w:t>
            </w:r>
          </w:p>
        </w:tc>
        <w:tc>
          <w:tcPr>
            <w:tcW w:w="2138" w:type="dxa"/>
            <w:vAlign w:val="center"/>
            <w:shd w:fill="E7E7E7"/>
          </w:tcPr>
          <w:p w14:paraId="7A58503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ΔSensitivity (PatchFusion − comparator) (95% CI)</w:t>
            </w:r>
          </w:p>
        </w:tc>
        <w:tc>
          <w:tcPr>
            <w:tcW w:w="2138" w:type="dxa"/>
            <w:vAlign w:val="center"/>
            <w:shd w:fill="E7E7E7"/>
          </w:tcPr>
          <w:p w14:paraId="290B6FB5"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szCs w:val="20"/>
              </w:rPr>
              <w:t>P</w:t>
            </w:r>
          </w:p>
        </w:tc>
      </w:tr>
      <w:tr w:rsidR="00067B1F" w14:paraId="22CA9C69" w14:textId="77777777">
        <w:trPr>
          <w:jc w:val="center"/>
          <w:cantSplit/>
        </w:trPr>
        <w:tc>
          <w:tcPr>
            <w:tcW w:w="2138" w:type="dxa"/>
            <w:vAlign w:val="center"/>
            <w:shd w:fill="FFFFFF"/>
          </w:tcPr>
          <w:p w14:paraId="6186CC2B"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PatchFusion</w:t>
            </w:r>
          </w:p>
        </w:tc>
        <w:tc>
          <w:tcPr>
            <w:tcW w:w="2138" w:type="dxa"/>
            <w:vAlign w:val="center"/>
            <w:shd w:fill="FFFFFF"/>
          </w:tcPr>
          <w:p w14:paraId="0B5373E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35.4</w:t>
            </w:r>
          </w:p>
        </w:tc>
        <w:tc>
          <w:tcPr>
            <w:tcW w:w="2138" w:type="dxa"/>
            <w:vAlign w:val="center"/>
            <w:shd w:fill="FFFFFF"/>
          </w:tcPr>
          <w:p w14:paraId="1B921613"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0.908</w:t>
            </w:r>
          </w:p>
        </w:tc>
        <w:tc>
          <w:tcPr>
            <w:tcW w:w="2138" w:type="dxa"/>
            <w:vAlign w:val="center"/>
            <w:shd w:fill="FFFFFF"/>
          </w:tcPr>
          <w:p w14:paraId="4E65905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0.681</w:t>
            </w:r>
          </w:p>
        </w:tc>
        <w:tc>
          <w:tcPr>
            <w:tcW w:w="2138" w:type="dxa"/>
            <w:vAlign w:val="center"/>
            <w:shd w:fill="FFFFFF"/>
          </w:tcPr>
          <w:p w14:paraId="2960729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0.152</w:t>
            </w:r>
          </w:p>
        </w:tc>
        <w:tc>
          <w:tcPr>
            <w:tcW w:w="2138" w:type="dxa"/>
            <w:vAlign w:val="center"/>
            <w:shd w:fill="FFFFFF"/>
          </w:tcPr>
          <w:p w14:paraId="7417E74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c>
          <w:tcPr>
            <w:tcW w:w="2138" w:type="dxa"/>
            <w:vAlign w:val="center"/>
            <w:shd w:fill="FFFFFF"/>
          </w:tcPr>
          <w:p w14:paraId="5410C7B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w:t>
            </w:r>
          </w:p>
        </w:tc>
      </w:tr>
      <w:tr w:rsidR="00067B1F" w14:paraId="43443313" w14:textId="77777777">
        <w:trPr>
          <w:jc w:val="center"/>
          <w:cantSplit/>
        </w:trPr>
        <w:tc>
          <w:tcPr>
            <w:tcW w:w="2138" w:type="dxa"/>
            <w:vAlign w:val="center"/>
            <w:shd w:fill="FFFFFF"/>
          </w:tcPr>
          <w:p w14:paraId="51DF3552"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PatchTST</w:t>
            </w:r>
          </w:p>
        </w:tc>
        <w:tc>
          <w:tcPr>
            <w:tcW w:w="2138" w:type="dxa"/>
            <w:vAlign w:val="center"/>
            <w:shd w:fill="FFFFFF"/>
          </w:tcPr>
          <w:p w14:paraId="7B0D681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35.4</w:t>
            </w:r>
          </w:p>
        </w:tc>
        <w:tc>
          <w:tcPr>
            <w:tcW w:w="2138" w:type="dxa"/>
            <w:vAlign w:val="center"/>
            <w:shd w:fill="FFFFFF"/>
          </w:tcPr>
          <w:p w14:paraId="4C5E803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0.692</w:t>
            </w:r>
          </w:p>
        </w:tc>
        <w:tc>
          <w:tcPr>
            <w:tcW w:w="2138" w:type="dxa"/>
            <w:vAlign w:val="center"/>
            <w:shd w:fill="FFFFFF"/>
          </w:tcPr>
          <w:p w14:paraId="60697341"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0.668</w:t>
            </w:r>
          </w:p>
        </w:tc>
        <w:tc>
          <w:tcPr>
            <w:tcW w:w="2138" w:type="dxa"/>
            <w:vAlign w:val="center"/>
            <w:shd w:fill="FFFFFF"/>
          </w:tcPr>
          <w:p w14:paraId="4877641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0.116</w:t>
            </w:r>
          </w:p>
        </w:tc>
        <w:tc>
          <w:tcPr>
            <w:tcW w:w="2138" w:type="dxa"/>
            <w:vAlign w:val="center"/>
            <w:shd w:fill="FFFFFF"/>
          </w:tcPr>
          <w:p w14:paraId="2746F01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0.215 (0.123 to 0.293)</w:t>
            </w:r>
          </w:p>
        </w:tc>
        <w:tc>
          <w:tcPr>
            <w:tcW w:w="2138" w:type="dxa"/>
            <w:vAlign w:val="center"/>
            <w:shd w:fill="FFFFFF"/>
          </w:tcPr>
          <w:p w14:paraId="67765FC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786868E9" w14:textId="77777777">
        <w:trPr>
          <w:jc w:val="center"/>
          <w:cantSplit/>
        </w:trPr>
        <w:tc>
          <w:tcPr>
            <w:tcW w:w="2138" w:type="dxa"/>
            <w:vAlign w:val="center"/>
            <w:shd w:fill="FFFFFF"/>
          </w:tcPr>
          <w:p w14:paraId="2A683014"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Raindrop</w:t>
            </w:r>
          </w:p>
        </w:tc>
        <w:tc>
          <w:tcPr>
            <w:tcW w:w="2138" w:type="dxa"/>
            <w:vAlign w:val="center"/>
            <w:shd w:fill="FFFFFF"/>
          </w:tcPr>
          <w:p w14:paraId="7A09306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35.4</w:t>
            </w:r>
          </w:p>
        </w:tc>
        <w:tc>
          <w:tcPr>
            <w:tcW w:w="2138" w:type="dxa"/>
            <w:vAlign w:val="center"/>
            <w:shd w:fill="FFFFFF"/>
          </w:tcPr>
          <w:p w14:paraId="4D91CD28"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0.738</w:t>
            </w:r>
          </w:p>
        </w:tc>
        <w:tc>
          <w:tcPr>
            <w:tcW w:w="2138" w:type="dxa"/>
            <w:vAlign w:val="center"/>
            <w:shd w:fill="FFFFFF"/>
          </w:tcPr>
          <w:p w14:paraId="6D78622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0.671</w:t>
            </w:r>
          </w:p>
        </w:tc>
        <w:tc>
          <w:tcPr>
            <w:tcW w:w="2138" w:type="dxa"/>
            <w:vAlign w:val="center"/>
            <w:shd w:fill="FFFFFF"/>
          </w:tcPr>
          <w:p w14:paraId="3E5A5E3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0.123</w:t>
            </w:r>
          </w:p>
        </w:tc>
        <w:tc>
          <w:tcPr>
            <w:tcW w:w="2138" w:type="dxa"/>
            <w:vAlign w:val="center"/>
            <w:shd w:fill="FFFFFF"/>
          </w:tcPr>
          <w:p w14:paraId="2BDD3AF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0.17 (0.077 to 0.262)</w:t>
            </w:r>
          </w:p>
        </w:tc>
        <w:tc>
          <w:tcPr>
            <w:tcW w:w="2138" w:type="dxa"/>
            <w:vAlign w:val="center"/>
            <w:shd w:fill="FFFFFF"/>
          </w:tcPr>
          <w:p w14:paraId="612C37E0"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5D20C5BC" w14:textId="77777777">
        <w:trPr>
          <w:jc w:val="center"/>
          <w:cantSplit/>
        </w:trPr>
        <w:tc>
          <w:tcPr>
            <w:tcW w:w="2138" w:type="dxa"/>
            <w:vAlign w:val="center"/>
            <w:shd w:fill="FFFFFF"/>
          </w:tcPr>
          <w:p w14:paraId="588D98FF"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TBAL</w:t>
            </w:r>
          </w:p>
        </w:tc>
        <w:tc>
          <w:tcPr>
            <w:tcW w:w="2138" w:type="dxa"/>
            <w:vAlign w:val="center"/>
            <w:shd w:fill="FFFFFF"/>
          </w:tcPr>
          <w:p w14:paraId="4B334D1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35.4</w:t>
            </w:r>
          </w:p>
        </w:tc>
        <w:tc>
          <w:tcPr>
            <w:tcW w:w="2138" w:type="dxa"/>
            <w:vAlign w:val="center"/>
            <w:shd w:fill="FFFFFF"/>
          </w:tcPr>
          <w:p w14:paraId="0A2279F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0.723</w:t>
            </w:r>
          </w:p>
        </w:tc>
        <w:tc>
          <w:tcPr>
            <w:tcW w:w="2138" w:type="dxa"/>
            <w:vAlign w:val="center"/>
            <w:shd w:fill="FFFFFF"/>
          </w:tcPr>
          <w:p w14:paraId="67AE2BE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0.670</w:t>
            </w:r>
          </w:p>
        </w:tc>
        <w:tc>
          <w:tcPr>
            <w:tcW w:w="2138" w:type="dxa"/>
            <w:vAlign w:val="center"/>
            <w:shd w:fill="FFFFFF"/>
          </w:tcPr>
          <w:p w14:paraId="1FD6628F"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0.121</w:t>
            </w:r>
          </w:p>
        </w:tc>
        <w:tc>
          <w:tcPr>
            <w:tcW w:w="2138" w:type="dxa"/>
            <w:vAlign w:val="center"/>
            <w:shd w:fill="FFFFFF"/>
          </w:tcPr>
          <w:p w14:paraId="7E8FB92C"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0.185 (0.092 to 0.277)</w:t>
            </w:r>
          </w:p>
        </w:tc>
        <w:tc>
          <w:tcPr>
            <w:tcW w:w="2138" w:type="dxa"/>
            <w:vAlign w:val="center"/>
            <w:shd w:fill="FFFFFF"/>
          </w:tcPr>
          <w:p w14:paraId="6ABFDA26"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r w:rsidR="00067B1F" w14:paraId="5036133B" w14:textId="77777777">
        <w:trPr>
          <w:jc w:val="center"/>
          <w:cantSplit/>
        </w:trPr>
        <w:tc>
          <w:tcPr>
            <w:tcW w:w="2138" w:type="dxa"/>
            <w:vAlign w:val="center"/>
            <w:shd w:fill="FFFFFF"/>
          </w:tcPr>
          <w:p w14:paraId="4D4EA6A5" w14:textId="77777777" w:rsidR="00067B1F" w:rsidRDefault="00000000">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szCs w:val="20"/>
              </w:rPr>
              <w:t>GRU-D</w:t>
            </w:r>
          </w:p>
        </w:tc>
        <w:tc>
          <w:tcPr>
            <w:tcW w:w="2138" w:type="dxa"/>
            <w:vAlign w:val="center"/>
            <w:shd w:fill="FFFFFF"/>
          </w:tcPr>
          <w:p w14:paraId="5D5BF09D"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35.4</w:t>
            </w:r>
          </w:p>
        </w:tc>
        <w:tc>
          <w:tcPr>
            <w:tcW w:w="2138" w:type="dxa"/>
            <w:vAlign w:val="center"/>
            <w:shd w:fill="FFFFFF"/>
          </w:tcPr>
          <w:p w14:paraId="2B2AADB9"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0.677</w:t>
            </w:r>
          </w:p>
        </w:tc>
        <w:tc>
          <w:tcPr>
            <w:tcW w:w="2138" w:type="dxa"/>
            <w:vAlign w:val="center"/>
            <w:shd w:fill="FFFFFF"/>
          </w:tcPr>
          <w:p w14:paraId="1F576142"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0.667</w:t>
            </w:r>
          </w:p>
        </w:tc>
        <w:tc>
          <w:tcPr>
            <w:tcW w:w="2138" w:type="dxa"/>
            <w:vAlign w:val="center"/>
            <w:shd w:fill="FFFFFF"/>
          </w:tcPr>
          <w:p w14:paraId="763AECA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0.113</w:t>
            </w:r>
          </w:p>
        </w:tc>
        <w:tc>
          <w:tcPr>
            <w:tcW w:w="2138" w:type="dxa"/>
            <w:vAlign w:val="center"/>
            <w:shd w:fill="FFFFFF"/>
          </w:tcPr>
          <w:p w14:paraId="4D95AE0A"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0.23 (0.138 to 0.338)</w:t>
            </w:r>
          </w:p>
        </w:tc>
        <w:tc>
          <w:tcPr>
            <w:tcW w:w="2138" w:type="dxa"/>
            <w:vAlign w:val="center"/>
            <w:shd w:fill="FFFFFF"/>
          </w:tcPr>
          <w:p w14:paraId="02429AB7" w14:textId="77777777" w:rsidR="00067B1F" w:rsidRDefault="00000000">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szCs w:val="20"/>
              </w:rPr>
              <w:t>&lt;0.001</w:t>
            </w:r>
          </w:p>
        </w:tc>
      </w:tr>
    </w:tbl>
    <w:p>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S29. Patch Encoder and Within-Patch Order Comparisons</w:t>
      </w:r>
    </w:p>
    <w:p>
      <w:pPr>
        <w:keepNext w:val="0"/>
        <w:keepLines w:val="0"/>
        <w:widowControl/>
        <w:spacing w:after="80" w:line="480" w:lineRule="auto" w:before="0"/>
        <w:ind w:left="0" w:right="0" w:firstLine="0"/>
        <w:rPr>
          <w:rFonts w:cs="Times New Roman"/>
        </w:rPr>
      </w:pPr>
      <w:r>
        <w:rPr>
          <w:rFonts w:ascii="Times New Roman" w:hAnsi="Times New Roman" w:eastAsia="Times New Roman" w:cs="Times New Roman"/>
          <w:vanish w:val="0"/>
          <w:color w:val="000000"/>
          <w:sz w:val="22"/>
        </w:rPr>
        <w:t>The patch-encoder analyses retain the shared input projection, patch layout, token dimensionality, and global-attention pipeline. CNN and MLP replace the local block with near-matched parameter counts; the order-shuffling variant retains the BiLSTM block. Table S29b gives exact layers and parameter counts, optimization and seed rules, and the training, validation, and scoring protocol for within-patch shuffling. All variants are fitted in MIMIC-IV and frozen before eICU-CRD evaluation.</w:t>
      </w:r>
    </w:p>
    <w:p>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Panel A. MIMIC-IV primary (12,24]-hour mortality</w:t>
      </w:r>
    </w:p>
    <w:tbl>
      <w:tblPr>
        <w:tblW w:type="auto" w:w="0"/>
        <w:tblLook w:firstColumn="1" w:firstRow="1" w:lastColumn="0" w:lastRow="0" w:noHBand="0" w:noVBand="1" w:val="04A0"/>
        <w:jc w:val="center"/>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342"/>
        <w:gridCol w:w="1526"/>
        <w:gridCol w:w="1526"/>
        <w:gridCol w:w="4432"/>
        <w:gridCol w:w="1308"/>
        <w:gridCol w:w="2833"/>
      </w:tblGrid>
      <w:tr>
        <w:trPr>
          <w:cantSplit/>
          <w:tblHeader/>
        </w:trPr>
        <w:tc>
          <w:tcPr>
            <w:tcW w:type="dxa" w:w="3342"/>
            <w:vAlign w:val="center"/>
            <w:tcMar>
              <w:top w:w="75" w:type="dxa"/>
              <w:bottom w:w="75" w:type="dxa"/>
              <w:left w:w="70" w:type="dxa"/>
              <w:right w:w="70" w:type="dxa"/>
            </w:tcMar>
            <w:shd w:fill="E7E7E7"/>
          </w:tcPr>
          <w:p>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rPr>
              <w:t>Patch encoder / variant</w:t>
            </w:r>
          </w:p>
        </w:tc>
        <w:tc>
          <w:tcPr>
            <w:tcW w:type="dxa" w:w="1526"/>
            <w:vAlign w:val="center"/>
            <w:tcMar>
              <w:top w:w="75" w:type="dxa"/>
              <w:bottom w:w="75" w:type="dxa"/>
              <w:left w:w="70" w:type="dxa"/>
              <w:right w:w="70" w:type="dxa"/>
            </w:tcMa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AUROC</w:t>
            </w:r>
          </w:p>
        </w:tc>
        <w:tc>
          <w:tcPr>
            <w:tcW w:type="dxa" w:w="1526"/>
            <w:vAlign w:val="center"/>
            <w:tcMar>
              <w:top w:w="75" w:type="dxa"/>
              <w:bottom w:w="75" w:type="dxa"/>
              <w:left w:w="70" w:type="dxa"/>
              <w:right w:w="70" w:type="dxa"/>
            </w:tcMa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AUPRC</w:t>
            </w:r>
          </w:p>
        </w:tc>
        <w:tc>
          <w:tcPr>
            <w:tcW w:type="dxa" w:w="4432"/>
            <w:vAlign w:val="center"/>
            <w:tcMar>
              <w:top w:w="75" w:type="dxa"/>
              <w:bottom w:w="75" w:type="dxa"/>
              <w:left w:w="70" w:type="dxa"/>
              <w:right w:w="70" w:type="dxa"/>
            </w:tcMa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ΔAUPRC (95% CI)</w:t>
            </w:r>
          </w:p>
        </w:tc>
        <w:tc>
          <w:tcPr>
            <w:tcW w:type="dxa" w:w="1308"/>
            <w:vAlign w:val="center"/>
            <w:tcMar>
              <w:top w:w="75" w:type="dxa"/>
              <w:bottom w:w="75" w:type="dxa"/>
              <w:left w:w="70" w:type="dxa"/>
              <w:right w:w="70" w:type="dxa"/>
            </w:tcMa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P</w:t>
            </w:r>
          </w:p>
        </w:tc>
        <w:tc>
          <w:tcPr>
            <w:tcW w:type="dxa" w:w="2833"/>
            <w:vAlign w:val="center"/>
            <w:tcMar>
              <w:top w:w="75" w:type="dxa"/>
              <w:bottom w:w="75" w:type="dxa"/>
              <w:left w:w="70" w:type="dxa"/>
              <w:right w:w="70" w:type="dxa"/>
            </w:tcMa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5-seed AUPRC SD</w:t>
            </w:r>
          </w:p>
        </w:tc>
      </w:tr>
      <w:tr>
        <w:trPr>
          <w:cantSplit/>
        </w:trPr>
        <w:tc>
          <w:tcPr>
            <w:tcW w:type="dxa" w:w="334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BiLSTM (reference)</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0.978</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0.578</w:t>
            </w:r>
          </w:p>
        </w:tc>
        <w:tc>
          <w:tcPr>
            <w:tcW w:type="dxa" w:w="443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w:t>
            </w:r>
          </w:p>
        </w:tc>
        <w:tc>
          <w:tcPr>
            <w:tcW w:type="dxa" w:w="1308"/>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w:t>
            </w:r>
          </w:p>
        </w:tc>
        <w:tc>
          <w:tcPr>
            <w:tcW w:type="dxa" w:w="2833"/>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0.004</w:t>
            </w:r>
          </w:p>
        </w:tc>
      </w:tr>
      <w:tr>
        <w:trPr>
          <w:cantSplit/>
        </w:trPr>
        <w:tc>
          <w:tcPr>
            <w:tcW w:type="dxa" w:w="334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CNN</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0.974</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0.565</w:t>
            </w:r>
          </w:p>
        </w:tc>
        <w:tc>
          <w:tcPr>
            <w:tcW w:type="dxa" w:w="443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−0.013 (−0.034 to 0.008)</w:t>
            </w:r>
          </w:p>
        </w:tc>
        <w:tc>
          <w:tcPr>
            <w:tcW w:type="dxa" w:w="1308"/>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0.22</w:t>
            </w:r>
          </w:p>
        </w:tc>
        <w:tc>
          <w:tcPr>
            <w:tcW w:type="dxa" w:w="2833"/>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0.004</w:t>
            </w:r>
          </w:p>
        </w:tc>
      </w:tr>
      <w:tr>
        <w:trPr>
          <w:cantSplit/>
        </w:trPr>
        <w:tc>
          <w:tcPr>
            <w:tcW w:type="dxa" w:w="334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Within-patch MLP</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0.971</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0.553</w:t>
            </w:r>
          </w:p>
        </w:tc>
        <w:tc>
          <w:tcPr>
            <w:tcW w:type="dxa" w:w="443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−0.025 (−0.049 to −0.001)</w:t>
            </w:r>
          </w:p>
        </w:tc>
        <w:tc>
          <w:tcPr>
            <w:tcW w:type="dxa" w:w="1308"/>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0.04</w:t>
            </w:r>
          </w:p>
        </w:tc>
        <w:tc>
          <w:tcPr>
            <w:tcW w:type="dxa" w:w="2833"/>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0.005</w:t>
            </w:r>
          </w:p>
        </w:tc>
      </w:tr>
      <w:tr>
        <w:trPr>
          <w:cantSplit/>
        </w:trPr>
        <w:tc>
          <w:tcPr>
            <w:tcW w:type="dxa" w:w="334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Linear projection</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0.969</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0.546</w:t>
            </w:r>
          </w:p>
        </w:tc>
        <w:tc>
          <w:tcPr>
            <w:tcW w:type="dxa" w:w="443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−0.032 (−0.056 to −0.008)</w:t>
            </w:r>
          </w:p>
        </w:tc>
        <w:tc>
          <w:tcPr>
            <w:tcW w:type="dxa" w:w="1308"/>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0.01</w:t>
            </w:r>
          </w:p>
        </w:tc>
        <w:tc>
          <w:tcPr>
            <w:tcW w:type="dxa" w:w="2833"/>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0.005</w:t>
            </w:r>
          </w:p>
        </w:tc>
      </w:tr>
      <w:tr>
        <w:trPr>
          <w:cantSplit/>
        </w:trPr>
        <w:tc>
          <w:tcPr>
            <w:tcW w:type="dxa" w:w="334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Within-patch order shuffling + BiLSTM</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0.966</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0.536</w:t>
            </w:r>
          </w:p>
        </w:tc>
        <w:tc>
          <w:tcPr>
            <w:tcW w:type="dxa" w:w="443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−0.042 (−0.069 to −0.015)</w:t>
            </w:r>
          </w:p>
        </w:tc>
        <w:tc>
          <w:tcPr>
            <w:tcW w:type="dxa" w:w="1308"/>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0.002</w:t>
            </w:r>
          </w:p>
        </w:tc>
        <w:tc>
          <w:tcPr>
            <w:tcW w:type="dxa" w:w="2833"/>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0.005</w:t>
            </w:r>
          </w:p>
        </w:tc>
      </w:tr>
      <w:tr>
        <w:trPr>
          <w:cantSplit/>
        </w:trPr>
        <w:tc>
          <w:tcPr>
            <w:tcW w:type="dxa" w:w="334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Mean pooling</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0.963</w:t>
            </w:r>
          </w:p>
        </w:tc>
        <w:tc>
          <w:tcPr>
            <w:tcW w:type="dxa" w:w="1526"/>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0.529</w:t>
            </w:r>
          </w:p>
        </w:tc>
        <w:tc>
          <w:tcPr>
            <w:tcW w:type="dxa" w:w="443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−0.049 (−0.078 to −0.020)</w:t>
            </w:r>
          </w:p>
        </w:tc>
        <w:tc>
          <w:tcPr>
            <w:tcW w:type="dxa" w:w="1308"/>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&lt;0.001</w:t>
            </w:r>
          </w:p>
        </w:tc>
        <w:tc>
          <w:tcPr>
            <w:tcW w:type="dxa" w:w="2833"/>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0.006</w:t>
            </w:r>
          </w:p>
        </w:tc>
      </w:tr>
    </w:tbl>
    <w:p>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Panel B. Frozen eICU-CRD primary (12,24]-hour mortality</w:t>
      </w:r>
    </w:p>
    <w:tbl>
      <w:tblPr>
        <w:tblW w:type="auto" w:w="0"/>
        <w:tblLook w:firstColumn="1" w:firstRow="1" w:lastColumn="0" w:lastRow="0" w:noHBand="0" w:noVBand="1" w:val="04A0"/>
        <w:jc w:val="center"/>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4440"/>
        <w:gridCol w:w="1727"/>
        <w:gridCol w:w="7072"/>
        <w:gridCol w:w="1727"/>
      </w:tblGrid>
      <w:tr>
        <w:trPr>
          <w:cantSplit/>
          <w:tblHeader/>
        </w:trPr>
        <w:tc>
          <w:tcPr>
            <w:tcW w:type="dxa" w:w="4440"/>
            <w:vAlign w:val="center"/>
            <w:tcMar>
              <w:top w:w="75" w:type="dxa"/>
              <w:bottom w:w="75" w:type="dxa"/>
              <w:left w:w="70" w:type="dxa"/>
              <w:right w:w="70" w:type="dxa"/>
            </w:tcMar>
            <w:shd w:fill="E7E7E7"/>
          </w:tcPr>
          <w:p>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rPr>
              <w:t>Patch encoder / variant</w:t>
            </w:r>
          </w:p>
        </w:tc>
        <w:tc>
          <w:tcPr>
            <w:tcW w:type="dxa" w:w="1727"/>
            <w:vAlign w:val="center"/>
            <w:tcMar>
              <w:top w:w="75" w:type="dxa"/>
              <w:bottom w:w="75" w:type="dxa"/>
              <w:left w:w="70" w:type="dxa"/>
              <w:right w:w="70" w:type="dxa"/>
            </w:tcMa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AUPRC</w:t>
            </w:r>
          </w:p>
        </w:tc>
        <w:tc>
          <w:tcPr>
            <w:tcW w:type="dxa" w:w="7072"/>
            <w:vAlign w:val="center"/>
            <w:tcMar>
              <w:top w:w="75" w:type="dxa"/>
              <w:bottom w:w="75" w:type="dxa"/>
              <w:left w:w="70" w:type="dxa"/>
              <w:right w:w="70" w:type="dxa"/>
            </w:tcMa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ΔAUPRC (95% CI)</w:t>
            </w:r>
          </w:p>
        </w:tc>
        <w:tc>
          <w:tcPr>
            <w:tcW w:type="dxa" w:w="1727"/>
            <w:vAlign w:val="center"/>
            <w:tcMar>
              <w:top w:w="75" w:type="dxa"/>
              <w:bottom w:w="75" w:type="dxa"/>
              <w:left w:w="70" w:type="dxa"/>
              <w:right w:w="70" w:type="dxa"/>
            </w:tcMa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P</w:t>
            </w:r>
          </w:p>
        </w:tc>
      </w:tr>
      <w:tr>
        <w:trPr>
          <w:cantSplit/>
        </w:trPr>
        <w:tc>
          <w:tcPr>
            <w:tcW w:type="dxa" w:w="4440"/>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BiLSTM (reference)</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0.354</w:t>
            </w:r>
          </w:p>
        </w:tc>
        <w:tc>
          <w:tcPr>
            <w:tcW w:type="dxa" w:w="707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w:t>
            </w:r>
          </w:p>
        </w:tc>
      </w:tr>
      <w:tr>
        <w:trPr>
          <w:cantSplit/>
        </w:trPr>
        <w:tc>
          <w:tcPr>
            <w:tcW w:type="dxa" w:w="4440"/>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CNN</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0.349</w:t>
            </w:r>
          </w:p>
        </w:tc>
        <w:tc>
          <w:tcPr>
            <w:tcW w:type="dxa" w:w="707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−0.005 (−0.016 to 0.006)</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0.35</w:t>
            </w:r>
          </w:p>
        </w:tc>
      </w:tr>
      <w:tr>
        <w:trPr>
          <w:cantSplit/>
        </w:trPr>
        <w:tc>
          <w:tcPr>
            <w:tcW w:type="dxa" w:w="4440"/>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Within-patch MLP</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0.344</w:t>
            </w:r>
          </w:p>
        </w:tc>
        <w:tc>
          <w:tcPr>
            <w:tcW w:type="dxa" w:w="707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−0.010 (−0.022 to 0.002)</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0.09</w:t>
            </w:r>
          </w:p>
        </w:tc>
      </w:tr>
      <w:tr>
        <w:trPr>
          <w:cantSplit/>
        </w:trPr>
        <w:tc>
          <w:tcPr>
            <w:tcW w:type="dxa" w:w="4440"/>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Linear projection</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0.339</w:t>
            </w:r>
          </w:p>
        </w:tc>
        <w:tc>
          <w:tcPr>
            <w:tcW w:type="dxa" w:w="707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−0.015 (−0.029 to −0.001)</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0.04</w:t>
            </w:r>
          </w:p>
        </w:tc>
      </w:tr>
      <w:tr>
        <w:trPr>
          <w:cantSplit/>
        </w:trPr>
        <w:tc>
          <w:tcPr>
            <w:tcW w:type="dxa" w:w="4440"/>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Within-patch order shuffling + BiLSTM</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0.335</w:t>
            </w:r>
          </w:p>
        </w:tc>
        <w:tc>
          <w:tcPr>
            <w:tcW w:type="dxa" w:w="707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−0.019 (−0.034 to −0.004)</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0.01</w:t>
            </w:r>
          </w:p>
        </w:tc>
      </w:tr>
      <w:tr>
        <w:trPr>
          <w:cantSplit/>
        </w:trPr>
        <w:tc>
          <w:tcPr>
            <w:tcW w:type="dxa" w:w="4440"/>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Mean pooling</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0.331</w:t>
            </w:r>
          </w:p>
        </w:tc>
        <w:tc>
          <w:tcPr>
            <w:tcW w:type="dxa" w:w="7072"/>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−0.023 (−0.040 to −0.006)</w:t>
            </w:r>
          </w:p>
        </w:tc>
        <w:tc>
          <w:tcPr>
            <w:tcW w:type="dxa" w:w="1727"/>
            <w:vAlign w:val="center"/>
            <w:tcMar>
              <w:top w:w="75" w:type="dxa"/>
              <w:bottom w:w="75" w:type="dxa"/>
              <w:left w:w="70" w:type="dxa"/>
              <w:right w:w="70" w:type="dxa"/>
            </w:tcMa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0.008</w:t>
            </w:r>
          </w:p>
        </w:tc>
      </w:tr>
    </w:tbl>
    <w:p>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ΔAUPRC is variant minus the BiLSTM reference. The SD column summarizes five-seed AUPRC variability; it is separate from the reported difference confidence intervals. P values are nominal and multiplicity-unadjusted. CNN differences included zero in both cohorts, and the external MLP difference also included zero. Within-patch order shuffling, linear projection, and mean pooling had lower AUPRC with intervals excluding zero in both evaluations. These results support the content of patch trajectory representations, without establishing an exclusive need for BiLSTM or parameter-equivalence across encoder families.</w:t>
      </w:r>
    </w:p>
    <w:p>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Table S29b. Patch Encoder Implementation and Parameter Counts</w:t>
      </w:r>
    </w:p>
    <w:p>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Scope and shared components. CNN and MLP replace only the patch-encoding block after the shared hourly Linear(66,256) projection. The three six-hour patches and their order, one 256-dimensional output token per patch, RoPE, two Transformer layers, global mean pooling, and the classification head are retained. Shared trainable components contribute 1,071,617 parameters: hourly projection 17,152, Transformer 1,054,208, and classification head 257. The BiLSTM reference uses one layer with hidden size 189 per direction; its terminal states concatenate to 378 dimensions and are projected by Linear(378,256). The recurrent weights and biases contribute 675,864 parameters and the terminal projection 97,024, totaling 772,888 in the replaced block and 1,844,505 overall.</w:t>
      </w:r>
    </w:p>
    <w:tbl>
      <w:tblPr>
        <w:tblW w:type="auto" w:w="0"/>
        <w:tblLook w:firstColumn="1" w:firstRow="1" w:lastColumn="0" w:lastRow="0" w:noHBand="0" w:noVBand="1" w:val="04A0"/>
        <w:jc w:val="center"/>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946"/>
        <w:gridCol w:w="6884"/>
        <w:gridCol w:w="2170"/>
        <w:gridCol w:w="2245"/>
        <w:gridCol w:w="1721"/>
      </w:tblGrid>
      <w:tr>
        <w:trPr>
          <w:cantSplit/>
          <w:tblHeader/>
        </w:trPr>
        <w:tc>
          <w:tcPr>
            <w:tcW w:type="dxa" w:w="1946"/>
            <w:vAlign w:val="center"/>
            <w:shd w:fill="E7E7E7"/>
          </w:tcPr>
          <w:p>
            <w:pPr>
              <w:keepNext w:val="0"/>
              <w:keepLines w:val="0"/>
              <w:widowControl/>
              <w:spacing w:before="0" w:after="0" w:line="480" w:lineRule="auto"/>
              <w:ind w:left="0" w:right="0" w:firstLine="0"/>
              <w:jc w:val="left"/>
            </w:pPr>
            <w:r>
              <w:rPr>
                <w:rFonts w:ascii="Times New Roman" w:hAnsi="Times New Roman" w:eastAsia="Times New Roman" w:cs="Times New Roman"/>
                <w:b/>
                <w:vanish w:val="0"/>
                <w:color w:val="000000"/>
                <w:sz w:val="19"/>
              </w:rPr>
              <w:t>Variant</w:t>
            </w:r>
          </w:p>
        </w:tc>
        <w:tc>
          <w:tcPr>
            <w:tcW w:type="dxa" w:w="6884"/>
            <w:vAlign w:val="cente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Replaced block / operations</w:t>
            </w:r>
          </w:p>
        </w:tc>
        <w:tc>
          <w:tcPr>
            <w:tcW w:type="dxa" w:w="2170"/>
            <w:vAlign w:val="cente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Block parameters</w:t>
            </w:r>
          </w:p>
        </w:tc>
        <w:tc>
          <w:tcPr>
            <w:tcW w:type="dxa" w:w="2245"/>
            <w:vAlign w:val="cente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Total parameters</w:t>
            </w:r>
          </w:p>
        </w:tc>
        <w:tc>
          <w:tcPr>
            <w:tcW w:type="dxa" w:w="1721"/>
            <w:vAlign w:val="center"/>
            <w:shd w:fill="E7E7E7"/>
          </w:tcPr>
          <w:p>
            <w:pPr>
              <w:keepNext w:val="0"/>
              <w:keepLines w:val="0"/>
              <w:widowControl/>
              <w:spacing w:before="0" w:after="0" w:line="480" w:lineRule="auto"/>
              <w:ind w:left="0" w:right="0" w:firstLine="0"/>
              <w:jc w:val="center"/>
            </w:pPr>
            <w:r>
              <w:rPr>
                <w:rFonts w:ascii="Times New Roman" w:hAnsi="Times New Roman" w:eastAsia="Times New Roman" w:cs="Times New Roman"/>
                <w:b/>
                <w:vanish w:val="0"/>
                <w:color w:val="000000"/>
                <w:sz w:val="19"/>
              </w:rPr>
              <w:t>Δtotal vs reference</w:t>
            </w:r>
          </w:p>
        </w:tc>
      </w:tr>
      <w:tr>
        <w:trPr>
          <w:cantSplit/>
        </w:trPr>
        <w:tc>
          <w:tcPr>
            <w:tcW w:type="dxa" w:w="1946"/>
            <w:vAlign w:val="cente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BiLSTM reference</w:t>
            </w:r>
          </w:p>
        </w:tc>
        <w:tc>
          <w:tcPr>
            <w:tcW w:type="dxa" w:w="6884"/>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BiLSTM hidden 189 per direction; concatenate terminal states (378); Linear(378,256)</w:t>
            </w:r>
          </w:p>
        </w:tc>
        <w:tc>
          <w:tcPr>
            <w:tcW w:type="dxa" w:w="2170"/>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772,888</w:t>
            </w:r>
          </w:p>
        </w:tc>
        <w:tc>
          <w:tcPr>
            <w:tcW w:type="dxa" w:w="2245"/>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1,844,505</w:t>
            </w:r>
          </w:p>
        </w:tc>
        <w:tc>
          <w:tcPr>
            <w:tcW w:type="dxa" w:w="1721"/>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0.000%</w:t>
            </w:r>
          </w:p>
        </w:tc>
      </w:tr>
      <w:tr>
        <w:trPr>
          <w:cantSplit/>
        </w:trPr>
        <w:tc>
          <w:tcPr>
            <w:tcW w:type="dxa" w:w="1946"/>
            <w:vAlign w:val="cente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CNN</w:t>
            </w:r>
          </w:p>
        </w:tc>
        <w:tc>
          <w:tcPr>
            <w:tcW w:type="dxa" w:w="6884"/>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4 × Conv1d(256,256,kernel 3,padding 1); GELU/dropout 0.2 between layers; mean over six encoded time points</w:t>
            </w:r>
          </w:p>
        </w:tc>
        <w:tc>
          <w:tcPr>
            <w:tcW w:type="dxa" w:w="2170"/>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787,456</w:t>
            </w:r>
          </w:p>
        </w:tc>
        <w:tc>
          <w:tcPr>
            <w:tcW w:type="dxa" w:w="2245"/>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1,859,073</w:t>
            </w:r>
          </w:p>
        </w:tc>
        <w:tc>
          <w:tcPr>
            <w:tcW w:type="dxa" w:w="1721"/>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+0.790%</w:t>
            </w:r>
          </w:p>
        </w:tc>
      </w:tr>
      <w:tr>
        <w:trPr>
          <w:cantSplit/>
        </w:trPr>
        <w:tc>
          <w:tcPr>
            <w:tcW w:type="dxa" w:w="1946"/>
            <w:vAlign w:val="cente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Within-patch MLP</w:t>
            </w:r>
          </w:p>
        </w:tc>
        <w:tc>
          <w:tcPr>
            <w:tcW w:type="dxa" w:w="6884"/>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Flatten [6,256]; Linear(1536,432); GELU/dropout 0.2; Linear(432,256)</w:t>
            </w:r>
          </w:p>
        </w:tc>
        <w:tc>
          <w:tcPr>
            <w:tcW w:type="dxa" w:w="2170"/>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774,832</w:t>
            </w:r>
          </w:p>
        </w:tc>
        <w:tc>
          <w:tcPr>
            <w:tcW w:type="dxa" w:w="2245"/>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1,846,449</w:t>
            </w:r>
          </w:p>
        </w:tc>
        <w:tc>
          <w:tcPr>
            <w:tcW w:type="dxa" w:w="1721"/>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+0.105%</w:t>
            </w:r>
          </w:p>
        </w:tc>
      </w:tr>
      <w:tr>
        <w:trPr>
          <w:cantSplit/>
        </w:trPr>
        <w:tc>
          <w:tcPr>
            <w:tcW w:type="dxa" w:w="1946"/>
            <w:vAlign w:val="center"/>
            <w:shd w:fill="FFFFFF"/>
          </w:tcPr>
          <w:p>
            <w:pPr>
              <w:keepNext w:val="0"/>
              <w:keepLines w:val="0"/>
              <w:widowControl/>
              <w:spacing w:before="0" w:after="0" w:line="480" w:lineRule="auto"/>
              <w:ind w:left="0" w:right="0" w:firstLine="0"/>
              <w:jc w:val="left"/>
            </w:pPr>
            <w:r>
              <w:rPr>
                <w:rFonts w:ascii="Times New Roman" w:hAnsi="Times New Roman" w:eastAsia="Times New Roman" w:cs="Times New Roman"/>
                <w:b w:val="0"/>
                <w:vanish w:val="0"/>
                <w:color w:val="000000"/>
                <w:sz w:val="19"/>
              </w:rPr>
              <w:t>Shuffled BiLSTM</w:t>
            </w:r>
          </w:p>
        </w:tc>
        <w:tc>
          <w:tcPr>
            <w:tcW w:type="dxa" w:w="6884"/>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Reference BiLSTM block; stochastic permutation of six projected time points within each patch</w:t>
            </w:r>
          </w:p>
        </w:tc>
        <w:tc>
          <w:tcPr>
            <w:tcW w:type="dxa" w:w="2170"/>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772,888</w:t>
            </w:r>
          </w:p>
        </w:tc>
        <w:tc>
          <w:tcPr>
            <w:tcW w:type="dxa" w:w="2245"/>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1,844,505</w:t>
            </w:r>
          </w:p>
        </w:tc>
        <w:tc>
          <w:tcPr>
            <w:tcW w:type="dxa" w:w="1721"/>
            <w:vAlign w:val="center"/>
            <w:shd w:fill="FFFFFF"/>
          </w:tcPr>
          <w:p>
            <w:pPr>
              <w:keepNext w:val="0"/>
              <w:keepLines w:val="0"/>
              <w:widowControl/>
              <w:spacing w:before="0" w:after="0" w:line="480" w:lineRule="auto"/>
              <w:ind w:left="0" w:right="0" w:firstLine="0"/>
              <w:jc w:val="center"/>
            </w:pPr>
            <w:r>
              <w:rPr>
                <w:rFonts w:ascii="Times New Roman" w:hAnsi="Times New Roman" w:eastAsia="Times New Roman" w:cs="Times New Roman"/>
                <w:b w:val="0"/>
                <w:vanish w:val="0"/>
                <w:color w:val="000000"/>
                <w:sz w:val="19"/>
              </w:rPr>
              <w:t>0.000%</w:t>
            </w:r>
          </w:p>
        </w:tc>
      </w:tr>
    </w:tbl>
    <w:p>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CNN patch encoder. Each patch is a six-step sequence of 256-dimensional projected observations. Four Conv1d(256,256,kernel_size=3,padding=1) layers are stacked, with GELU and dropout 0.2 between convolution layers. The six encoded time points are then averaged to produce one 256-dimensional token. This averages learned convolutional features, whereas the mean-pooling encoder directly averages the projected observations. Each convolution contributes 196,864 parameters, giving 787,456 for the local block and 1,859,073 overall (+0.790% relative to BiLSTM).</w:t>
      </w:r>
    </w:p>
    <w:p>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MLP patch encoder. The ordered [6,256] patch is flattened to 1,536 coordinates and processed by Linear(1536,432), GELU, dropout 0.2, and Linear(432,256). Temporal position remains represented by the input coordinates, so this variant is not an order-invariant summary. The two linear layers contribute 663,984 and 110,848 parameters, totaling 774,832 for the local block and 1,846,449 overall (+0.105%). This local MLP is distinct from the nonhierarchical near-parameter-matched MLP evaluated in Table S24.</w:t>
      </w:r>
    </w:p>
    <w:p>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Optimization, epoch selection, and seeds. The reference and patch-encoder variants use Adam, learning rate 0.001, weight decay 0.001, batch size 300, dropout 0.2, and alpha-balanced focal loss (alpha=0.75, gamma=2.0). Training allows at most 100 epochs with patience 10 based on validation AUPRC. Each variant selects its own best epoch and is retrained using its corresponding validation-selected epoch budget before frozen external evaluation. Point estimates are from training seed 2; seed dispersion is the sample SD across independently trained seeds 1–5. Hyperparameter-configuration selection and epoch selection are distinct: the AUPRC criterion specified here governs epoch selection for these encoder experiments. AUPRC difference intervals use the same paired patient-level bootstrap procedure as Table S24 (2,000 resamples).</w:t>
      </w:r>
    </w:p>
    <w:p>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Within-patch order shuffling. Shuffling is applied only to the BiLSTM order-shuffling variant, not to CNN or MLP. The six time points are permuted immediately after the hourly projection, independently within each patch; the order of the three patch tokens and RoPE remain intact. Fresh permutations are sampled per window and training step. Shuffled inputs are used during training, validation, and evaluation, so the experiment assesses a predictor trained under perturbed chronology. During validation, five shuffled probability predictions per patient are averaged for epoch selection. During final evaluation, ten probability predictions per patient are averaged, and AUROC/AUPRC are computed once from the resulting patient prediction vector. Probabilities, rather than metrics across permutations, are averaged. These ten repetitions stabilize stochastic predictions and do not replace the five independent training seeds. Test permutation randomness is fixed using the training seed, patient index, and repetition index to make scoring reproducible. Paired patient-bootstrap inference uses the final prediction vectors, including the averaged vector for this variant.</w:t>
      </w:r>
    </w:p>
    <w:p>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Parameter percentages are relative to the full BiLSTM reference, not the local block. The CNN and MLP replacement blocks are close in size to the reference but are not exactly parameter-matched. Permutation repetitions concern stochastic-input scoring; the five-seed SD concerns independently trained models.</w:t>
      </w:r>
    </w:p>
    <w:p w14:paraId="458C937B" w14:textId="77777777" w:rsidR="00092AD1" w:rsidRPr="00A729E3" w:rsidRDefault="00000000">
      <w:pPr>
        <w:keepNext/>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lastRenderedPageBreak/>
        <w:t>Figure S1. Seven-Day Mortality Prediction Curves on MIMIC-IV</w:t>
      </w:r>
    </w:p>
    <w:p w14:paraId="3D02A662" w14:textId="77777777" w:rsidR="0081392D" w:rsidRDefault="00000000">
      <w:pPr>
        <w:widowControl/>
        <w:spacing w:after="120" w:line="269" w:lineRule="auto"/>
        <w:jc w:val="center"/>
      </w:pPr>
      <w:r>
        <w:rPr>
          <w:rFonts w:eastAsia="Times New Roman" w:cs="Times New Roman"/>
          <w:noProof/>
          <w:sz w:val="24"/>
        </w:rPr>
        <w:drawing>
          <wp:inline distT="0" distB="0" distL="0" distR="0" wp14:anchorId="119E8057" wp14:editId="08AE4F25">
            <wp:extent cx="9418320" cy="37416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9418320" cy="3741634"/>
                    </a:xfrm>
                    <a:prstGeom prst="rect">
                      <a:avLst/>
                    </a:prstGeom>
                  </pic:spPr>
                </pic:pic>
              </a:graphicData>
            </a:graphic>
          </wp:inline>
        </w:drawing>
      </w:r>
    </w:p>
    <w:p w14:paraId="29B5C922" w14:textId="77777777" w:rsidR="006E4139"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Receiver operating characteristic and precision–recall curves for 7-day mortality prediction on MIMIC-IV (legend AUROC/AUPRC match Table 2: PatchFusion 0.943/0.542; TBAL 0.898/0.433; Transformer 0.905/0.420; LSTM 0.894/0.399). The horizontal PR reference is drawn at the analytic cohort prevalence π=3,182/52,868≈0.060 (not at 0.15). The all-positive PR endpoint is explicitly marked at recall=1 and precision=3,182/52,868=0.060.</w:t>
      </w:r>
    </w:p>
    <w:p w14:paraId="016F207C" w14:textId="77777777" w:rsidR="00092AD1" w:rsidRPr="00A729E3" w:rsidRDefault="00000000">
      <w:pPr>
        <w:keepNext/>
        <w:keepLines w:val="0"/>
        <w:widowControl/>
        <w:spacing w:after="80" w:line="480" w:lineRule="auto" w:before="0"/>
        <w:ind w:left="0" w:right="0" w:firstLine="0"/>
        <w:rPr>
          <w:rFonts w:cs="Times New Roman"/>
        </w:rPr>
      </w:pPr>
      <w:r>
        <w:rPr>
          <w:rFonts w:ascii="Times New Roman" w:hAnsi="Times New Roman" w:eastAsia="Times New Roman" w:cs="Times New Roman"/>
          <w:b/>
          <w:vanish w:val="0"/>
          <w:color w:val="000000"/>
          <w:sz w:val="22"/>
        </w:rPr>
        <w:lastRenderedPageBreak/>
        <w:t>Figure S2. Seven-Day Mortality Discrimination Summary on eICU-CRD</w:t>
      </w:r>
    </w:p>
    <w:p w14:paraId="1F3DE215" w14:textId="77777777" w:rsidR="0081392D" w:rsidRDefault="00000000">
      <w:pPr>
        <w:widowControl/>
        <w:spacing w:after="120" w:line="269" w:lineRule="auto"/>
        <w:jc w:val="center"/>
      </w:pPr>
      <w:r>
        <w:rPr>
          <w:rFonts w:eastAsia="Times New Roman" w:cs="Times New Roman"/>
          <w:noProof/>
          <w:sz w:val="24"/>
        </w:rPr>
        <w:drawing>
          <wp:inline distT="0" distB="0" distL="0" distR="0" wp14:anchorId="221EE123" wp14:editId="15AFB304">
            <wp:extent cx="9418320" cy="3565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9418320" cy="3565172"/>
                    </a:xfrm>
                    <a:prstGeom prst="rect">
                      <a:avLst/>
                    </a:prstGeom>
                  </pic:spPr>
                </pic:pic>
              </a:graphicData>
            </a:graphic>
          </wp:inline>
        </w:drawing>
      </w:r>
    </w:p>
    <w:p w14:paraId="2416F97A" w14:textId="77777777" w:rsidR="006E4139"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Point estimates and 95% confidence intervals for 7-day mortality discrimination on eICU-CRD, corresponding to Table S6. Panel A shows AUROC with a chance reference of 0.500. Panel B shows AUPRC with the prevalence reference 5,190/118,021 = 0.043975, displayed as 0.044. Error bars indicate 95% confidence intervals.</w:t>
      </w:r>
    </w:p>
    <w:p w14:paraId="2493C0EE" w14:textId="77777777" w:rsidR="00092AD1" w:rsidRPr="00A729E3" w:rsidRDefault="00000000">
      <w:pPr>
        <w:keepNext/>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lastRenderedPageBreak/>
        <w:t>Figure S3. ROC and Precision–Recall Curves in the Influenza Subcohort</w:t>
      </w:r>
    </w:p>
    <w:p w14:paraId="535D3294" w14:textId="77777777" w:rsidR="0081392D" w:rsidRDefault="00000000">
      <w:pPr>
        <w:widowControl/>
        <w:spacing w:after="120" w:line="269" w:lineRule="auto"/>
        <w:jc w:val="center"/>
      </w:pPr>
      <w:r>
        <w:rPr>
          <w:rFonts w:eastAsia="Times New Roman" w:cs="Times New Roman"/>
          <w:noProof/>
          <w:sz w:val="24"/>
        </w:rPr>
        <w:drawing>
          <wp:inline distT="0" distB="0" distL="0" distR="0" wp14:anchorId="107355E1" wp14:editId="33B25FC5">
            <wp:extent cx="9418320" cy="37416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9418320" cy="3741634"/>
                    </a:xfrm>
                    <a:prstGeom prst="rect">
                      <a:avLst/>
                    </a:prstGeom>
                  </pic:spPr>
                </pic:pic>
              </a:graphicData>
            </a:graphic>
          </wp:inline>
        </w:drawing>
      </w:r>
    </w:p>
    <w:p w14:paraId="396A3E3B" w14:textId="77777777" w:rsidR="006E4139"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Receiver operating characteristic and precision–recall curves for the influenza subcohort (LSTM 0.785/0.518; Transformer 0.762/0.490; TBAL 0.801/0.531; PatchFusion 0.864/0.610 for AUROC/AUPRC). The all-positive PR endpoint is explicitly marked at recall=1 and precision=2,924/8,210=0.356.</w:t>
      </w:r>
    </w:p>
    <w:p w14:paraId="3BE2333A" w14:textId="77777777" w:rsidR="00092AD1" w:rsidRPr="00A729E3" w:rsidRDefault="00000000">
      <w:pPr>
        <w:keepNext/>
        <w:keepLines w:val="0"/>
        <w:widowControl/>
        <w:spacing w:after="80" w:line="480" w:lineRule="auto" w:before="0"/>
        <w:ind w:left="0" w:right="0" w:firstLine="0"/>
        <w:rPr>
          <w:rFonts w:cs="Times New Roman"/>
        </w:rPr>
      </w:pPr>
      <w:r>
        <w:rPr>
          <w:rFonts w:eastAsia="Times New Roman" w:cs="Times New Roman" w:ascii="Times New Roman" w:hAnsi="Times New Roman"/>
          <w:b/>
          <w:vanish w:val="0"/>
          <w:color w:val="000000"/>
          <w:sz w:val="22"/>
        </w:rPr>
        <w:lastRenderedPageBreak/>
        <w:t>Figure S4. Training and Validation Stability of PatchFusion in the Influenza Subcohort</w:t>
      </w:r>
    </w:p>
    <w:p w14:paraId="6FD41115" w14:textId="77777777" w:rsidR="006E4139" w:rsidRDefault="00000000">
      <w:pPr>
        <w:widowControl/>
        <w:spacing w:after="120" w:line="269" w:lineRule="auto"/>
        <w:jc w:val="center"/>
      </w:pPr>
      <w:r>
        <w:rPr>
          <w:rFonts w:eastAsia="Times New Roman" w:cs="Times New Roman"/>
          <w:noProof/>
          <w:sz w:val="24"/>
        </w:rPr>
        <w:drawing>
          <wp:inline distT="0" distB="0" distL="0" distR="0" wp14:anchorId="5D10E9E6" wp14:editId="6CE9F485">
            <wp:extent cx="8126584" cy="4937759"/>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igure_4.png"/>
                    <pic:cNvPicPr/>
                  </pic:nvPicPr>
                  <pic:blipFill>
                    <a:blip r:embed="rId20"/>
                    <a:stretch>
                      <a:fillRect/>
                    </a:stretch>
                  </pic:blipFill>
                  <pic:spPr>
                    <a:xfrm>
                      <a:off x="0" y="0"/>
                      <a:ext cx="8126584" cy="4937759"/>
                    </a:xfrm>
                    <a:prstGeom prst="rect">
                      <a:avLst/>
                    </a:prstGeom>
                  </pic:spPr>
                </pic:pic>
              </a:graphicData>
            </a:graphic>
          </wp:inline>
        </w:drawing>
      </w:r>
    </w:p>
    <w:p w14:paraId="35A04ABD" w14:textId="77777777" w:rsidR="006E4139" w:rsidRDefault="00000000">
      <w:pPr>
        <w:keepNext w:val="0"/>
        <w:keepLines w:val="0"/>
        <w:widowControl/>
        <w:spacing w:after="80" w:line="480" w:lineRule="auto" w:before="0"/>
        <w:ind w:left="0" w:right="0" w:firstLine="0"/>
        <w:sectPr w:rsidR="00067B1F">
          <w:footerReference w:type="default" r:id="rId23"/>
          <w:pgSz w:w="16838" w:h="11906" w:orient="landscape"/>
          <w:pgMar w:top="936" w:right="936" w:bottom="936" w:left="936" w:header="360" w:footer="360" w:gutter="0"/>
          <w:cols w:space="720" w:num="1"/>
          <w:type w:val="nextPage"/>
        </w:sectPr>
      </w:pPr>
      <w:r>
        <w:rPr>
          <w:rFonts w:eastAsia="Times New Roman" w:cs="Times New Roman" w:ascii="Times New Roman" w:hAnsi="Times New Roman"/>
          <w:vanish w:val="0"/>
          <w:color w:val="000000"/>
          <w:sz w:val="22"/>
        </w:rPr>
        <w:t>Epoch-wise training and validation AUROC for PatchFusion in the influenza subcohort (representative run). Model selection and early stopping used training and validation AUROC only.</w:t>
      </w:r>
    </w:p>
    <w:p w14:paraId="61601517"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lastRenderedPageBreak/>
        <w:t>Figure S5. Reliability Diagrams for Primary ≈12–24-Hour Mortality and Hallym Secondary Endpoints</w:t>
      </w:r>
    </w:p>
    <w:p w14:paraId="3E160ACB" w14:textId="77777777" w:rsidR="00067B1F" w:rsidRDefault="00000000">
      <w:pPr>
        <w:spacing w:after="120" w:line="269" w:lineRule="auto"/>
        <w:jc w:val="center"/>
      </w:pPr>
      <w:r>
        <w:rPr>
          <w:noProof/>
        </w:rPr>
        <w:drawing>
          <wp:inline distT="0" distB="0" distL="0" distR="0" wp14:anchorId="66567598" wp14:editId="1DEA3BFC">
            <wp:extent cx="5212080" cy="55459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igure_5.png"/>
                    <pic:cNvPicPr/>
                  </pic:nvPicPr>
                  <pic:blipFill>
                    <a:blip r:embed="rId21"/>
                    <a:stretch>
                      <a:fillRect/>
                    </a:stretch>
                  </pic:blipFill>
                  <pic:spPr>
                    <a:xfrm>
                      <a:off x="0" y="0"/>
                      <a:ext cx="5212080" cy="5545922"/>
                    </a:xfrm>
                    <a:prstGeom prst="rect">
                      <a:avLst/>
                    </a:prstGeom>
                  </pic:spPr>
                </pic:pic>
              </a:graphicData>
            </a:graphic>
          </wp:inline>
        </w:drawing>
      </w:r>
    </w:p>
    <w:p w14:paraId="6EA8D5C0" w14:textId="77777777" w:rsidR="00067B1F" w:rsidRDefault="00000000">
      <w:pPr>
        <w:keepNext w:val="0"/>
        <w:keepLines w:val="0"/>
        <w:widowControl/>
        <w:spacing w:after="80" w:line="480" w:lineRule="auto" w:before="0"/>
        <w:ind w:left="0" w:right="0" w:firstLine="0"/>
        <w:sectPr w:rsidR="00067B1F">
          <w:footerReference w:type="default" r:id="rId23"/>
          <w:pgSz w:w="11906" w:h="16838"/>
          <w:pgMar w:top="1224" w:right="1440" w:bottom="1224" w:left="1440" w:header="360" w:footer="360" w:gutter="0"/>
          <w:cols w:space="720" w:num="1"/>
          <w:type w:val="nextPage"/>
        </w:sectPr>
      </w:pPr>
      <w:r>
        <w:rPr>
          <w:rFonts w:ascii="Times New Roman" w:hAnsi="Times New Roman" w:eastAsia="Times New Roman" w:cs="Times New Roman"/>
          <w:vanish w:val="0"/>
          <w:color w:val="000000"/>
          <w:sz w:val="22"/>
        </w:rPr>
        <w:t>Reliability diagrams of original (uncalibrated) predicted probabilities—not curves from logistic recalibration. Ten model-specific equal-frequency bins (110 stays each in Hallym Panels C–D) were used; error bars indicate 95% Wilson confidence intervals. Lower panels show the PatchFusion-only predicted-probability distribution (not comparable across models). Brier summaries are individual-stay values from Table S15; scaled Brier = 1 − Brier/[π(1−π)]. Insets in Panels A–B enlarge the low-probability range. Panel A, MIMIC-IV pooled OOF ≈12–24-hour mortality; Panel B, locked eICU-CRD ≈12–24-hour mortality; Panel C, locked Hallym in-hospital mortality; Panel D, locked Hallym 7-day mortality. Panel C model-specific mean predictions/death counts are: PatchFusion, means 0.04/0.10/0.17/0.22/0.28/0.34/0.41/0.49/0.63/0.84 and deaths 2/7/12/15/27/32/38/46/62/87; TBAL, 0.03/0.07/0.12/0.18/0.25/0.32/0.40/0.49/0.61/0.77 and 14/16/19/24/29/34/40/45/51/56; Transformer, 0.03/0.08/0.14/0.20/0.27/0.34/0.42/0.51/0.64/0.80 and 11/13/21/24/29/34/40/44/52/60; LSTM, 0.03/0.07/0.12/0.18/0.25/0.32/0.40/0.49/0.61/0.77 and 11/15/22/24/28/34/41/46/56/51. For every model, bin n=110, deaths sum to 328, and mean observed rate is 328/1,100=0.2982. Threshold partitions reproduce Table S10 exactly: PatchFusion includes five complete upper bins (265 deaths) plus 71 stays/24 deaths from bin 5, yielding TP/FP/FN/TN=289/332/39/440 and 621 alerts; TBAL includes five complete upper bins (226 deaths) plus 43 stays/20 deaths from bin 5, yielding 246/347/82/425 and 593 alerts; Transformer includes six complete upper bins (259 deaths) plus 10 stays/10 deaths from bin 4, yielding 269/401/59/371 and 670 alerts; LSTM includes six complete upper bins (256 deaths) plus 51 stays/7 deaths from bin 4, yielding 263/448/65/324 and 711 alerts. The grouped-bin tie AUROCs for TBAL/Transformer/LSTM are 0.6751/0.6916/0.6790, matching Table S10 after three-decimal rounding. Panel A equal-frequency audit (2,500 stays/bin; 291 deaths total): model-specific bin death counts from lowest to highest predicted-risk bin were PatchFusion 0/0/0/0/0/0/0/1/5/285, TBAL 0/0/0/0/0/0/1/3/12/275, Transformer 0/0/0/0/0/1/2/8/22/258, and LSTM 0/0/0/0/0/0/2/6/18/265. Each sequence sums to 291; the largest plotted rate is 285/2,500=0.1140, below the mathematical upper bound 291/2,500=0.1164.</w:t>
      </w:r>
      <w:r>
        <w:rPr>
          <w:rFonts w:ascii="Times New Roman" w:hAnsi="Times New Roman" w:eastAsia="Times New Roman" w:cs="Times New Roman"/>
          <w:vanish w:val="0"/>
          <w:color w:val="000000"/>
          <w:sz w:val="22"/>
        </w:rPr>
      </w:r>
      <w:r>
        <w:rPr>
          <w:rFonts w:ascii="Times New Roman" w:hAnsi="Times New Roman" w:eastAsia="Times New Roman" w:cs="Times New Roman"/>
          <w:vanish w:val="0"/>
          <w:color w:val="000000"/>
          <w:sz w:val="22"/>
        </w:rPr>
      </w:r>
    </w:p>
    <w:p w14:paraId="5E1D15F1" w14:textId="77777777" w:rsidR="00067B1F" w:rsidRDefault="00000000">
      <w:pPr>
        <w:keepNext/>
        <w:keepLines w:val="0"/>
        <w:widowControl/>
        <w:spacing w:after="80" w:line="480" w:lineRule="auto" w:before="0"/>
        <w:ind w:left="0" w:right="0" w:firstLine="0"/>
      </w:pPr>
      <w:r>
        <w:rPr>
          <w:rFonts w:ascii="Times New Roman" w:hAnsi="Times New Roman" w:eastAsia="Times New Roman" w:cs="Times New Roman"/>
          <w:b/>
          <w:vanish w:val="0"/>
          <w:color w:val="000000"/>
          <w:sz w:val="22"/>
        </w:rPr>
        <w:t>Figure S6. Net Benefit at Evaluated Probability Thresholds</w:t>
      </w:r>
    </w:p>
    <w:p w14:paraId="1CDFADAC" w14:textId="77777777" w:rsidR="00067B1F" w:rsidRDefault="00000000">
      <w:pPr>
        <w:spacing w:after="120" w:line="269" w:lineRule="auto"/>
        <w:jc w:val="center"/>
      </w:pPr>
      <w:r>
        <w:drawing>
          <wp:inline xmlns:a="http://schemas.openxmlformats.org/drawingml/2006/main" xmlns:pic="http://schemas.openxmlformats.org/drawingml/2006/picture">
            <wp:extent cx="8412480" cy="5400054"/>
            <wp:docPr id="10" name="Picture 10"/>
            <wp:cNvGraphicFramePr>
              <a:graphicFrameLocks noChangeAspect="1"/>
            </wp:cNvGraphicFramePr>
            <a:graphic>
              <a:graphicData uri="http://schemas.openxmlformats.org/drawingml/2006/picture">
                <pic:pic>
                  <pic:nvPicPr>
                    <pic:cNvPr id="0" name="11_Figure_S6_updated_threshold_results.png"/>
                    <pic:cNvPicPr/>
                  </pic:nvPicPr>
                  <pic:blipFill>
                    <a:blip r:embed="rId27"/>
                    <a:stretch>
                      <a:fillRect/>
                    </a:stretch>
                  </pic:blipFill>
                  <pic:spPr>
                    <a:xfrm>
                      <a:off x="0" y="0"/>
                      <a:ext cx="8412480" cy="5400054"/>
                    </a:xfrm>
                    <a:prstGeom prst="rect"/>
                  </pic:spPr>
                </pic:pic>
              </a:graphicData>
            </a:graphic>
          </wp:inline>
        </w:drawing>
      </w:r>
    </w:p>
    <w:p w14:paraId="4C166145" w14:textId="77777777" w:rsidR="00067B1F" w:rsidRDefault="00000000">
      <w:pPr>
        <w:keepNext w:val="0"/>
        <w:keepLines w:val="0"/>
        <w:widowControl/>
        <w:spacing w:after="80" w:line="480" w:lineRule="auto" w:before="0"/>
        <w:ind w:left="0" w:right="0" w:firstLine="0"/>
      </w:pPr>
      <w:r>
        <w:rPr>
          <w:rFonts w:ascii="Times New Roman" w:hAnsi="Times New Roman" w:eastAsia="Times New Roman" w:cs="Times New Roman"/>
          <w:vanish w:val="0"/>
          <w:color w:val="000000"/>
          <w:sz w:val="22"/>
        </w:rPr>
        <w:t>Evaluated threshold points for PatchFusion, PatchTST, and GRU-D in MIMIC-IV pooled out-of-fold primary-endpoint predictions (Panel A) and locked Hallym seven-day scores (Panel B). Panels C and D show PatchFusion-minus-PatchTST net-benefit differences with reported 95% confidence intervals. Dashed zero lines indicate treat-none in Panels A–B and no difference in Panels C–D. Points reproduce Table S26; continuous decision curves are not reconstructed from the supplied summaries. Panel scales differ. The Hallym lower CI bound at p_t=0.20 is reported as 0.000, and PatchFusion net benefit at 0.20 and 0.30 remains negative.</w:t>
      </w:r>
    </w:p>
    <w:p>
      <w:pPr>
        <w:pStyle w:val="1"/>
        <w:keepNext w:val="0"/>
        <w:keepLines w:val="0"/>
        <w:widowControl/>
        <w:spacing w:line="480" w:lineRule="auto" w:before="0" w:after="80"/>
        <w:ind w:left="0" w:right="0" w:firstLine="0"/>
      </w:pPr>
      <w:r>
        <w:rPr>
          <w:rFonts w:ascii="Times New Roman" w:hAnsi="Times New Roman" w:eastAsia="Times New Roman" w:cs="Times New Roman"/>
          <w:b/>
          <w:vanish w:val="0"/>
          <w:color w:val="000000"/>
          <w:sz w:val="24"/>
        </w:rPr>
        <w:t>ADDITIONAL COMPARISON DETAILS</w:t>
      </w:r>
    </w:p>
    <w:p>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4"/>
        </w:rPr>
        <w:t>Numbered literature citations in this supplement refer to the reference list in the main manuscript. The representation comparison below was moved to the supplement to meet the main-text table limit. Its data are unchanged.</w:t>
      </w:r>
    </w:p>
    <w:p>
      <w:pPr>
        <w:pStyle w:val="Caption"/>
        <w:keepNext/>
        <w:keepLines w:val="0"/>
        <w:widowControl/>
        <w:spacing w:line="480" w:lineRule="auto" w:before="0" w:after="80"/>
        <w:ind w:left="0" w:right="0" w:firstLine="0"/>
      </w:pPr>
      <w:r>
        <w:rPr>
          <w:rFonts w:ascii="Times New Roman" w:hAnsi="Times New Roman" w:eastAsia="Times New Roman" w:cs="Times New Roman"/>
          <w:vanish w:val="0"/>
          <w:color w:val="000000"/>
          <w:sz w:val="24"/>
        </w:rPr>
        <w:t>Table S30. Local representation formation and global interaction under the common primary-endpoint evaluation protocol.</w:t>
      </w:r>
    </w:p>
    <w:tbl>
      <w:tblPr>
        <w:jc w:val="center"/>
        <w:tblW w:w="0" w:type="auto"/>
        <w:tblLook w:val="04A0" w:firstRow="1" w:lastRow="0" w:firstColumn="1" w:lastColumn="0" w:noHBand="0" w:noVBand="1"/>
        <w:tblLayout w:type="fixed"/>
        <w:tblCellMar>
          <w:top w:w="70" w:type="dxa"/>
          <w:bottom w:w="70" w:type="dxa"/>
          <w:left w:w="85" w:type="dxa"/>
          <w:right w:w="8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2016"/>
        <w:gridCol w:w="5328"/>
        <w:gridCol w:w="1142"/>
      </w:tblGrid>
      <w:tr w:rsidR="00F55BFA" w14:paraId="2EE92E71" w14:textId="77777777">
        <w:trPr>
          <w:jc w:val="center"/>
          <w:cantSplit/>
          <w:tblHeader/>
        </w:trPr>
        <w:tc>
          <w:tcPr>
            <w:tcW w:w="2880" w:type="dxa"/>
            <w:tcBorders>
              <w:top w:val="single" w:sz="6" w:space="0" w:color="D9D9D9"/>
              <w:left w:val="nil"/>
              <w:bottom w:val="single" w:sz="6" w:space="0" w:color="D9D9D9"/>
              <w:right w:val="nil"/>
            </w:tcBorders>
            <w:vAlign w:val="center"/>
            <w:shd w:fill="E7E7E7"/>
          </w:tcPr>
          <w:p w14:paraId="4BDB4496" w14:textId="77777777" w:rsidR="00F55BFA" w:rsidRDefault="00000000">
            <w:pPr>
              <w:keepNext w:val="0"/>
              <w:keepLines w:val="0"/>
              <w:widowControl/>
              <w:spacing w:after="0" w:line="480" w:lineRule="auto" w:before="0"/>
              <w:ind w:left="0" w:right="0" w:firstLine="0"/>
              <w:jc w:val="left"/>
            </w:pPr>
            <w:r>
              <w:rPr>
                <w:rFonts w:ascii="Times New Roman" w:eastAsia="Times New Roman" w:hAnsi="Times New Roman" w:cs="Times New Roman"/>
                <w:b/>
                <w:vanish w:val="0"/>
                <w:color w:val="000000"/>
                <w:sz w:val="19"/>
              </w:rPr>
              <w:t>Configuration</w:t>
            </w:r>
          </w:p>
        </w:tc>
        <w:tc>
          <w:tcPr>
            <w:tcW w:w="3600" w:type="dxa"/>
            <w:tcBorders>
              <w:top w:val="single" w:sz="6" w:space="0" w:color="D9D9D9"/>
              <w:left w:val="nil"/>
              <w:bottom w:val="single" w:sz="6" w:space="0" w:color="D9D9D9"/>
              <w:right w:val="nil"/>
            </w:tcBorders>
            <w:vAlign w:val="center"/>
            <w:shd w:fill="E7E7E7"/>
          </w:tcPr>
          <w:p w14:paraId="35E3058F"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nish w:val="0"/>
                <w:color w:val="000000"/>
                <w:sz w:val="19"/>
              </w:rPr>
              <w:t>Local stage</w:t>
            </w:r>
          </w:p>
        </w:tc>
        <w:tc>
          <w:tcPr>
            <w:tcW w:w="2016" w:type="dxa"/>
            <w:tcBorders>
              <w:top w:val="single" w:sz="6" w:space="0" w:color="D9D9D9"/>
              <w:left w:val="nil"/>
              <w:bottom w:val="single" w:sz="6" w:space="0" w:color="D9D9D9"/>
              <w:right w:val="nil"/>
            </w:tcBorders>
            <w:vAlign w:val="center"/>
            <w:shd w:fill="E7E7E7"/>
          </w:tcPr>
          <w:p w14:paraId="61591B56"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nish w:val="0"/>
                <w:color w:val="000000"/>
                <w:sz w:val="19"/>
              </w:rPr>
              <w:t>Global stage</w:t>
            </w:r>
          </w:p>
        </w:tc>
        <w:tc>
          <w:tcPr>
            <w:tcW w:w="5328" w:type="dxa"/>
            <w:tcBorders>
              <w:top w:val="single" w:sz="6" w:space="0" w:color="D9D9D9"/>
              <w:left w:val="nil"/>
              <w:bottom w:val="single" w:sz="6" w:space="0" w:color="D9D9D9"/>
              <w:right w:val="nil"/>
            </w:tcBorders>
            <w:vAlign w:val="center"/>
            <w:shd w:fill="E7E7E7"/>
          </w:tcPr>
          <w:p w14:paraId="327A8AA9"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nish w:val="0"/>
                <w:color w:val="000000"/>
                <w:sz w:val="19"/>
              </w:rPr>
              <w:t>Information flow</w:t>
            </w:r>
          </w:p>
        </w:tc>
        <w:tc>
          <w:tcPr>
            <w:tcW w:w="1142" w:type="dxa"/>
            <w:tcBorders>
              <w:top w:val="single" w:sz="6" w:space="0" w:color="D9D9D9"/>
              <w:left w:val="nil"/>
              <w:bottom w:val="single" w:sz="6" w:space="0" w:color="D9D9D9"/>
              <w:right w:val="nil"/>
            </w:tcBorders>
            <w:vAlign w:val="center"/>
            <w:shd w:fill="E7E7E7"/>
          </w:tcPr>
          <w:p w14:paraId="222635C3"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nish w:val="0"/>
                <w:color w:val="000000"/>
                <w:sz w:val="19"/>
              </w:rPr>
              <w:t>AUPRC</w:t>
            </w:r>
          </w:p>
        </w:tc>
      </w:tr>
      <w:tr w:rsidR="00F55BFA" w14:paraId="02B6877A" w14:textId="77777777">
        <w:trPr>
          <w:jc w:val="center"/>
          <w:cantSplit/>
        </w:trPr>
        <w:tc>
          <w:tcPr>
            <w:tcW w:w="2880" w:type="dxa"/>
            <w:tcBorders>
              <w:top w:val="single" w:sz="6" w:space="0" w:color="D9D9D9"/>
              <w:left w:val="nil"/>
              <w:bottom w:val="single" w:sz="6" w:space="0" w:color="D9D9D9"/>
              <w:right w:val="nil"/>
            </w:tcBorders>
            <w:vAlign w:val="center"/>
            <w:shd w:fill="FFFFFF"/>
          </w:tcPr>
          <w:p w14:paraId="42A76C28" w14:textId="77777777" w:rsidR="00F55BFA" w:rsidRDefault="00000000">
            <w:pPr>
              <w:keepNext w:val="0"/>
              <w:keepLines w:val="0"/>
              <w:widowControl/>
              <w:spacing w:after="0" w:line="480" w:lineRule="auto" w:before="0"/>
              <w:ind w:left="0" w:right="0" w:firstLine="0"/>
              <w:jc w:val="left"/>
            </w:pPr>
            <w:r>
              <w:rPr>
                <w:rFonts w:ascii="Times New Roman" w:eastAsia="Times New Roman" w:hAnsi="Times New Roman" w:cs="Times New Roman"/>
                <w:b w:val="0"/>
                <w:vanish w:val="0"/>
                <w:color w:val="000000"/>
                <w:sz w:val="19"/>
              </w:rPr>
              <w:t>Standalone Transformer</w:t>
            </w:r>
          </w:p>
        </w:tc>
        <w:tc>
          <w:tcPr>
            <w:tcW w:w="3600" w:type="dxa"/>
            <w:tcBorders>
              <w:top w:val="single" w:sz="6" w:space="0" w:color="D9D9D9"/>
              <w:left w:val="nil"/>
              <w:bottom w:val="single" w:sz="6" w:space="0" w:color="D9D9D9"/>
              <w:right w:val="nil"/>
            </w:tcBorders>
            <w:vAlign w:val="center"/>
            <w:shd w:fill="FFFFFF"/>
          </w:tcPr>
          <w:p w14:paraId="2BED22D5"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No explicit episode stage</w:t>
            </w:r>
          </w:p>
        </w:tc>
        <w:tc>
          <w:tcPr>
            <w:tcW w:w="2016" w:type="dxa"/>
            <w:tcBorders>
              <w:top w:val="single" w:sz="6" w:space="0" w:color="D9D9D9"/>
              <w:left w:val="nil"/>
              <w:bottom w:val="single" w:sz="6" w:space="0" w:color="D9D9D9"/>
              <w:right w:val="nil"/>
            </w:tcBorders>
            <w:vAlign w:val="center"/>
            <w:shd w:fill="FFFFFF"/>
          </w:tcPr>
          <w:p w14:paraId="435E1939"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Sequence attention</w:t>
            </w:r>
          </w:p>
        </w:tc>
        <w:tc>
          <w:tcPr>
            <w:tcW w:w="5328" w:type="dxa"/>
            <w:tcBorders>
              <w:top w:val="single" w:sz="6" w:space="0" w:color="D9D9D9"/>
              <w:left w:val="nil"/>
              <w:bottom w:val="single" w:sz="6" w:space="0" w:color="D9D9D9"/>
              <w:right w:val="nil"/>
            </w:tcBorders>
            <w:vAlign w:val="center"/>
            <w:shd w:fill="FFFFFF"/>
          </w:tcPr>
          <w:p w14:paraId="0BFA835D"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Global only</w:t>
            </w:r>
          </w:p>
        </w:tc>
        <w:tc>
          <w:tcPr>
            <w:tcW w:w="1142" w:type="dxa"/>
            <w:tcBorders>
              <w:top w:val="single" w:sz="6" w:space="0" w:color="D9D9D9"/>
              <w:left w:val="nil"/>
              <w:bottom w:val="single" w:sz="6" w:space="0" w:color="D9D9D9"/>
              <w:right w:val="nil"/>
            </w:tcBorders>
            <w:vAlign w:val="center"/>
            <w:shd w:fill="FFFFFF"/>
          </w:tcPr>
          <w:p w14:paraId="248E5097"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0.354</w:t>
            </w:r>
          </w:p>
        </w:tc>
      </w:tr>
      <w:tr w:rsidR="00F55BFA" w14:paraId="6ED91B3C" w14:textId="77777777">
        <w:trPr>
          <w:jc w:val="center"/>
          <w:cantSplit/>
        </w:trPr>
        <w:tc>
          <w:tcPr>
            <w:tcW w:w="2880" w:type="dxa"/>
            <w:tcBorders>
              <w:top w:val="single" w:sz="6" w:space="0" w:color="D9D9D9"/>
              <w:left w:val="nil"/>
              <w:bottom w:val="single" w:sz="6" w:space="0" w:color="D9D9D9"/>
              <w:right w:val="nil"/>
            </w:tcBorders>
            <w:vAlign w:val="center"/>
            <w:shd w:fill="FFFFFF"/>
          </w:tcPr>
          <w:p w14:paraId="2F7805E6" w14:textId="77777777" w:rsidR="00F55BFA" w:rsidRDefault="00000000">
            <w:pPr>
              <w:keepNext w:val="0"/>
              <w:keepLines w:val="0"/>
              <w:widowControl/>
              <w:spacing w:after="0" w:line="480" w:lineRule="auto" w:before="0"/>
              <w:ind w:left="0" w:right="0" w:firstLine="0"/>
              <w:jc w:val="left"/>
            </w:pPr>
            <w:proofErr w:type="spellStart"/>
            <w:r>
              <w:rPr>
                <w:rFonts w:ascii="Times New Roman" w:eastAsia="Times New Roman" w:hAnsi="Times New Roman" w:cs="Times New Roman"/>
                <w:b w:val="0"/>
                <w:vanish w:val="0"/>
                <w:color w:val="000000"/>
                <w:sz w:val="19"/>
              </w:rPr>
              <w:t>PatchTST</w:t>
            </w:r>
            <w:proofErr w:type="spellEnd"/>
          </w:p>
        </w:tc>
        <w:tc>
          <w:tcPr>
            <w:tcW w:w="3600" w:type="dxa"/>
            <w:tcBorders>
              <w:top w:val="single" w:sz="6" w:space="0" w:color="D9D9D9"/>
              <w:left w:val="nil"/>
              <w:bottom w:val="single" w:sz="6" w:space="0" w:color="D9D9D9"/>
              <w:right w:val="nil"/>
            </w:tcBorders>
            <w:vAlign w:val="center"/>
            <w:shd w:fill="FFFFFF"/>
          </w:tcPr>
          <w:p w14:paraId="2A871356"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Channel-wise patch projection</w:t>
            </w:r>
          </w:p>
        </w:tc>
        <w:tc>
          <w:tcPr>
            <w:tcW w:w="2016" w:type="dxa"/>
            <w:tcBorders>
              <w:top w:val="single" w:sz="6" w:space="0" w:color="D9D9D9"/>
              <w:left w:val="nil"/>
              <w:bottom w:val="single" w:sz="6" w:space="0" w:color="D9D9D9"/>
              <w:right w:val="nil"/>
            </w:tcBorders>
            <w:vAlign w:val="center"/>
            <w:shd w:fill="FFFFFF"/>
          </w:tcPr>
          <w:p w14:paraId="1AFD9F5D"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Patch-token attention</w:t>
            </w:r>
          </w:p>
        </w:tc>
        <w:tc>
          <w:tcPr>
            <w:tcW w:w="5328" w:type="dxa"/>
            <w:tcBorders>
              <w:top w:val="single" w:sz="6" w:space="0" w:color="D9D9D9"/>
              <w:left w:val="nil"/>
              <w:bottom w:val="single" w:sz="6" w:space="0" w:color="D9D9D9"/>
              <w:right w:val="nil"/>
            </w:tcBorders>
            <w:vAlign w:val="center"/>
            <w:shd w:fill="FFFFFF"/>
          </w:tcPr>
          <w:p w14:paraId="0ED77374"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Projected patch → attention</w:t>
            </w:r>
          </w:p>
        </w:tc>
        <w:tc>
          <w:tcPr>
            <w:tcW w:w="1142" w:type="dxa"/>
            <w:tcBorders>
              <w:top w:val="single" w:sz="6" w:space="0" w:color="D9D9D9"/>
              <w:left w:val="nil"/>
              <w:bottom w:val="single" w:sz="6" w:space="0" w:color="D9D9D9"/>
              <w:right w:val="nil"/>
            </w:tcBorders>
            <w:vAlign w:val="center"/>
            <w:shd w:fill="FFFFFF"/>
          </w:tcPr>
          <w:p w14:paraId="7A74D33F"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0.461</w:t>
            </w:r>
          </w:p>
        </w:tc>
      </w:tr>
      <w:tr w:rsidR="00F55BFA" w14:paraId="3AFACA42" w14:textId="77777777">
        <w:trPr>
          <w:jc w:val="center"/>
          <w:cantSplit/>
        </w:trPr>
        <w:tc>
          <w:tcPr>
            <w:tcW w:w="2880" w:type="dxa"/>
            <w:tcBorders>
              <w:top w:val="single" w:sz="6" w:space="0" w:color="D9D9D9"/>
              <w:left w:val="nil"/>
              <w:bottom w:val="single" w:sz="6" w:space="0" w:color="D9D9D9"/>
              <w:right w:val="nil"/>
            </w:tcBorders>
            <w:vAlign w:val="center"/>
            <w:shd w:fill="FFFFFF"/>
          </w:tcPr>
          <w:p w14:paraId="19F6B6AC" w14:textId="77777777" w:rsidR="00F55BFA" w:rsidRDefault="00000000">
            <w:pPr>
              <w:keepNext w:val="0"/>
              <w:keepLines w:val="0"/>
              <w:widowControl/>
              <w:spacing w:after="0" w:line="480" w:lineRule="auto" w:before="0"/>
              <w:ind w:left="0" w:right="0" w:firstLine="0"/>
              <w:jc w:val="left"/>
            </w:pPr>
            <w:proofErr w:type="spellStart"/>
            <w:r>
              <w:rPr>
                <w:rFonts w:ascii="Times New Roman" w:eastAsia="Times New Roman" w:hAnsi="Times New Roman" w:cs="Times New Roman"/>
                <w:b w:val="0"/>
                <w:vanish w:val="0"/>
                <w:color w:val="000000"/>
                <w:sz w:val="19"/>
              </w:rPr>
              <w:t>PatchFusion</w:t>
            </w:r>
            <w:proofErr w:type="spellEnd"/>
            <w:r>
              <w:rPr>
                <w:rFonts w:ascii="Times New Roman" w:eastAsia="Times New Roman" w:hAnsi="Times New Roman" w:cs="Times New Roman"/>
                <w:b w:val="0"/>
                <w:vanish w:val="0"/>
                <w:color w:val="000000"/>
                <w:sz w:val="19"/>
              </w:rPr>
              <w:t xml:space="preserve"> − global attention</w:t>
            </w:r>
          </w:p>
        </w:tc>
        <w:tc>
          <w:tcPr>
            <w:tcW w:w="3600" w:type="dxa"/>
            <w:tcBorders>
              <w:top w:val="single" w:sz="6" w:space="0" w:color="D9D9D9"/>
              <w:left w:val="nil"/>
              <w:bottom w:val="single" w:sz="6" w:space="0" w:color="D9D9D9"/>
              <w:right w:val="nil"/>
            </w:tcBorders>
            <w:vAlign w:val="center"/>
            <w:shd w:fill="FFFFFF"/>
          </w:tcPr>
          <w:p w14:paraId="28CAB14A"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Within-patch BiLSTM</w:t>
            </w:r>
          </w:p>
        </w:tc>
        <w:tc>
          <w:tcPr>
            <w:tcW w:w="2016" w:type="dxa"/>
            <w:tcBorders>
              <w:top w:val="single" w:sz="6" w:space="0" w:color="D9D9D9"/>
              <w:left w:val="nil"/>
              <w:bottom w:val="single" w:sz="6" w:space="0" w:color="D9D9D9"/>
              <w:right w:val="nil"/>
            </w:tcBorders>
            <w:vAlign w:val="center"/>
            <w:shd w:fill="FFFFFF"/>
          </w:tcPr>
          <w:p w14:paraId="03001E55"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None</w:t>
            </w:r>
          </w:p>
        </w:tc>
        <w:tc>
          <w:tcPr>
            <w:tcW w:w="5328" w:type="dxa"/>
            <w:tcBorders>
              <w:top w:val="single" w:sz="6" w:space="0" w:color="D9D9D9"/>
              <w:left w:val="nil"/>
              <w:bottom w:val="single" w:sz="6" w:space="0" w:color="D9D9D9"/>
              <w:right w:val="nil"/>
            </w:tcBorders>
            <w:vAlign w:val="center"/>
            <w:shd w:fill="FFFFFF"/>
          </w:tcPr>
          <w:p w14:paraId="36984A11"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Local only</w:t>
            </w:r>
          </w:p>
        </w:tc>
        <w:tc>
          <w:tcPr>
            <w:tcW w:w="1142" w:type="dxa"/>
            <w:tcBorders>
              <w:top w:val="single" w:sz="6" w:space="0" w:color="D9D9D9"/>
              <w:left w:val="nil"/>
              <w:bottom w:val="single" w:sz="6" w:space="0" w:color="D9D9D9"/>
              <w:right w:val="nil"/>
            </w:tcBorders>
            <w:vAlign w:val="center"/>
            <w:shd w:fill="FFFFFF"/>
          </w:tcPr>
          <w:p w14:paraId="0B5E47F2"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0.518</w:t>
            </w:r>
          </w:p>
        </w:tc>
      </w:tr>
      <w:tr w:rsidR="00F55BFA" w14:paraId="43FE7E1F" w14:textId="77777777">
        <w:trPr>
          <w:jc w:val="center"/>
          <w:cantSplit/>
        </w:trPr>
        <w:tc>
          <w:tcPr>
            <w:tcW w:w="2880" w:type="dxa"/>
            <w:tcBorders>
              <w:top w:val="single" w:sz="6" w:space="0" w:color="D9D9D9"/>
              <w:left w:val="nil"/>
              <w:bottom w:val="single" w:sz="6" w:space="0" w:color="D9D9D9"/>
              <w:right w:val="nil"/>
            </w:tcBorders>
            <w:vAlign w:val="center"/>
            <w:shd w:fill="FFFFFF"/>
          </w:tcPr>
          <w:p w14:paraId="422E1A6C" w14:textId="77777777" w:rsidR="00F55BFA" w:rsidRDefault="00000000">
            <w:pPr>
              <w:keepNext w:val="0"/>
              <w:keepLines w:val="0"/>
              <w:widowControl/>
              <w:spacing w:after="0" w:line="480" w:lineRule="auto" w:before="0"/>
              <w:ind w:left="0" w:right="0" w:firstLine="0"/>
              <w:jc w:val="left"/>
            </w:pPr>
            <w:proofErr w:type="spellStart"/>
            <w:r>
              <w:rPr>
                <w:rFonts w:ascii="Times New Roman" w:eastAsia="Times New Roman" w:hAnsi="Times New Roman" w:cs="Times New Roman"/>
                <w:b w:val="0"/>
                <w:vanish w:val="0"/>
                <w:color w:val="000000"/>
                <w:sz w:val="19"/>
              </w:rPr>
              <w:t>PatchFusion</w:t>
            </w:r>
            <w:proofErr w:type="spellEnd"/>
          </w:p>
        </w:tc>
        <w:tc>
          <w:tcPr>
            <w:tcW w:w="3600" w:type="dxa"/>
            <w:tcBorders>
              <w:top w:val="single" w:sz="6" w:space="0" w:color="D9D9D9"/>
              <w:left w:val="nil"/>
              <w:bottom w:val="single" w:sz="6" w:space="0" w:color="D9D9D9"/>
              <w:right w:val="nil"/>
            </w:tcBorders>
            <w:vAlign w:val="center"/>
            <w:shd w:fill="FFFFFF"/>
          </w:tcPr>
          <w:p w14:paraId="7DB86FE8"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Shared BiLSTM within each overlapping patch</w:t>
            </w:r>
          </w:p>
        </w:tc>
        <w:tc>
          <w:tcPr>
            <w:tcW w:w="2016" w:type="dxa"/>
            <w:tcBorders>
              <w:top w:val="single" w:sz="6" w:space="0" w:color="D9D9D9"/>
              <w:left w:val="nil"/>
              <w:bottom w:val="single" w:sz="6" w:space="0" w:color="D9D9D9"/>
              <w:right w:val="nil"/>
            </w:tcBorders>
            <w:vAlign w:val="center"/>
            <w:shd w:fill="FFFFFF"/>
          </w:tcPr>
          <w:p w14:paraId="27AA0CD8"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Relative-position trajectory-token attention</w:t>
            </w:r>
          </w:p>
        </w:tc>
        <w:tc>
          <w:tcPr>
            <w:tcW w:w="5328" w:type="dxa"/>
            <w:tcBorders>
              <w:top w:val="single" w:sz="6" w:space="0" w:color="D9D9D9"/>
              <w:left w:val="nil"/>
              <w:bottom w:val="single" w:sz="6" w:space="0" w:color="D9D9D9"/>
              <w:right w:val="nil"/>
            </w:tcBorders>
            <w:vAlign w:val="center"/>
            <w:shd w:fill="FFFFFF"/>
          </w:tcPr>
          <w:p w14:paraId="41BB9428"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Recurrent multivariate patch summary → attention</w:t>
            </w:r>
          </w:p>
        </w:tc>
        <w:tc>
          <w:tcPr>
            <w:tcW w:w="1142" w:type="dxa"/>
            <w:tcBorders>
              <w:top w:val="single" w:sz="6" w:space="0" w:color="D9D9D9"/>
              <w:left w:val="nil"/>
              <w:bottom w:val="single" w:sz="6" w:space="0" w:color="D9D9D9"/>
              <w:right w:val="nil"/>
            </w:tcBorders>
            <w:vAlign w:val="center"/>
            <w:shd w:fill="FFFFFF"/>
          </w:tcPr>
          <w:p w14:paraId="542FACA1"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0.578</w:t>
            </w:r>
          </w:p>
        </w:tc>
      </w:tr>
      <w:tr w:rsidR="00F55BFA" w14:paraId="79E2E682" w14:textId="77777777">
        <w:trPr>
          <w:jc w:val="center"/>
          <w:cantSplit/>
        </w:trPr>
        <w:tc>
          <w:tcPr>
            <w:tcW w:w="2880" w:type="dxa"/>
            <w:tcBorders>
              <w:top w:val="single" w:sz="6" w:space="0" w:color="D9D9D9"/>
              <w:left w:val="nil"/>
              <w:bottom w:val="single" w:sz="6" w:space="0" w:color="D9D9D9"/>
              <w:right w:val="nil"/>
            </w:tcBorders>
            <w:vAlign w:val="center"/>
            <w:shd w:fill="FFFFFF"/>
          </w:tcPr>
          <w:p w14:paraId="153938BE" w14:textId="77777777" w:rsidR="00F55BFA" w:rsidRDefault="00000000">
            <w:pPr>
              <w:keepNext w:val="0"/>
              <w:keepLines w:val="0"/>
              <w:widowControl/>
              <w:spacing w:after="0" w:line="480" w:lineRule="auto" w:before="0"/>
              <w:ind w:left="0" w:right="0" w:firstLine="0"/>
              <w:jc w:val="left"/>
            </w:pPr>
            <w:r>
              <w:rPr>
                <w:rFonts w:ascii="Times New Roman" w:eastAsia="Times New Roman" w:hAnsi="Times New Roman" w:cs="Times New Roman"/>
                <w:b w:val="0"/>
                <w:vanish w:val="0"/>
                <w:color w:val="000000"/>
                <w:sz w:val="19"/>
              </w:rPr>
              <w:t>Near-parameter-matched MLP (+0.30%)</w:t>
            </w:r>
          </w:p>
        </w:tc>
        <w:tc>
          <w:tcPr>
            <w:tcW w:w="3600" w:type="dxa"/>
            <w:tcBorders>
              <w:top w:val="single" w:sz="6" w:space="0" w:color="D9D9D9"/>
              <w:left w:val="nil"/>
              <w:bottom w:val="single" w:sz="6" w:space="0" w:color="D9D9D9"/>
              <w:right w:val="nil"/>
            </w:tcBorders>
            <w:vAlign w:val="center"/>
            <w:shd w:fill="FFFFFF"/>
          </w:tcPr>
          <w:p w14:paraId="4F427D75"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None</w:t>
            </w:r>
          </w:p>
        </w:tc>
        <w:tc>
          <w:tcPr>
            <w:tcW w:w="2016" w:type="dxa"/>
            <w:tcBorders>
              <w:top w:val="single" w:sz="6" w:space="0" w:color="D9D9D9"/>
              <w:left w:val="nil"/>
              <w:bottom w:val="single" w:sz="6" w:space="0" w:color="D9D9D9"/>
              <w:right w:val="nil"/>
            </w:tcBorders>
            <w:vAlign w:val="center"/>
            <w:shd w:fill="FFFFFF"/>
          </w:tcPr>
          <w:p w14:paraId="44D3C054"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None</w:t>
            </w:r>
          </w:p>
        </w:tc>
        <w:tc>
          <w:tcPr>
            <w:tcW w:w="5328" w:type="dxa"/>
            <w:tcBorders>
              <w:top w:val="single" w:sz="6" w:space="0" w:color="D9D9D9"/>
              <w:left w:val="nil"/>
              <w:bottom w:val="single" w:sz="6" w:space="0" w:color="D9D9D9"/>
              <w:right w:val="nil"/>
            </w:tcBorders>
            <w:vAlign w:val="center"/>
            <w:shd w:fill="FFFFFF"/>
          </w:tcPr>
          <w:p w14:paraId="0A8633A8"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Nonhierarchical</w:t>
            </w:r>
          </w:p>
        </w:tc>
        <w:tc>
          <w:tcPr>
            <w:tcW w:w="1142" w:type="dxa"/>
            <w:tcBorders>
              <w:top w:val="single" w:sz="6" w:space="0" w:color="D9D9D9"/>
              <w:left w:val="nil"/>
              <w:bottom w:val="single" w:sz="6" w:space="0" w:color="D9D9D9"/>
              <w:right w:val="nil"/>
            </w:tcBorders>
            <w:vAlign w:val="center"/>
            <w:shd w:fill="FFFFFF"/>
          </w:tcPr>
          <w:p w14:paraId="59785F0A"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0.412</w:t>
            </w:r>
          </w:p>
        </w:tc>
      </w:tr>
      <w:tr w:rsidR="00F55BFA" w14:paraId="49D674C2" w14:textId="77777777">
        <w:trPr>
          <w:jc w:val="center"/>
          <w:cantSplit/>
        </w:trPr>
        <w:tc>
          <w:tcPr>
            <w:tcW w:w="2880" w:type="dxa"/>
            <w:vAlign w:val="center"/>
            <w:shd w:fill="FFFFFF"/>
          </w:tcPr>
          <w:p w14:paraId="10B20E4D" w14:textId="77777777" w:rsidR="00F55BFA" w:rsidRDefault="00000000">
            <w:pPr>
              <w:keepNext w:val="0"/>
              <w:keepLines w:val="0"/>
              <w:widowControl/>
              <w:spacing w:after="0" w:line="480" w:lineRule="auto" w:before="0"/>
              <w:ind w:left="0" w:right="0" w:firstLine="0"/>
              <w:jc w:val="left"/>
            </w:pPr>
            <w:r>
              <w:rPr>
                <w:rFonts w:ascii="Times New Roman" w:eastAsia="Times New Roman" w:hAnsi="Times New Roman" w:cs="Times New Roman"/>
                <w:b w:val="0"/>
                <w:vanish w:val="0"/>
                <w:color w:val="000000"/>
                <w:sz w:val="19"/>
              </w:rPr>
              <w:t>Order-reversed control</w:t>
            </w:r>
          </w:p>
        </w:tc>
        <w:tc>
          <w:tcPr>
            <w:tcW w:w="3600" w:type="dxa"/>
            <w:vAlign w:val="center"/>
            <w:shd w:fill="FFFFFF"/>
          </w:tcPr>
          <w:p w14:paraId="19DB6A3B"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Within-patch BiLSTM after attention</w:t>
            </w:r>
          </w:p>
        </w:tc>
        <w:tc>
          <w:tcPr>
            <w:tcW w:w="2016" w:type="dxa"/>
            <w:vAlign w:val="center"/>
            <w:shd w:fill="FFFFFF"/>
          </w:tcPr>
          <w:p w14:paraId="11870D23"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Hourly-sequence attention</w:t>
            </w:r>
          </w:p>
        </w:tc>
        <w:tc>
          <w:tcPr>
            <w:tcW w:w="5328" w:type="dxa"/>
            <w:vAlign w:val="center"/>
            <w:shd w:fill="FFFFFF"/>
          </w:tcPr>
          <w:p w14:paraId="050FB7EF"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Hourly attention → patch recurrence</w:t>
            </w:r>
          </w:p>
        </w:tc>
        <w:tc>
          <w:tcPr>
            <w:tcW w:w="1142" w:type="dxa"/>
            <w:vAlign w:val="center"/>
            <w:shd w:fill="FFFFFF"/>
          </w:tcPr>
          <w:p w14:paraId="470FF27D"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0.518</w:t>
            </w:r>
          </w:p>
        </w:tc>
      </w:tr>
      <w:tr w:rsidR="00F55BFA" w14:paraId="76133FBD" w14:textId="77777777">
        <w:trPr>
          <w:jc w:val="center"/>
          <w:cantSplit/>
        </w:trPr>
        <w:tc>
          <w:tcPr>
            <w:tcW w:w="2880" w:type="dxa"/>
            <w:vAlign w:val="center"/>
            <w:shd w:fill="FFFFFF"/>
          </w:tcPr>
          <w:p w14:paraId="434A1E07" w14:textId="77777777" w:rsidR="00F55BFA" w:rsidRDefault="00000000">
            <w:pPr>
              <w:keepNext w:val="0"/>
              <w:keepLines w:val="0"/>
              <w:widowControl/>
              <w:spacing w:after="0" w:line="480" w:lineRule="auto" w:before="0"/>
              <w:ind w:left="0" w:right="0" w:firstLine="0"/>
              <w:jc w:val="left"/>
            </w:pPr>
            <w:r>
              <w:rPr>
                <w:rFonts w:ascii="Times New Roman" w:eastAsia="Times New Roman" w:hAnsi="Times New Roman" w:cs="Times New Roman"/>
                <w:b w:val="0"/>
                <w:vanish w:val="0"/>
                <w:color w:val="000000"/>
                <w:sz w:val="19"/>
              </w:rPr>
              <w:t>Hi-Patch common-input adaptation</w:t>
            </w:r>
          </w:p>
        </w:tc>
        <w:tc>
          <w:tcPr>
            <w:tcW w:w="3600" w:type="dxa"/>
            <w:vAlign w:val="center"/>
            <w:shd w:fill="FFFFFF"/>
          </w:tcPr>
          <w:p w14:paraId="0D6ECD6F"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Within-patch graph encoder</w:t>
            </w:r>
          </w:p>
        </w:tc>
        <w:tc>
          <w:tcPr>
            <w:tcW w:w="2016" w:type="dxa"/>
            <w:vAlign w:val="center"/>
            <w:shd w:fill="FFFFFF"/>
          </w:tcPr>
          <w:p w14:paraId="6ECBDB76"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Inter-patch graph</w:t>
            </w:r>
          </w:p>
        </w:tc>
        <w:tc>
          <w:tcPr>
            <w:tcW w:w="5328" w:type="dxa"/>
            <w:vAlign w:val="center"/>
            <w:shd w:fill="FFFFFF"/>
          </w:tcPr>
          <w:p w14:paraId="1DAF2A4A"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Patch graph → inter-patch graph</w:t>
            </w:r>
          </w:p>
        </w:tc>
        <w:tc>
          <w:tcPr>
            <w:tcW w:w="1142" w:type="dxa"/>
            <w:vAlign w:val="center"/>
            <w:shd w:fill="FFFFFF"/>
          </w:tcPr>
          <w:p w14:paraId="63F62C6D"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0.486</w:t>
            </w:r>
          </w:p>
        </w:tc>
      </w:tr>
      <w:tr w:rsidR="00F55BFA" w14:paraId="69C58768" w14:textId="77777777">
        <w:trPr>
          <w:jc w:val="center"/>
          <w:cantSplit/>
        </w:trPr>
        <w:tc>
          <w:tcPr>
            <w:tcW w:w="2880" w:type="dxa"/>
            <w:vAlign w:val="center"/>
            <w:shd w:fill="FFFFFF"/>
          </w:tcPr>
          <w:p w14:paraId="5B813650" w14:textId="77777777" w:rsidR="00F55BFA" w:rsidRDefault="00000000">
            <w:pPr>
              <w:keepNext w:val="0"/>
              <w:keepLines w:val="0"/>
              <w:widowControl/>
              <w:spacing w:after="0" w:line="480" w:lineRule="auto" w:before="0"/>
              <w:ind w:left="0" w:right="0" w:firstLine="0"/>
              <w:jc w:val="left"/>
            </w:pPr>
            <w:r>
              <w:rPr>
                <w:rFonts w:ascii="Times New Roman" w:eastAsia="Times New Roman" w:hAnsi="Times New Roman" w:cs="Times New Roman"/>
                <w:b w:val="0"/>
                <w:vanish w:val="0"/>
                <w:color w:val="000000"/>
                <w:sz w:val="19"/>
              </w:rPr>
              <w:t>LGTRL-DE common-input adaptation</w:t>
            </w:r>
          </w:p>
        </w:tc>
        <w:tc>
          <w:tcPr>
            <w:tcW w:w="3600" w:type="dxa"/>
            <w:vAlign w:val="center"/>
            <w:shd w:fill="FFFFFF"/>
          </w:tcPr>
          <w:p w14:paraId="070D7043"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Recurrent local encoder</w:t>
            </w:r>
          </w:p>
        </w:tc>
        <w:tc>
          <w:tcPr>
            <w:tcW w:w="2016" w:type="dxa"/>
            <w:vAlign w:val="center"/>
            <w:shd w:fill="FFFFFF"/>
          </w:tcPr>
          <w:p w14:paraId="29985B9C"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Temporal Transformer</w:t>
            </w:r>
          </w:p>
        </w:tc>
        <w:tc>
          <w:tcPr>
            <w:tcW w:w="5328" w:type="dxa"/>
            <w:vAlign w:val="center"/>
            <w:shd w:fill="FFFFFF"/>
          </w:tcPr>
          <w:p w14:paraId="54FF3C06"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Local → global</w:t>
            </w:r>
          </w:p>
        </w:tc>
        <w:tc>
          <w:tcPr>
            <w:tcW w:w="1142" w:type="dxa"/>
            <w:vAlign w:val="center"/>
            <w:shd w:fill="FFFFFF"/>
          </w:tcPr>
          <w:p w14:paraId="5EAE8F8A" w14:textId="77777777" w:rsidR="00F55BFA" w:rsidRDefault="00000000">
            <w:pPr>
              <w:keepNext w:val="0"/>
              <w:keepLines w:val="0"/>
              <w:widowControl/>
              <w:spacing w:after="0" w:line="480" w:lineRule="auto" w:before="0"/>
              <w:ind w:left="0" w:right="0" w:firstLine="0"/>
              <w:jc w:val="center"/>
            </w:pPr>
            <w:r>
              <w:rPr>
                <w:rFonts w:ascii="Times New Roman" w:eastAsia="Times New Roman" w:hAnsi="Times New Roman" w:cs="Times New Roman"/>
                <w:b w:val="0"/>
                <w:vanish w:val="0"/>
                <w:color w:val="000000"/>
                <w:sz w:val="19"/>
              </w:rPr>
              <w:t>0.489</w:t>
            </w:r>
          </w:p>
        </w:tc>
      </w:tr>
    </w:tbl>
    <w:p>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2"/>
        </w:rPr>
        <w:t>Primary-endpoint AUPRC values are reproduced from Tables S22 and S24. The representation descriptors specify the information supplied to the global stage. PatchFusion constructs each token from a separate, ordered multivariate patch sequence before global interaction. Hi-Patch and LGTRL-DE values refer to their common-hourly-input adaptations. The prespecified reversal contextualizes hourly tokens before patch recurrence; the three-token post hoc reversal is detailed in Table S24b. Capacity differs for several other configurations as documented in Supplementary Methods.</w:t>
      </w:r>
    </w:p>
    <w:p>
      <w:pPr>
        <w:pStyle w:val="2"/>
        <w:keepNext w:val="0"/>
        <w:keepLines w:val="0"/>
        <w:widowControl/>
        <w:spacing w:line="480" w:lineRule="auto" w:before="0" w:after="80"/>
        <w:ind w:left="0" w:right="0" w:firstLine="0"/>
      </w:pPr>
      <w:r>
        <w:rPr>
          <w:rFonts w:ascii="Times New Roman" w:hAnsi="Times New Roman" w:eastAsia="Times New Roman" w:cs="Times New Roman"/>
          <w:b/>
          <w:vanish w:val="0"/>
          <w:color w:val="000000"/>
          <w:sz w:val="24"/>
        </w:rPr>
        <w:t>Clinical score mapping and source-model specification</w:t>
      </w:r>
    </w:p>
    <w:p>
      <w:pPr>
        <w:keepNext w:val="0"/>
        <w:keepLines w:val="0"/>
        <w:widowControl/>
        <w:spacing w:line="480" w:lineRule="auto" w:before="0" w:after="80"/>
        <w:ind w:left="0" w:right="0" w:firstLine="0"/>
      </w:pPr>
      <w:r>
        <w:rPr>
          <w:rFonts w:ascii="Times New Roman" w:hAnsi="Times New Roman" w:eastAsia="Times New Roman" w:cs="Times New Roman"/>
          <w:vanish w:val="0"/>
          <w:color w:val="000000"/>
          <w:sz w:val="24"/>
        </w:rPr>
        <w:t>Deep learning comparators were LSTM, Transformer, and TBAL.[39] Extended comparators added PatchTST (patch-based Transformer;), GRU-D (gated recurrent units with decay;), Raindrop (graph-guided temporal attention;), and LightGBM (; gradient-boosted tabular model on flattened hourly values, temporal deltas, and mask indicators).[16, 40-42] All models used the same 22 MIMIC-IV base channels, matched temporal deltas, observation masks, first-12-hour window, and patient-level GroupKFold splits. Hyperparameters were tuned independently per model family with five random seeds; the final full-cohort PatchFusion checkpoint used seed 2 fixed before external evaluation; seeds 1–5 were summarized for robustness and were not used to select the transported checkpoint (Table S20). MIMIC-IV development results were locked before frozen eICU-CRD transport (Tables S22–S23 and S25). Bedside comparators were quick Sequential Organ Failure Assessment (qSOFA) and the Sequential Organ Failure Assessment 2 (SOFA-2) total score computed from the same first-12-hour window (Tables S4 and S12).[44, 45] SOFA-2 was published after the reported model lock and is included only as an additional retrospective comparator; it was not used to define the primary benchmark or the model-lock comparison. In Hallym, qSOFA altered mentation used a pre-specified Glasgow Coma Scale equivalence map when hour-level numeric GCS was unavailable (Table S9d). For Hallym SOFA-2 oxygenation, oxygen therapy without documented FiO₂ intensity used a severity-preserving FiO₂ fallback rather than room air (FiO₂=1.00 if advanced ventilatory support was documented, otherwise FiO₂=0.40; 17/1100 stays, 1.5%). Room-air FiO₂=0.21 was assigned only when no oxygen therapy was recorded (Table S9c). A sensitivity analysis treating those 17 stays as room air changed SOFA-2 AUROC/AUPRC by ≤0.004 (Supplementary Methods). Cardiovascular SOFA-2 used mapped local vasopressor fields that were not PatchFusion inputs. Missing mentation was scored as GCS-equivalent 15 (1/1100, 0.1%) (Tables S9c–S9d). Final LSTM, Transformer, and TBAL results are reported in Table 2 and Table S6; Tables S22–S23 are restricted to the newly added comparator families, with PatchFusion retained as the common reference.</w:t>
      </w:r>
    </w:p>
    <w:sectPr w:rsidR="00067B1F">
      <w:footerReference w:type="default" r:id="rId23"/>
      <w:pgSz w:w="16838" w:h="11906" w:orient="landscape"/>
      <w:pgMar w:top="936" w:right="936" w:bottom="936" w:left="936" w:header="360" w:footer="360" w:gutter="0"/>
      <w:cols w:space="720" w:num="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2D3D1" w14:textId="77777777" w:rsidR="00C2318A" w:rsidRDefault="00C2318A">
      <w:r>
        <w:separator/>
      </w:r>
    </w:p>
  </w:endnote>
  <w:endnote w:type="continuationSeparator" w:id="0">
    <w:p w14:paraId="24F2C35B" w14:textId="77777777" w:rsidR="00C2318A" w:rsidRDefault="00C23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Garamond">
    <w:altName w:val="Garamond"/>
    <w:panose1 w:val="02020404030301010803"/>
    <w:charset w:val="01"/>
    <w:family w:val="roman"/>
    <w:pitch w:val="variable"/>
    <w:sig w:usb0="00000287" w:usb1="00000002" w:usb2="00000000" w:usb3="00000000" w:csb0="0000009F" w:csb1="00000000"/>
  </w:font>
  <w:font w:name="Georgia">
    <w:altName w:val="Georgia"/>
    <w:panose1 w:val="02040502050405020303"/>
    <w:charset w:val="01"/>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1038F" w14:textId="77777777" w:rsidR="00C2318A" w:rsidRDefault="00C2318A">
      <w:r>
        <w:separator/>
      </w:r>
    </w:p>
  </w:footnote>
  <w:footnote w:type="continuationSeparator" w:id="0">
    <w:p w14:paraId="79047400" w14:textId="77777777" w:rsidR="00C2318A" w:rsidRDefault="00C2318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53FD3"/>
    <w:multiLevelType w:val="hybridMultilevel"/>
    <w:tmpl w:val="AC2A572A"/>
    <w:lvl w:ilvl="0" w:tplc="48460666">
      <w:numFmt w:val="bullet"/>
      <w:lvlText w:val="◦"/>
      <w:lvlJc w:val="left"/>
      <w:pPr>
        <w:ind w:left="214" w:hanging="95"/>
      </w:pPr>
      <w:rPr>
        <w:rFonts w:ascii="Arial" w:eastAsia="Arial" w:hAnsi="Arial" w:cs="Arial" w:hint="default"/>
        <w:b w:val="0"/>
        <w:bCs w:val="0"/>
        <w:i/>
        <w:iCs/>
        <w:spacing w:val="10"/>
        <w:w w:val="130"/>
        <w:sz w:val="14"/>
        <w:szCs w:val="14"/>
        <w:lang w:val="en-US" w:eastAsia="en-US" w:bidi="ar-SA"/>
      </w:rPr>
    </w:lvl>
    <w:lvl w:ilvl="1" w:tplc="E324A106">
      <w:numFmt w:val="bullet"/>
      <w:lvlText w:val="•"/>
      <w:lvlJc w:val="left"/>
      <w:pPr>
        <w:ind w:left="348" w:hanging="95"/>
      </w:pPr>
      <w:rPr>
        <w:rFonts w:hint="default"/>
        <w:lang w:val="en-US" w:eastAsia="en-US" w:bidi="ar-SA"/>
      </w:rPr>
    </w:lvl>
    <w:lvl w:ilvl="2" w:tplc="0470BB30">
      <w:numFmt w:val="bullet"/>
      <w:lvlText w:val="•"/>
      <w:lvlJc w:val="left"/>
      <w:pPr>
        <w:ind w:left="476" w:hanging="95"/>
      </w:pPr>
      <w:rPr>
        <w:rFonts w:hint="default"/>
        <w:lang w:val="en-US" w:eastAsia="en-US" w:bidi="ar-SA"/>
      </w:rPr>
    </w:lvl>
    <w:lvl w:ilvl="3" w:tplc="B5145B0E">
      <w:numFmt w:val="bullet"/>
      <w:lvlText w:val="•"/>
      <w:lvlJc w:val="left"/>
      <w:pPr>
        <w:ind w:left="604" w:hanging="95"/>
      </w:pPr>
      <w:rPr>
        <w:rFonts w:hint="default"/>
        <w:lang w:val="en-US" w:eastAsia="en-US" w:bidi="ar-SA"/>
      </w:rPr>
    </w:lvl>
    <w:lvl w:ilvl="4" w:tplc="A4A27C64">
      <w:numFmt w:val="bullet"/>
      <w:lvlText w:val="•"/>
      <w:lvlJc w:val="left"/>
      <w:pPr>
        <w:ind w:left="733" w:hanging="95"/>
      </w:pPr>
      <w:rPr>
        <w:rFonts w:hint="default"/>
        <w:lang w:val="en-US" w:eastAsia="en-US" w:bidi="ar-SA"/>
      </w:rPr>
    </w:lvl>
    <w:lvl w:ilvl="5" w:tplc="666A52C8">
      <w:numFmt w:val="bullet"/>
      <w:lvlText w:val="•"/>
      <w:lvlJc w:val="left"/>
      <w:pPr>
        <w:ind w:left="861" w:hanging="95"/>
      </w:pPr>
      <w:rPr>
        <w:rFonts w:hint="default"/>
        <w:lang w:val="en-US" w:eastAsia="en-US" w:bidi="ar-SA"/>
      </w:rPr>
    </w:lvl>
    <w:lvl w:ilvl="6" w:tplc="139E0296">
      <w:numFmt w:val="bullet"/>
      <w:lvlText w:val="•"/>
      <w:lvlJc w:val="left"/>
      <w:pPr>
        <w:ind w:left="989" w:hanging="95"/>
      </w:pPr>
      <w:rPr>
        <w:rFonts w:hint="default"/>
        <w:lang w:val="en-US" w:eastAsia="en-US" w:bidi="ar-SA"/>
      </w:rPr>
    </w:lvl>
    <w:lvl w:ilvl="7" w:tplc="9146B2CA">
      <w:numFmt w:val="bullet"/>
      <w:lvlText w:val="•"/>
      <w:lvlJc w:val="left"/>
      <w:pPr>
        <w:ind w:left="1118" w:hanging="95"/>
      </w:pPr>
      <w:rPr>
        <w:rFonts w:hint="default"/>
        <w:lang w:val="en-US" w:eastAsia="en-US" w:bidi="ar-SA"/>
      </w:rPr>
    </w:lvl>
    <w:lvl w:ilvl="8" w:tplc="8432D056">
      <w:numFmt w:val="bullet"/>
      <w:lvlText w:val="•"/>
      <w:lvlJc w:val="left"/>
      <w:pPr>
        <w:ind w:left="1246" w:hanging="95"/>
      </w:pPr>
      <w:rPr>
        <w:rFonts w:hint="default"/>
        <w:lang w:val="en-US" w:eastAsia="en-US" w:bidi="ar-SA"/>
      </w:rPr>
    </w:lvl>
  </w:abstractNum>
  <w:num w:numId="1" w16cid:durableId="752746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92AD1"/>
    <w:rsid w:val="00027E41"/>
    <w:rsid w:val="00047B1A"/>
    <w:rsid w:val="00067B1F"/>
    <w:rsid w:val="00092AD1"/>
    <w:rsid w:val="00092CDD"/>
    <w:rsid w:val="00176321"/>
    <w:rsid w:val="00221204"/>
    <w:rsid w:val="003B672E"/>
    <w:rsid w:val="003B7D41"/>
    <w:rsid w:val="004E1A6F"/>
    <w:rsid w:val="00527750"/>
    <w:rsid w:val="006303DE"/>
    <w:rsid w:val="006A230F"/>
    <w:rsid w:val="006E4139"/>
    <w:rsid w:val="007A7802"/>
    <w:rsid w:val="0081392D"/>
    <w:rsid w:val="00813AD3"/>
    <w:rsid w:val="00871EED"/>
    <w:rsid w:val="008E1DC3"/>
    <w:rsid w:val="009E76B8"/>
    <w:rsid w:val="00A729E3"/>
    <w:rsid w:val="00A82117"/>
    <w:rsid w:val="00B73802"/>
    <w:rsid w:val="00BF19CF"/>
    <w:rsid w:val="00C2318A"/>
    <w:rsid w:val="00DC4F1D"/>
    <w:rsid w:val="00E75991"/>
    <w:rsid w:val="00F516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48369C"/>
  <w15:docId w15:val="{03F1CAD3-2E7A-F34A-A1A8-B9FAC3D47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pageBreakBefore w:val="0"/>
      <w:spacing w:after="80" w:line="480" w:lineRule="auto" w:before="0"/>
    </w:pPr>
    <w:rPr>
      <w:rFonts w:ascii="Times New Roman" w:eastAsia="Garamond" w:hAnsi="Times New Roman" w:cs="Garamond"/>
      <w:color w:val="000000"/>
      <w:sz w:val="24"/>
    </w:rPr>
  </w:style>
  <w:style w:type="paragraph" w:styleId="1">
    <w:name w:val="heading 1"/>
    <w:basedOn w:val="a"/>
    <w:uiPriority w:val="9"/>
    <w:qFormat/>
    <w:pPr>
      <w:keepNext/>
      <w:pageBreakBefore w:val="0"/>
      <w:spacing w:before="0" w:line="480" w:lineRule="auto" w:after="80"/>
      <w:outlineLvl w:val="0"/>
    </w:pPr>
    <w:rPr>
      <w:rFonts w:eastAsia="Georgia" w:cs="Georgia" w:ascii="Times New Roman" w:hAnsi="Times New Roman"/>
      <w:b/>
      <w:bCs/>
      <w:color w:val="000000"/>
      <w:sz w:val="24"/>
      <w:szCs w:val="28"/>
    </w:rPr>
  </w:style>
  <w:style w:type="paragraph" w:styleId="2">
    <w:name w:val="heading 2"/>
    <w:basedOn w:val="a"/>
    <w:next w:val="a"/>
    <w:link w:val="2Char"/>
    <w:uiPriority w:val="9"/>
    <w:semiHidden/>
    <w:unhideWhenUsed/>
    <w:qFormat/>
    <w:rsid w:val="00176321"/>
    <w:pPr>
      <w:keepNext/>
      <w:pageBreakBefore w:val="0"/>
      <w:spacing w:line="480" w:lineRule="auto" w:after="80" w:before="0"/>
      <w:outlineLvl w:val="1"/>
    </w:pPr>
    <w:rPr>
      <w:rFonts w:asciiTheme="majorHAnsi" w:eastAsiaTheme="majorEastAsia" w:hAnsiTheme="majorHAnsi" w:cstheme="majorBidi" w:ascii="Times New Roman" w:hAnsi="Times New Roman"/>
      <w:b/>
      <w:color w:val="000000"/>
      <w:sz w:val="24"/>
    </w:rPr>
  </w:style>
  <w:style w:type="paragraph" w:styleId="3">
    <w:name w:val="heading 3"/>
    <w:basedOn w:val="a"/>
    <w:next w:val="a"/>
    <w:link w:val="3Char"/>
    <w:uiPriority w:val="9"/>
    <w:unhideWhenUsed/>
    <w:qFormat/>
    <w:rsid w:val="00221204"/>
    <w:pPr>
      <w:keepNext/>
      <w:pageBreakBefore w:val="0"/>
      <w:spacing w:line="480" w:lineRule="auto" w:after="80" w:before="0"/>
      <w:ind w:leftChars="300" w:left="300" w:hangingChars="200" w:hanging="2000"/>
      <w:outlineLvl w:val="2"/>
    </w:pPr>
    <w:rPr>
      <w:rFonts w:asciiTheme="majorHAnsi" w:eastAsiaTheme="majorEastAsia" w:hAnsiTheme="majorHAnsi" w:cstheme="majorBidi" w:ascii="Times New Roman" w:hAnsi="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pageBreakBefore w:val="0"/>
      <w:spacing w:line="480" w:lineRule="auto" w:after="80" w:before="0"/>
    </w:pPr>
    <w:rPr>
      <w:rFonts w:ascii="Times New Roman" w:hAnsi="Times New Roman"/>
      <w:color w:val="000000"/>
      <w:sz w:val="24"/>
      <w:szCs w:val="24"/>
    </w:rPr>
  </w:style>
  <w:style w:type="paragraph" w:styleId="a4">
    <w:name w:val="List Paragraph"/>
    <w:basedOn w:val="a"/>
    <w:uiPriority w:val="1"/>
    <w:qFormat/>
  </w:style>
  <w:style w:type="paragraph" w:customStyle="1" w:styleId="TableParagraph">
    <w:name w:val="Table Paragraph"/>
    <w:basedOn w:val="a"/>
    <w:uiPriority w:val="1"/>
    <w:qFormat/>
    <w:pPr>
      <w:ind w:left="119"/>
    </w:pPr>
  </w:style>
  <w:style w:type="paragraph" w:styleId="a5">
    <w:name w:val="header"/>
    <w:basedOn w:val="a"/>
    <w:link w:val="Char"/>
    <w:uiPriority w:val="99"/>
    <w:unhideWhenUsed/>
    <w:rsid w:val="00A729E3"/>
    <w:pPr>
      <w:tabs>
        <w:tab w:val="center" w:pos="4513"/>
        <w:tab w:val="right" w:pos="9026"/>
      </w:tabs>
      <w:snapToGrid w:val="0"/>
    </w:pPr>
  </w:style>
  <w:style w:type="character" w:customStyle="1" w:styleId="Char">
    <w:name w:val="머리글 Char"/>
    <w:basedOn w:val="a0"/>
    <w:link w:val="a5"/>
    <w:uiPriority w:val="99"/>
    <w:rsid w:val="00A729E3"/>
    <w:rPr>
      <w:rFonts w:ascii="Garamond" w:eastAsia="Garamond" w:hAnsi="Garamond" w:cs="Garamond"/>
    </w:rPr>
  </w:style>
  <w:style w:type="paragraph" w:styleId="a6">
    <w:name w:val="footer"/>
    <w:basedOn w:val="a"/>
    <w:link w:val="Char0"/>
    <w:uiPriority w:val="99"/>
    <w:unhideWhenUsed/>
    <w:rsid w:val="00A729E3"/>
    <w:pPr>
      <w:tabs>
        <w:tab w:val="center" w:pos="4513"/>
        <w:tab w:val="right" w:pos="9026"/>
      </w:tabs>
      <w:snapToGrid w:val="0"/>
    </w:pPr>
  </w:style>
  <w:style w:type="character" w:customStyle="1" w:styleId="Char0">
    <w:name w:val="바닥글 Char"/>
    <w:basedOn w:val="a0"/>
    <w:link w:val="a6"/>
    <w:uiPriority w:val="99"/>
    <w:rsid w:val="00A729E3"/>
    <w:rPr>
      <w:rFonts w:ascii="Garamond" w:eastAsia="Garamond" w:hAnsi="Garamond" w:cs="Garamond"/>
    </w:rPr>
  </w:style>
  <w:style w:type="character" w:customStyle="1" w:styleId="3Char">
    <w:name w:val="제목 3 Char"/>
    <w:basedOn w:val="a0"/>
    <w:link w:val="3"/>
    <w:uiPriority w:val="9"/>
    <w:rsid w:val="00221204"/>
    <w:rPr>
      <w:rFonts w:asciiTheme="majorHAnsi" w:eastAsiaTheme="majorEastAsia" w:hAnsiTheme="majorHAnsi" w:cstheme="majorBidi"/>
    </w:rPr>
  </w:style>
  <w:style w:type="character" w:customStyle="1" w:styleId="2Char">
    <w:name w:val="제목 2 Char"/>
    <w:basedOn w:val="a0"/>
    <w:link w:val="2"/>
    <w:uiPriority w:val="9"/>
    <w:semiHidden/>
    <w:rsid w:val="00176321"/>
    <w:rPr>
      <w:rFonts w:asciiTheme="majorHAnsi" w:eastAsiaTheme="majorEastAsia" w:hAnsiTheme="majorHAnsi" w:cstheme="majorBidi"/>
    </w:rPr>
  </w:style>
  <w:style w:type="table" w:styleId="a7">
    <w:name w:val="Table Grid"/>
    <w:basedOn w:val="a1"/>
    <w:uiPriority w:val="39"/>
    <w:rsid w:val="001763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
    <w:name w:val="Title"/>
    <w:basedOn w:val="a"/>
    <w:pPr>
      <w:pageBreakBefore w:val="0"/>
      <w:spacing w:line="480" w:lineRule="auto" w:after="80" w:before="0"/>
    </w:pPr>
    <w:rPr>
      <w:rFonts w:ascii="Times New Roman" w:hAnsi="Times New Roman"/>
      <w:b/>
      <w:color w:val="000000"/>
      <w:sz w:val="28"/>
    </w:rPr>
  </w:style>
  <w:style w:type="paragraph" w:customStyle="1" w:styleId="Caption">
    <w:name w:val="caption"/>
    <w:pPr>
      <w:pageBreakBefore w:val="0"/>
      <w:spacing w:line="480" w:lineRule="auto" w:after="80" w:before="0"/>
    </w:pPr>
    <w:rPr>
      <w:rFonts w:ascii="Times New Roman" w:hAnsi="Times New Roman"/>
      <w:color w:val="000000"/>
      <w:sz w:val="24"/>
    </w:rPr>
  </w:style>
  <w:style w:type="paragraph" w:customStyle="1" w:styleId="Subtitle">
    <w:name w:val="Subtitle"/>
    <w:pPr>
      <w:pageBreakBefore w:val="0"/>
      <w:spacing w:line="480" w:lineRule="auto" w:after="80" w:before="0"/>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1146">
      <w:bodyDiv w:val="1"/>
      <w:marLeft w:val="0"/>
      <w:marRight w:val="0"/>
      <w:marTop w:val="0"/>
      <w:marBottom w:val="0"/>
      <w:divBdr>
        <w:top w:val="none" w:sz="0" w:space="0" w:color="auto"/>
        <w:left w:val="none" w:sz="0" w:space="0" w:color="auto"/>
        <w:bottom w:val="none" w:sz="0" w:space="0" w:color="auto"/>
        <w:right w:val="none" w:sz="0" w:space="0" w:color="auto"/>
      </w:divBdr>
    </w:div>
    <w:div w:id="334918186">
      <w:bodyDiv w:val="1"/>
      <w:marLeft w:val="0"/>
      <w:marRight w:val="0"/>
      <w:marTop w:val="0"/>
      <w:marBottom w:val="0"/>
      <w:divBdr>
        <w:top w:val="none" w:sz="0" w:space="0" w:color="auto"/>
        <w:left w:val="none" w:sz="0" w:space="0" w:color="auto"/>
        <w:bottom w:val="none" w:sz="0" w:space="0" w:color="auto"/>
        <w:right w:val="none" w:sz="0" w:space="0" w:color="auto"/>
      </w:divBdr>
    </w:div>
    <w:div w:id="372390905">
      <w:bodyDiv w:val="1"/>
      <w:marLeft w:val="0"/>
      <w:marRight w:val="0"/>
      <w:marTop w:val="0"/>
      <w:marBottom w:val="0"/>
      <w:divBdr>
        <w:top w:val="none" w:sz="0" w:space="0" w:color="auto"/>
        <w:left w:val="none" w:sz="0" w:space="0" w:color="auto"/>
        <w:bottom w:val="none" w:sz="0" w:space="0" w:color="auto"/>
        <w:right w:val="none" w:sz="0" w:space="0" w:color="auto"/>
      </w:divBdr>
    </w:div>
    <w:div w:id="929890961">
      <w:bodyDiv w:val="1"/>
      <w:marLeft w:val="0"/>
      <w:marRight w:val="0"/>
      <w:marTop w:val="0"/>
      <w:marBottom w:val="0"/>
      <w:divBdr>
        <w:top w:val="none" w:sz="0" w:space="0" w:color="auto"/>
        <w:left w:val="none" w:sz="0" w:space="0" w:color="auto"/>
        <w:bottom w:val="none" w:sz="0" w:space="0" w:color="auto"/>
        <w:right w:val="none" w:sz="0" w:space="0" w:color="auto"/>
      </w:divBdr>
      <w:divsChild>
        <w:div w:id="1696662064">
          <w:marLeft w:val="0"/>
          <w:marRight w:val="0"/>
          <w:marTop w:val="0"/>
          <w:marBottom w:val="0"/>
          <w:divBdr>
            <w:top w:val="none" w:sz="0" w:space="0" w:color="auto"/>
            <w:left w:val="none" w:sz="0" w:space="0" w:color="auto"/>
            <w:bottom w:val="none" w:sz="0" w:space="0" w:color="auto"/>
            <w:right w:val="none" w:sz="0" w:space="0" w:color="auto"/>
          </w:divBdr>
        </w:div>
        <w:div w:id="91321801">
          <w:marLeft w:val="0"/>
          <w:marRight w:val="0"/>
          <w:marTop w:val="0"/>
          <w:marBottom w:val="0"/>
          <w:divBdr>
            <w:top w:val="none" w:sz="0" w:space="0" w:color="auto"/>
            <w:left w:val="none" w:sz="0" w:space="0" w:color="auto"/>
            <w:bottom w:val="none" w:sz="0" w:space="0" w:color="auto"/>
            <w:right w:val="none" w:sz="0" w:space="0" w:color="auto"/>
          </w:divBdr>
        </w:div>
        <w:div w:id="1218860519">
          <w:marLeft w:val="0"/>
          <w:marRight w:val="0"/>
          <w:marTop w:val="0"/>
          <w:marBottom w:val="0"/>
          <w:divBdr>
            <w:top w:val="none" w:sz="0" w:space="0" w:color="auto"/>
            <w:left w:val="none" w:sz="0" w:space="0" w:color="auto"/>
            <w:bottom w:val="none" w:sz="0" w:space="0" w:color="auto"/>
            <w:right w:val="none" w:sz="0" w:space="0" w:color="auto"/>
          </w:divBdr>
        </w:div>
        <w:div w:id="660619547">
          <w:marLeft w:val="0"/>
          <w:marRight w:val="0"/>
          <w:marTop w:val="0"/>
          <w:marBottom w:val="0"/>
          <w:divBdr>
            <w:top w:val="none" w:sz="0" w:space="0" w:color="auto"/>
            <w:left w:val="none" w:sz="0" w:space="0" w:color="auto"/>
            <w:bottom w:val="none" w:sz="0" w:space="0" w:color="auto"/>
            <w:right w:val="none" w:sz="0" w:space="0" w:color="auto"/>
          </w:divBdr>
        </w:div>
        <w:div w:id="838622151">
          <w:marLeft w:val="0"/>
          <w:marRight w:val="0"/>
          <w:marTop w:val="0"/>
          <w:marBottom w:val="0"/>
          <w:divBdr>
            <w:top w:val="none" w:sz="0" w:space="0" w:color="auto"/>
            <w:left w:val="none" w:sz="0" w:space="0" w:color="auto"/>
            <w:bottom w:val="none" w:sz="0" w:space="0" w:color="auto"/>
            <w:right w:val="none" w:sz="0" w:space="0" w:color="auto"/>
          </w:divBdr>
        </w:div>
        <w:div w:id="2069842159">
          <w:marLeft w:val="0"/>
          <w:marRight w:val="0"/>
          <w:marTop w:val="0"/>
          <w:marBottom w:val="0"/>
          <w:divBdr>
            <w:top w:val="none" w:sz="0" w:space="0" w:color="auto"/>
            <w:left w:val="none" w:sz="0" w:space="0" w:color="auto"/>
            <w:bottom w:val="none" w:sz="0" w:space="0" w:color="auto"/>
            <w:right w:val="none" w:sz="0" w:space="0" w:color="auto"/>
          </w:divBdr>
        </w:div>
        <w:div w:id="671027868">
          <w:marLeft w:val="0"/>
          <w:marRight w:val="0"/>
          <w:marTop w:val="0"/>
          <w:marBottom w:val="0"/>
          <w:divBdr>
            <w:top w:val="none" w:sz="0" w:space="0" w:color="auto"/>
            <w:left w:val="none" w:sz="0" w:space="0" w:color="auto"/>
            <w:bottom w:val="none" w:sz="0" w:space="0" w:color="auto"/>
            <w:right w:val="none" w:sz="0" w:space="0" w:color="auto"/>
          </w:divBdr>
        </w:div>
        <w:div w:id="2098474283">
          <w:marLeft w:val="0"/>
          <w:marRight w:val="0"/>
          <w:marTop w:val="0"/>
          <w:marBottom w:val="0"/>
          <w:divBdr>
            <w:top w:val="none" w:sz="0" w:space="0" w:color="auto"/>
            <w:left w:val="none" w:sz="0" w:space="0" w:color="auto"/>
            <w:bottom w:val="none" w:sz="0" w:space="0" w:color="auto"/>
            <w:right w:val="none" w:sz="0" w:space="0" w:color="auto"/>
          </w:divBdr>
        </w:div>
        <w:div w:id="1614022145">
          <w:marLeft w:val="0"/>
          <w:marRight w:val="0"/>
          <w:marTop w:val="0"/>
          <w:marBottom w:val="0"/>
          <w:divBdr>
            <w:top w:val="none" w:sz="0" w:space="0" w:color="auto"/>
            <w:left w:val="none" w:sz="0" w:space="0" w:color="auto"/>
            <w:bottom w:val="none" w:sz="0" w:space="0" w:color="auto"/>
            <w:right w:val="none" w:sz="0" w:space="0" w:color="auto"/>
          </w:divBdr>
        </w:div>
        <w:div w:id="1466389817">
          <w:marLeft w:val="0"/>
          <w:marRight w:val="0"/>
          <w:marTop w:val="0"/>
          <w:marBottom w:val="0"/>
          <w:divBdr>
            <w:top w:val="none" w:sz="0" w:space="0" w:color="auto"/>
            <w:left w:val="none" w:sz="0" w:space="0" w:color="auto"/>
            <w:bottom w:val="none" w:sz="0" w:space="0" w:color="auto"/>
            <w:right w:val="none" w:sz="0" w:space="0" w:color="auto"/>
          </w:divBdr>
        </w:div>
        <w:div w:id="214780249">
          <w:marLeft w:val="0"/>
          <w:marRight w:val="0"/>
          <w:marTop w:val="0"/>
          <w:marBottom w:val="0"/>
          <w:divBdr>
            <w:top w:val="none" w:sz="0" w:space="0" w:color="auto"/>
            <w:left w:val="none" w:sz="0" w:space="0" w:color="auto"/>
            <w:bottom w:val="none" w:sz="0" w:space="0" w:color="auto"/>
            <w:right w:val="none" w:sz="0" w:space="0" w:color="auto"/>
          </w:divBdr>
        </w:div>
        <w:div w:id="2041585983">
          <w:marLeft w:val="0"/>
          <w:marRight w:val="0"/>
          <w:marTop w:val="0"/>
          <w:marBottom w:val="0"/>
          <w:divBdr>
            <w:top w:val="none" w:sz="0" w:space="0" w:color="auto"/>
            <w:left w:val="none" w:sz="0" w:space="0" w:color="auto"/>
            <w:bottom w:val="none" w:sz="0" w:space="0" w:color="auto"/>
            <w:right w:val="none" w:sz="0" w:space="0" w:color="auto"/>
          </w:divBdr>
        </w:div>
      </w:divsChild>
    </w:div>
    <w:div w:id="931670441">
      <w:bodyDiv w:val="1"/>
      <w:marLeft w:val="0"/>
      <w:marRight w:val="0"/>
      <w:marTop w:val="0"/>
      <w:marBottom w:val="0"/>
      <w:divBdr>
        <w:top w:val="none" w:sz="0" w:space="0" w:color="auto"/>
        <w:left w:val="none" w:sz="0" w:space="0" w:color="auto"/>
        <w:bottom w:val="none" w:sz="0" w:space="0" w:color="auto"/>
        <w:right w:val="none" w:sz="0" w:space="0" w:color="auto"/>
      </w:divBdr>
    </w:div>
    <w:div w:id="1134132008">
      <w:bodyDiv w:val="1"/>
      <w:marLeft w:val="0"/>
      <w:marRight w:val="0"/>
      <w:marTop w:val="0"/>
      <w:marBottom w:val="0"/>
      <w:divBdr>
        <w:top w:val="none" w:sz="0" w:space="0" w:color="auto"/>
        <w:left w:val="none" w:sz="0" w:space="0" w:color="auto"/>
        <w:bottom w:val="none" w:sz="0" w:space="0" w:color="auto"/>
        <w:right w:val="none" w:sz="0" w:space="0" w:color="auto"/>
      </w:divBdr>
    </w:div>
    <w:div w:id="1819181050">
      <w:bodyDiv w:val="1"/>
      <w:marLeft w:val="0"/>
      <w:marRight w:val="0"/>
      <w:marTop w:val="0"/>
      <w:marBottom w:val="0"/>
      <w:divBdr>
        <w:top w:val="none" w:sz="0" w:space="0" w:color="auto"/>
        <w:left w:val="none" w:sz="0" w:space="0" w:color="auto"/>
        <w:bottom w:val="none" w:sz="0" w:space="0" w:color="auto"/>
        <w:right w:val="none" w:sz="0" w:space="0" w:color="auto"/>
      </w:divBdr>
    </w:div>
    <w:div w:id="1936396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image" Target="media/image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footer" Target="footer11.xml"/><Relationship Id="rId10" Type="http://schemas.openxmlformats.org/officeDocument/2006/relationships/footer" Target="footer4.xml"/><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image" Target="media/image6.png"/><Relationship Id="rId27" Type="http://schemas.openxmlformats.org/officeDocument/2006/relationships/image" Target="media/image7.png"/><Relationship Id="rId2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47</Pages>
  <Words>16341</Words>
  <Characters>93150</Characters>
  <Application>Microsoft Office Word</Application>
  <DocSecurity>0</DocSecurity>
  <Lines>776</Lines>
  <Paragraphs>218</Paragraphs>
  <ScaleCrop>false</ScaleCrop>
  <Company/>
  <LinksUpToDate>false</LinksUpToDate>
  <CharactersWithSpaces>109273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김재홍</cp:lastModifiedBy>
  <cp:revision>12</cp:revision>
  <dcterms:created xsi:type="dcterms:W3CDTF">2026-04-27T06:41:00Z</dcterms:created>
  <dcterms:modified xsi:type="dcterms:W3CDTF">2026-09-22T07:52:00Z</dcterms:modified>
  <dc:title>Capturing Temporal Patterns for ICU Mortality Prediction with Recurrent Patch Representation and External Evaluation</dc:title>
  <dc:creator>Jaehong Kim; Seohyeon Yoo; Jaehyuk Cho</dc:creator>
  <dc:subject>JAMIA Research and Applications submission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TeX</vt:lpwstr>
  </property>
  <property fmtid="{D5CDD505-2E9C-101B-9397-08002B2CF9AE}" pid="4" name="LastSaved">
    <vt:filetime>2026-04-27T00:00:00Z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