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외생변수와 내생변수 구분 방법</w:t>
      </w:r>
    </w:p>
    <w:p>
      <w:pPr>
        <w:pStyle w:val="Heading2"/>
      </w:pPr>
      <w:r>
        <w:t>1. 외생변수와 내생변수의 정의</w:t>
      </w:r>
    </w:p>
    <w:p>
      <w:r>
        <w:t>외생변수 (Exogenous Variable):</w:t>
      </w:r>
    </w:p>
    <w:p>
      <w:r>
        <w:t>정의: 외생변수는 모델 내부에서 설명되지 않고, 모델 외부에서 주어진 변수입니다. 이 변수는 종속변수에 영향을 미치지만, 독립변수로서 모델 안에서 다른 변수로부터 영향을 받지 않습니다.</w:t>
      </w:r>
    </w:p>
    <w:p>
      <w:r>
        <w:t>특징: 외생변수는 모델 외부의 요인에 의해 결정되며, 다른 변수에 영향을 미칠 수 있습니다. 예를 들어, 정부 정책, 기후 변화 등이 있습니다.</w:t>
      </w:r>
    </w:p>
    <w:p>
      <w:r>
        <w:t>내생변수 (Endogenous Variable):</w:t>
      </w:r>
    </w:p>
    <w:p>
      <w:r>
        <w:t>정의: 내생변수는 모델 내부에서 설명되는 변수로, 모델 안의 다른 변수에 의해 영향을 받는 변수입니다. 즉, 독립변수와 종속변수 간에 상호 의존적인 관계를 가집니다.</w:t>
      </w:r>
    </w:p>
    <w:p>
      <w:r>
        <w:t>특징: 내생변수는 종종 모델 내의 여러 변수들과 동시에 결정되며, 그 관계가 복잡합니다. 예를 들어, 소득과 소비 간의 관계가 있습니다.</w:t>
      </w:r>
    </w:p>
    <w:p>
      <w:pPr>
        <w:pStyle w:val="Heading2"/>
      </w:pPr>
      <w:r>
        <w:t>2. 이론적 구분 방법</w:t>
      </w:r>
    </w:p>
    <w:p>
      <w:r>
        <w:t>1) 인과관계의 방향성</w:t>
      </w:r>
    </w:p>
    <w:p>
      <w:r>
        <w:t>외생변수는 종속변수에 영향을 미치지만, 종속변수로부터 영향을 받지 않습니다. 즉, 인과관계의 방향이 단방향적입니다.</w:t>
      </w:r>
    </w:p>
    <w:p>
      <w:r>
        <w:t>내생변수는 종속변수에 영향을 미치면서, 동시에 종속변수로부터 영향을 받을 수 있습니다. 이는 인과관계가 양방향으로 흐를 수 있음을 의미합니다.</w:t>
      </w:r>
    </w:p>
    <w:p>
      <w:r>
        <w:t>2) 변수의 결정 요인</w:t>
      </w:r>
    </w:p>
    <w:p>
      <w:r>
        <w:t>외생변수는 모델 외부 요인에 의해 결정되며, 다른 변수들로부터 영향을 받지 않습니다. 이는 모델 내에서 주어진 상수처럼 취급됩니다.</w:t>
      </w:r>
    </w:p>
    <w:p>
      <w:r>
        <w:t>내생변수는 모델 내부에서 다른 변수들에 의해 결정되며, 상호작용의 결과로 나타납니다.</w:t>
      </w:r>
    </w:p>
    <w:p>
      <w:pPr>
        <w:pStyle w:val="Heading2"/>
      </w:pPr>
      <w:r>
        <w:t>3. 수식적 구분 방법</w:t>
      </w:r>
    </w:p>
    <w:p>
      <w:r>
        <w:t>1) 외생변수의 수식적 표현:</w:t>
      </w:r>
    </w:p>
    <w:p>
      <w:r>
        <w:t>모델에서 외생변수는 다음과 같이 나타낼 수 있습니다:</w:t>
      </w:r>
    </w:p>
    <w:p>
      <w:r>
        <w:t>Y = β0 + β1X + ε</w:t>
      </w:r>
    </w:p>
    <w:p>
      <w:r>
        <w:t>여기서 X는 외생변수로, 오차항 ε와 상관관계가 없습니다.</w:t>
      </w:r>
    </w:p>
    <w:p>
      <w:r>
        <w:t>2) 내생변수의 수식적 표현:</w:t>
      </w:r>
    </w:p>
    <w:p>
      <w:r>
        <w:t>내생변수의 경우, 다음과 같이 표현됩니다:</w:t>
      </w:r>
    </w:p>
    <w:p>
      <w:r>
        <w:t>Y = β0 + β1X + ε</w:t>
      </w:r>
    </w:p>
    <w:p>
      <w:r>
        <w:t>X = γ0 + γ1Y + ν</w:t>
      </w:r>
    </w:p>
    <w:p>
      <w:r>
        <w:t>여기서 X는 내생변수이며, 오차항 ε와 상관관계를 가질 수 있습니다. 이때, ε와 ν가 상관관계를 가지면 내생성 문제를 야기합니다.</w:t>
      </w:r>
    </w:p>
    <w:p>
      <w:pPr>
        <w:pStyle w:val="Heading2"/>
      </w:pPr>
      <w:r>
        <w:t>4. 사례를 통한 구분</w:t>
      </w:r>
    </w:p>
    <w:p>
      <w:r>
        <w:t>1) 경제학 사례:</w:t>
      </w:r>
    </w:p>
    <w:p>
      <w:pPr>
        <w:pStyle w:val="ListBullet"/>
      </w:pPr>
      <w:r>
        <w:t>외생변수: 예를 들어, 중앙은행의 금리 정책은 외생변수로 간주될 수 있습니다. 금리 정책은 경제 활동에 영향을 미치지만, 반대로 경제 활동이 중앙은행의 금리 정책을 직접적으로 결정하지는 않습니다.</w:t>
      </w:r>
    </w:p>
    <w:p>
      <w:pPr>
        <w:pStyle w:val="ListBullet"/>
      </w:pPr>
      <w:r>
        <w:t>내생변수: 소득과 소비의 관계에서, 소득은 내생변수일 수 있습니다. 이는 소득이 소비에 영향을 주는 동시에, 소비도 경제적 피드백을 통해 소득에 영향을 미칠 수 있기 때문입니다.</w:t>
      </w:r>
    </w:p>
    <w:p>
      <w:r>
        <w:t>2) 사회과학 사례:</w:t>
      </w:r>
    </w:p>
    <w:p>
      <w:pPr>
        <w:pStyle w:val="ListBullet"/>
      </w:pPr>
      <w:r>
        <w:t>외생변수: 자연 재해는 외생변수로 간주됩니다. 이는 특정 사회의 경제 활동에 영향을 미치지만, 사회의 경제 활동이 자연 재해를 직접적으로 초래하지는 않습니다.</w:t>
      </w:r>
    </w:p>
    <w:p>
      <w:pPr>
        <w:pStyle w:val="ListBullet"/>
      </w:pPr>
      <w:r>
        <w:t>내생변수: 범죄율과 경찰 배치 간의 관계에서, 경찰 배치는 내생변수일 수 있습니다. 이는 범죄율이 경찰 배치에 영향을 미치는 동시에, 경찰 배치가 범죄율에도 영향을 미칠 수 있기 때문입니다.</w:t>
      </w:r>
    </w:p>
    <w:p>
      <w:pPr>
        <w:pStyle w:val="Heading2"/>
      </w:pPr>
      <w:r>
        <w:t>5. 외생변수와 내생변수 구분의 중요성</w:t>
      </w:r>
    </w:p>
    <w:p>
      <w:r>
        <w:t>모델의 정확성: 외생변수와 내생변수를 정확히 구분하지 않으면, 모델의 예측력과 설명력이 크게 저하됩니다. 이는 회귀 분석의 결과를 왜곡시키고, 잘못된 정책적 결정을 초래할 수 있습니다.</w:t>
      </w:r>
    </w:p>
    <w:p>
      <w:r>
        <w:t>내생성 문제 해결: 내생변수가 존재할 경우, 이를 외생변수로 처리하면 내생성 문제가 발생할 수 있습니다. 이는 편향된 추정치를 만들어 내며, 연구 결과의 신뢰성을 떨어뜨립니다.</w:t>
      </w:r>
    </w:p>
    <w:p>
      <w:pPr>
        <w:pStyle w:val="Heading2"/>
      </w:pPr>
      <w:r>
        <w:t>6. 내생성 문제의 해결</w:t>
      </w:r>
    </w:p>
    <w:p>
      <w:r>
        <w:t>도구변수법 (Instrumental Variables Method): 내생변수를 외생변수로 대체하여 회귀 분석을 수행합니다. 도구변수는 내생변수와 관련이 있지만 종속변수와 직접적 관련이 없는 변수를 사용합니다.</w:t>
      </w:r>
    </w:p>
    <w:p>
      <w:r>
        <w:t>패널 데이터 모델 (Panel Data Model): 시간에 따른 개체의 특성을 통제하여 내생성을 해결합니다.</w:t>
      </w:r>
    </w:p>
    <w:p>
      <w:r>
        <w:t>무작위 대조 시험 (Randomized Controlled Trials, RCT): 실험적 접근을 통해 내생성 문제를 원천적으로 해결할 수 있습니다.</w:t>
      </w:r>
    </w:p>
    <w:p>
      <w:pPr>
        <w:pStyle w:val="Heading2"/>
      </w:pPr>
      <w:r>
        <w:t>7. 결론</w:t>
      </w:r>
    </w:p>
    <w:p>
      <w:r>
        <w:t>외생변수와 내생변수의 구분은 모델링과 분석에서 매우 중요합니다. 이 둘을 정확하게 구분하고, 내생성 문제를 적절히 해결함으로써 보다 정확하고 신뢰할 수 있는 연구 결과를 얻을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