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/>
      <w:r>
        <w:rPr>
          <w:rFonts w:ascii="GulimChe" w:hAnsi="GulimChe" w:cs="GulimChe" w:eastAsia="GulimChe"/>
          <w:color w:val="000000"/>
          <w:sz w:val="24"/>
        </w:rPr>
        <w:t>ONEWAY 사용의도 BY age</w:t>
        <w:cr/>
        <w:t xml:space="preserve">  /ES=OVERALL</w:t>
        <w:cr/>
        <w:t xml:space="preserve">  /STATISTICS DESCRIPTIVES HOMOGENEITY WELCH</w:t>
        <w:cr/>
        <w:t xml:space="preserve">  /MISSING ANALYSIS</w:t>
        <w:cr/>
        <w:t xml:space="preserve">  /CRITERIA=CILEVEL(0.95)</w:t>
        <w:cr/>
        <w:t xml:space="preserve">  /POSTHOC=TUKEY BTUKEY SCHEFFE BONFERRONI ALPHA(0.05).</w:t>
        <w:cr/>
      </w:r>
    </w:p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일원배치 분산분석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482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07-AUG-2024 08:32:52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사용자 정의 결측값이 결측으로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각 분석에 대한 통계량은 분석상의 변수에 대해 결측 데이터가 없는 케이스를 기준으로 결정됩니다.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ONEWAY 사용의도 BY age</w:t>
              <w:br/>
              <w:t>/ES=OVERALL</w:t>
              <w:br/>
              <w:t>/STATISTICS DESCRIPTIVES HOMOGENEITY WELCH</w:t>
              <w:br/>
              <w:t>/MISSING ANALYSIS</w:t>
              <w:br/>
              <w:t>/CRITERIA=CILEVEL(0.95)</w:t>
              <w:br/>
              <w:t>/POSTHOC=TUKEY BTUKEY SCHEFFE BONFERRONI ALPHA(0.05).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00:00:00.06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27"/>
        <w:gridCol w:w="1148"/>
        <w:gridCol w:w="1148"/>
        <w:gridCol w:w="1148"/>
        <w:gridCol w:w="1148"/>
        <w:gridCol w:w="1148"/>
        <w:gridCol w:w="1148"/>
        <w:gridCol w:w="1148"/>
        <w:gridCol w:w="1148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기술통계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shd w:color="auto" w:val="clear" w:fill="ffffff"/>
            <w:vAlign w:val="bottom"/>
          </w:tcPr>
          <w:tcPr>
            <w:hMerge w:val="restart"/>
          </w:tcPr>
          <w:p>
            <w:pPr>
              <w:spacing w:after="1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사용의도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표준편차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표준오차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평균의 95% 신뢰구간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최소값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최대값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하한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상한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2.9167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1.11316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.22722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2.4466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3.3867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3.3919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1.19111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.12486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3.1439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3.6400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3.5217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1.16700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.24334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3.0171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4.0264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3.3309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1.18212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.10063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3.1319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3.5299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5.00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054"/>
        <w:gridCol w:w="2788"/>
        <w:gridCol w:w="1581"/>
        <w:gridCol w:w="1156"/>
        <w:gridCol w:w="1156"/>
        <w:gridCol w:w="149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분산의 동질성 검정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Levene 통계량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df1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df2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CTT 유의확률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사용의도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평균을 기준으로 합니다.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.987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중위수를 기준으로 합니다.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.927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자유도를 수정한 상태에서 중위수를 기준으로 합니다.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134.198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.927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절삭평균을 기준으로 합니다.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.995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918"/>
        <w:gridCol w:w="1156"/>
        <w:gridCol w:w="1156"/>
        <w:gridCol w:w="1156"/>
        <w:gridCol w:w="1156"/>
        <w:gridCol w:w="149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ANOVA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shd w:color="auto" w:val="clear" w:fill="ffffff"/>
            <w:vAlign w:val="bottom"/>
          </w:tcPr>
          <w:tcPr>
            <w:hMerge w:val="restart"/>
          </w:tcPr>
          <w:p>
            <w:pPr>
              <w:spacing w:after="1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사용의도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제곱합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CTT 유의확률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집단-간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5.295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2.647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1.920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집단-내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186.149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191.444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054"/>
        <w:gridCol w:w="2227"/>
        <w:gridCol w:w="1513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ANOVA 효과 크기</w:t>
            </w:r>
            <w:r>
              <w:rPr>
                <w:vertAlign w:val="superscript"/>
              </w:rPr>
              <w:t>a,b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포인트 추정값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95% 신뢰구간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하한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상한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사용의도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에타 제곱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엡실런 제곱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오메가 제곱 고정 효과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오메가 제곱 변량효과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.041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054"/>
        <w:gridCol w:w="2227"/>
        <w:gridCol w:w="1513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에타 제곱 및 엡실런 제곱은 고정 효과 모델을 기반으로 추정됩니다.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음수이지만 편향이 적은 추정값은 유지되며 0으로 반올림되지 않습니다.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49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평균의 동질성 로버스트 검정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shd w:color="auto" w:val="clear" w:fill="ffffff"/>
            <w:vAlign w:val="bottom"/>
          </w:tcPr>
          <w:tcPr>
            <w:hMerge w:val="restart"/>
          </w:tcPr>
          <w:p>
            <w:pPr>
              <w:spacing w:after="1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사용의도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통계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df1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df2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CTT 유의확률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Welch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2.053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43.560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.141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49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자동으로 F 분배합니다.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사후검정</w:t>
        <w:cr/>
      </w:r>
    </w:p>
    <w:p>
      <w:r/>
    </w:p>
    <w:tbl>
      <w:tblPr>
        <w:tblW w:w="0" w:type="auto"/>
        <w:jc w:val="left"/>
        <w:tblLayout w:type="fixed"/>
      </w:tblPr>
      <w:tblGrid>
        <w:gridCol w:w="1275"/>
        <w:gridCol w:w="833"/>
        <w:gridCol w:w="884"/>
        <w:gridCol w:w="1411"/>
        <w:gridCol w:w="1156"/>
        <w:gridCol w:w="149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다중비교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shd w:color="auto" w:val="clear" w:fill="ffffff"/>
            <w:vAlign w:val="bottom"/>
            <w:vAlign w:val="bottom"/>
          </w:tcPr>
          <w:tcPr>
            <w:hMerge w:val="restart"/>
          </w:tcPr>
          <w:tcPr>
            <w:shd w:color="auto" w:val="clear" w:fill="ffffff"/>
          </w:tcPr>
          <w:tcPr>
            <w:hMerge w:val="restart"/>
          </w:tcPr>
          <w:p>
            <w:pPr>
              <w:spacing w:after="1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 xml:space="preserve">종속변수: </w:t>
            </w:r>
            <w:r>
              <w:rPr>
                <w:rFonts w:ascii="Gulim" w:hAnsi="Gulim" w:cs="Gulim" w:eastAsia="Gulim"/>
                <w:color w:val="010205"/>
                <w:sz w:val="24"/>
              </w:rPr>
              <w:t>사용의도</w:t>
            </w:r>
          </w:p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shd w:color="auto" w:val="clear" w:fill="ffffff"/>
          </w:tcPr>
          <w:p/>
        </w:tc>
        <w:tc>
          <w:tcPr>
            <w:vMerge w:val="restart"/>
            <w:tcBorders>
              <w:top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(I) age</w:t>
            </w:r>
          </w:p>
        </w:tc>
        <w:tc>
          <w:tcPr>
            <w:vMerge w:val="restart"/>
            <w:tcBorders>
              <w:top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(J) age</w:t>
            </w:r>
          </w:p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평균차이(I-J)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표준오차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CTT 유의확률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95% 신뢰구간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righ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하한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상한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Tukey HSD</w:t>
            </w:r>
          </w:p>
        </w:tc>
        <w:tc>
          <w:tcPr>
            <w:vMerge w:val="restart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-.47527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.26945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-1.1138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.1633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-.60507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.34264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-1.4171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.2069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.47527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.26945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-.1633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1.1138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-.12980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.27405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-.7793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.5197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.60507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.34264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-.2069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1.4171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.12980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.27405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-.5197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.7793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Scheffe</w:t>
            </w:r>
          </w:p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-.47527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.26945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-1.1422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.1917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-.60507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.34264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-1.4532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.2430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.47527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.26945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-.1917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1.1422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-.12980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.27405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-.8081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.5485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.60507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.34264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-.2430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1.4532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.12980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.27405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-.5485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.8081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Bonferroni</w:t>
            </w:r>
          </w:p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-.47527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.26945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-1.1285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.1779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-.60507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.34264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-1.4357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.2256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.47527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.26945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-.1779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1.1285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-.12980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.27405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-.7941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.5346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.60507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.34264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-.2256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1.4357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.12980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.27405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-.5346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.7941</w:t>
            </w:r>
          </w:p>
        </w:tc>
      </w:tr>
    </w:tbl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동질적 부분집합</w:t>
        <w:cr/>
      </w:r>
    </w:p>
    <w:p>
      <w:r/>
    </w:p>
    <w:tbl>
      <w:tblPr>
        <w:tblW w:w="0" w:type="auto"/>
        <w:jc w:val="left"/>
        <w:tblLayout w:type="fixed"/>
      </w:tblPr>
      <w:tblGrid>
        <w:gridCol w:w="1530"/>
        <w:gridCol w:w="1496"/>
        <w:gridCol w:w="115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사용의도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shd w:color="auto" w:val="clear" w:fill="ffffff"/>
          </w:tcPr>
          <w:p/>
        </w:tc>
        <w:tc>
          <w:tcPr>
            <w:vMerge w:val="restart"/>
            <w:tcBorders>
              <w:top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age</w:t>
            </w:r>
          </w:p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유의수준 = 0.05에 대한 부분집합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righ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Tukey HSD</w:t>
            </w:r>
            <w:r>
              <w:rPr>
                <w:vertAlign w:val="superscript"/>
              </w:rPr>
              <w:t>a,b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2.9167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3.3919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3.5217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CTT 유의확률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Tukey B</w:t>
            </w:r>
            <w:r>
              <w:rPr>
                <w:vertAlign w:val="superscript"/>
              </w:rPr>
              <w:t>a,b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2.9167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3.3919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3.5217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Scheffe</w:t>
            </w:r>
            <w:r>
              <w:rPr>
                <w:vertAlign w:val="superscript"/>
              </w:rPr>
              <w:t>a,b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2.9167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3.3919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3.5217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CTT 유의확률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.130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530"/>
        <w:gridCol w:w="1496"/>
        <w:gridCol w:w="1156"/>
        <w:gridCol w:w="166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동질적 부분집합에 있는 집단에 대한 평균이 표시됩니다.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조화평균 표본크기 31.206을(를) 사용합니다.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집단 크기가 동일하지 않습니다. 집단 크기의 조화평균이 사용됩니다. I 유형 오차 수준은 보장되지 않습니다.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sectPr>
      <w:pgSz w:h="16833" w:w="11903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2024-08-06T23:33:31Z</dcterms:created>
  <dc:creator>IBM SPSS Statistics</dc:creator>
</cp:coreProperties>
</file>