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CCB9B" w14:textId="18F59367" w:rsidR="003B2F89" w:rsidRDefault="005D786E">
      <w:r>
        <w:rPr>
          <w:rFonts w:hint="eastAsia"/>
        </w:rPr>
        <w:t>다중회귀분석</w:t>
      </w:r>
    </w:p>
    <w:p w14:paraId="7D9CD0B3" w14:textId="0CB1C811" w:rsidR="003B2F89" w:rsidRDefault="008161F2" w:rsidP="00462741">
      <w:r>
        <w:rPr>
          <w:rFonts w:ascii="굴림체" w:eastAsia="굴림체" w:hAnsi="굴림체" w:cs="굴림체"/>
          <w:color w:val="000000"/>
          <w:sz w:val="24"/>
        </w:rPr>
        <w:cr/>
      </w:r>
      <w:r w:rsidR="005D786E">
        <w:t xml:space="preserve"> </w:t>
      </w:r>
    </w:p>
    <w:tbl>
      <w:tblPr>
        <w:tblW w:w="9342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  <w:gridCol w:w="141"/>
        <w:gridCol w:w="1151"/>
        <w:gridCol w:w="1402"/>
        <w:gridCol w:w="1188"/>
        <w:gridCol w:w="1102"/>
        <w:gridCol w:w="1130"/>
        <w:gridCol w:w="1130"/>
        <w:gridCol w:w="1248"/>
      </w:tblGrid>
      <w:tr w:rsidR="006330AB" w14:paraId="7D9CD0BC" w14:textId="77777777" w:rsidTr="00183B4A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9342" w:type="dxa"/>
            <w:gridSpan w:val="9"/>
            <w:shd w:val="clear" w:color="auto" w:fill="FFFFFF"/>
            <w:vAlign w:val="center"/>
          </w:tcPr>
          <w:p w14:paraId="7D9CD0B4" w14:textId="410FB2BA" w:rsidR="003B2F89" w:rsidRDefault="00183B4A" w:rsidP="00682AA9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[표 A] 회귀분석 결과</w:t>
            </w:r>
            <w:r w:rsidR="008161F2">
              <w:rPr>
                <w:vertAlign w:val="superscript"/>
              </w:rPr>
              <w:t>a</w:t>
            </w:r>
          </w:p>
        </w:tc>
      </w:tr>
      <w:tr w:rsidR="0085365F" w14:paraId="7D9CD0C5" w14:textId="77777777" w:rsidTr="00462741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850" w:type="dxa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26B7F1E6" w14:textId="553553E5" w:rsidR="0085365F" w:rsidRPr="00C9200D" w:rsidRDefault="0085365F" w:rsidP="0085365F">
            <w:pPr>
              <w:spacing w:before="15" w:after="5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구분</w:t>
            </w:r>
          </w:p>
        </w:tc>
        <w:tc>
          <w:tcPr>
            <w:tcW w:w="1292" w:type="dxa"/>
            <w:gridSpan w:val="2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7D9CD0BD" w14:textId="0A2629BD" w:rsidR="0085365F" w:rsidRPr="00C9200D" w:rsidRDefault="0085365F" w:rsidP="0085365F">
            <w:pPr>
              <w:spacing w:before="15" w:after="5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독립변수</w:t>
            </w:r>
          </w:p>
        </w:tc>
        <w:tc>
          <w:tcPr>
            <w:tcW w:w="1402" w:type="dxa"/>
            <w:tcBorders>
              <w:top w:val="none" w:sz="1" w:space="0" w:color="152935"/>
              <w:left w:val="non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1E9BB15" w14:textId="77777777" w:rsidR="008161F2" w:rsidRDefault="00C9200D" w:rsidP="0085365F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비표준화</w:t>
            </w:r>
          </w:p>
          <w:p w14:paraId="752F1BD8" w14:textId="2EE42845" w:rsidR="0085365F" w:rsidRPr="00C9200D" w:rsidRDefault="00C9200D" w:rsidP="0085365F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계수(</w:t>
            </w:r>
            <w:r w:rsidR="0085365F" w:rsidRPr="00C920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B</w:t>
            </w: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)</w:t>
            </w:r>
          </w:p>
        </w:tc>
        <w:tc>
          <w:tcPr>
            <w:tcW w:w="1188" w:type="dxa"/>
            <w:tcBorders>
              <w:top w:val="none" w:sz="1" w:space="0" w:color="152935"/>
              <w:left w:val="non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D9CD0BF" w14:textId="532FE48E" w:rsidR="0085365F" w:rsidRPr="00C9200D" w:rsidRDefault="0085365F" w:rsidP="0085365F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표준</w:t>
            </w: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 xml:space="preserve"> 오차</w:t>
            </w:r>
            <w:r w:rsidR="00C9200D"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(SE)</w:t>
            </w:r>
          </w:p>
        </w:tc>
        <w:tc>
          <w:tcPr>
            <w:tcW w:w="1102" w:type="dxa"/>
            <w:tcBorders>
              <w:top w:val="none" w:sz="1" w:space="0" w:color="152935"/>
              <w:left w:val="single" w:sz="1" w:space="0" w:color="E0E0E0"/>
              <w:right w:val="single" w:sz="1" w:space="0" w:color="E0E0E0"/>
            </w:tcBorders>
            <w:shd w:val="clear" w:color="auto" w:fill="FFFFFF"/>
            <w:vAlign w:val="center"/>
          </w:tcPr>
          <w:p w14:paraId="5EEC01DC" w14:textId="77777777" w:rsidR="008161F2" w:rsidRDefault="00C9200D" w:rsidP="0085365F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 xml:space="preserve">표준화 </w:t>
            </w:r>
          </w:p>
          <w:p w14:paraId="7D9CD0C1" w14:textId="7EBACA33" w:rsidR="0085365F" w:rsidRPr="00C9200D" w:rsidRDefault="00C9200D" w:rsidP="0085365F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계수</w:t>
            </w:r>
            <w:r w:rsidR="0085365F"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ß</w:t>
            </w:r>
          </w:p>
        </w:tc>
        <w:tc>
          <w:tcPr>
            <w:tcW w:w="1130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7D9CD0C2" w14:textId="5E08AB2D" w:rsidR="0085365F" w:rsidRPr="00C9200D" w:rsidRDefault="00C9200D" w:rsidP="0085365F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t</w:t>
            </w:r>
          </w:p>
        </w:tc>
        <w:tc>
          <w:tcPr>
            <w:tcW w:w="1130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7D9CD0C3" w14:textId="0D1A59A9" w:rsidR="0085365F" w:rsidRPr="00C9200D" w:rsidRDefault="00C9200D" w:rsidP="0085365F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유의확률</w:t>
            </w:r>
          </w:p>
        </w:tc>
        <w:tc>
          <w:tcPr>
            <w:tcW w:w="1248" w:type="dxa"/>
            <w:tcBorders>
              <w:top w:val="non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FFFFF"/>
            <w:vAlign w:val="center"/>
          </w:tcPr>
          <w:p w14:paraId="7D9CD0C4" w14:textId="625DF90B" w:rsidR="0085365F" w:rsidRPr="00C9200D" w:rsidRDefault="0085365F" w:rsidP="0085365F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C920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R2</w:t>
            </w:r>
          </w:p>
        </w:tc>
      </w:tr>
      <w:tr w:rsidR="00183B4A" w14:paraId="7D9CD0D7" w14:textId="77777777" w:rsidTr="00462741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991" w:type="dxa"/>
            <w:gridSpan w:val="2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417A724C" w14:textId="77777777" w:rsidR="00183B4A" w:rsidRPr="00903730" w:rsidRDefault="00417993" w:rsidP="0041799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903730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종속변수</w:t>
            </w:r>
          </w:p>
          <w:p w14:paraId="7D9CD0CF" w14:textId="74FE8DC9" w:rsidR="00417993" w:rsidRPr="00903730" w:rsidRDefault="00417993" w:rsidP="00417993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proofErr w:type="gramStart"/>
            <w:r w:rsidRPr="00903730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:만족감</w:t>
            </w:r>
            <w:proofErr w:type="gramEnd"/>
          </w:p>
        </w:tc>
        <w:tc>
          <w:tcPr>
            <w:tcW w:w="115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D9CD0D0" w14:textId="77777777" w:rsidR="00183B4A" w:rsidRPr="00903730" w:rsidRDefault="00183B4A" w:rsidP="00417993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903730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(상수)</w:t>
            </w:r>
          </w:p>
        </w:tc>
        <w:tc>
          <w:tcPr>
            <w:tcW w:w="140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1" w14:textId="2DEB3E3B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-1.087E-</w:t>
            </w:r>
            <w:r w:rsidR="00462741">
              <w:rPr>
                <w:rFonts w:ascii="굴림" w:eastAsia="굴림" w:hAnsi="굴림" w:cs="굴림" w:hint="eastAsia"/>
                <w:color w:val="010205"/>
                <w:szCs w:val="22"/>
              </w:rPr>
              <w:t>0</w:t>
            </w: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7</w:t>
            </w:r>
          </w:p>
        </w:tc>
        <w:tc>
          <w:tcPr>
            <w:tcW w:w="118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2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.046</w:t>
            </w:r>
          </w:p>
        </w:tc>
        <w:tc>
          <w:tcPr>
            <w:tcW w:w="110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3" w14:textId="77777777" w:rsidR="00183B4A" w:rsidRPr="003902C9" w:rsidRDefault="00183B4A" w:rsidP="00417993">
            <w:pPr>
              <w:jc w:val="center"/>
              <w:rPr>
                <w:szCs w:val="22"/>
              </w:rPr>
            </w:pPr>
          </w:p>
        </w:tc>
        <w:tc>
          <w:tcPr>
            <w:tcW w:w="113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4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13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5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1248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7D9CD0D6" w14:textId="1C2B2F7F" w:rsidR="00183B4A" w:rsidRPr="00183B4A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183B4A">
              <w:rPr>
                <w:rFonts w:ascii="굴림" w:eastAsia="굴림" w:hAnsi="굴림" w:cs="굴림"/>
                <w:color w:val="010205"/>
                <w:szCs w:val="22"/>
              </w:rPr>
              <w:t>.305</w:t>
            </w:r>
          </w:p>
        </w:tc>
      </w:tr>
      <w:tr w:rsidR="00183B4A" w14:paraId="7D9CD0E0" w14:textId="77777777" w:rsidTr="00462741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991" w:type="dxa"/>
            <w:gridSpan w:val="2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D9CD0D8" w14:textId="77777777" w:rsidR="00183B4A" w:rsidRPr="00903730" w:rsidRDefault="00183B4A" w:rsidP="00417993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5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D9CD0D9" w14:textId="6B890F0B" w:rsidR="00183B4A" w:rsidRPr="00903730" w:rsidRDefault="00183B4A" w:rsidP="00417993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903730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외관</w:t>
            </w:r>
          </w:p>
        </w:tc>
        <w:tc>
          <w:tcPr>
            <w:tcW w:w="14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A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.256</w:t>
            </w:r>
          </w:p>
        </w:tc>
        <w:tc>
          <w:tcPr>
            <w:tcW w:w="11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B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110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C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.251</w:t>
            </w:r>
          </w:p>
        </w:tc>
        <w:tc>
          <w:tcPr>
            <w:tcW w:w="11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D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5.175</w:t>
            </w:r>
          </w:p>
        </w:tc>
        <w:tc>
          <w:tcPr>
            <w:tcW w:w="11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DE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248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</w:tcPr>
          <w:p w14:paraId="7D9CD0DF" w14:textId="5F34AF5E" w:rsidR="00183B4A" w:rsidRPr="003902C9" w:rsidRDefault="00183B4A" w:rsidP="00440116">
            <w:pPr>
              <w:spacing w:before="15" w:after="10"/>
              <w:ind w:left="30" w:right="40"/>
              <w:jc w:val="right"/>
              <w:rPr>
                <w:szCs w:val="22"/>
              </w:rPr>
            </w:pPr>
          </w:p>
        </w:tc>
      </w:tr>
      <w:tr w:rsidR="00183B4A" w14:paraId="7D9CD0E9" w14:textId="77777777" w:rsidTr="00462741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991" w:type="dxa"/>
            <w:gridSpan w:val="2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D9CD0E1" w14:textId="77777777" w:rsidR="00183B4A" w:rsidRPr="00903730" w:rsidRDefault="00183B4A" w:rsidP="00417993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5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D9CD0E2" w14:textId="01858017" w:rsidR="00183B4A" w:rsidRPr="00903730" w:rsidRDefault="00183B4A" w:rsidP="00417993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903730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유용성</w:t>
            </w:r>
          </w:p>
        </w:tc>
        <w:tc>
          <w:tcPr>
            <w:tcW w:w="14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E3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.212</w:t>
            </w:r>
          </w:p>
        </w:tc>
        <w:tc>
          <w:tcPr>
            <w:tcW w:w="11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E4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110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E5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.203</w:t>
            </w:r>
          </w:p>
        </w:tc>
        <w:tc>
          <w:tcPr>
            <w:tcW w:w="11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E6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4.218</w:t>
            </w:r>
          </w:p>
        </w:tc>
        <w:tc>
          <w:tcPr>
            <w:tcW w:w="11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9CD0E7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248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</w:tcPr>
          <w:p w14:paraId="7D9CD0E8" w14:textId="3D6FB7C2" w:rsidR="00183B4A" w:rsidRPr="003902C9" w:rsidRDefault="00183B4A">
            <w:pPr>
              <w:spacing w:before="15" w:after="10"/>
              <w:ind w:left="30" w:right="40"/>
              <w:jc w:val="right"/>
              <w:rPr>
                <w:szCs w:val="22"/>
              </w:rPr>
            </w:pPr>
          </w:p>
        </w:tc>
      </w:tr>
      <w:tr w:rsidR="00183B4A" w14:paraId="7D9CD0F2" w14:textId="77777777" w:rsidTr="00462741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991" w:type="dxa"/>
            <w:gridSpan w:val="2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D9CD0EA" w14:textId="77777777" w:rsidR="00183B4A" w:rsidRPr="00903730" w:rsidRDefault="00183B4A" w:rsidP="00417993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5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7D9CD0EB" w14:textId="07411AEE" w:rsidR="00183B4A" w:rsidRPr="00903730" w:rsidRDefault="00183B4A" w:rsidP="00417993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903730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편의성</w:t>
            </w:r>
          </w:p>
        </w:tc>
        <w:tc>
          <w:tcPr>
            <w:tcW w:w="140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D9CD0EC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.359</w:t>
            </w:r>
          </w:p>
        </w:tc>
        <w:tc>
          <w:tcPr>
            <w:tcW w:w="118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D9CD0ED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110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D9CD0EE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.340</w:t>
            </w:r>
          </w:p>
        </w:tc>
        <w:tc>
          <w:tcPr>
            <w:tcW w:w="113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D9CD0EF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7.073</w:t>
            </w:r>
          </w:p>
        </w:tc>
        <w:tc>
          <w:tcPr>
            <w:tcW w:w="113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D9CD0F0" w14:textId="77777777" w:rsidR="00183B4A" w:rsidRPr="003902C9" w:rsidRDefault="00183B4A" w:rsidP="0041799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902C9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248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D9CD0F1" w14:textId="0E0C5D08" w:rsidR="00183B4A" w:rsidRPr="003902C9" w:rsidRDefault="00183B4A">
            <w:pPr>
              <w:spacing w:before="15" w:after="10"/>
              <w:ind w:left="30" w:right="40"/>
              <w:jc w:val="right"/>
              <w:rPr>
                <w:szCs w:val="22"/>
              </w:rPr>
            </w:pPr>
          </w:p>
        </w:tc>
      </w:tr>
    </w:tbl>
    <w:p w14:paraId="70AE5F3A" w14:textId="77777777" w:rsidR="00462741" w:rsidRDefault="00462741"/>
    <w:p w14:paraId="7D9CD0F3" w14:textId="2E4037EE" w:rsidR="003B2F89" w:rsidRDefault="00462741">
      <w:r>
        <w:rPr>
          <w:rFonts w:hint="eastAsia"/>
        </w:rPr>
        <w:t xml:space="preserve">회귀식에서 독립변수인 </w:t>
      </w:r>
      <w:r>
        <w:t>‘</w:t>
      </w:r>
      <w:r>
        <w:rPr>
          <w:rFonts w:hint="eastAsia"/>
        </w:rPr>
        <w:t>외관</w:t>
      </w:r>
      <w:r>
        <w:t>’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해당하는 계수는 .256, </w:t>
      </w:r>
      <w:r>
        <w:t>‘</w:t>
      </w:r>
      <w:r>
        <w:rPr>
          <w:rFonts w:hint="eastAsia"/>
        </w:rPr>
        <w:t>유용성</w:t>
      </w:r>
      <w:r>
        <w:t>’</w:t>
      </w:r>
      <w:r>
        <w:rPr>
          <w:rFonts w:hint="eastAsia"/>
        </w:rPr>
        <w:t xml:space="preserve">은 .212, </w:t>
      </w:r>
      <w:r>
        <w:t>‘</w:t>
      </w:r>
      <w:r>
        <w:rPr>
          <w:rFonts w:hint="eastAsia"/>
        </w:rPr>
        <w:t>편의성</w:t>
      </w:r>
      <w:r>
        <w:t>’</w:t>
      </w:r>
      <w:r>
        <w:rPr>
          <w:rFonts w:hint="eastAsia"/>
        </w:rPr>
        <w:t>은 .359로 확인되었으며, 이에 대한 영향력을 비교하면, .251, .203, .340으로 나타났다.</w:t>
      </w:r>
    </w:p>
    <w:p w14:paraId="408C5047" w14:textId="77777777" w:rsidR="00462741" w:rsidRDefault="00462741"/>
    <w:p w14:paraId="63C9D948" w14:textId="77777777" w:rsidR="00462741" w:rsidRDefault="00462741"/>
    <w:p w14:paraId="3D29C399" w14:textId="6B959531" w:rsidR="00462741" w:rsidRPr="007C5C8F" w:rsidRDefault="00B32360">
      <w:pPr>
        <w:rPr>
          <w:color w:val="3A7C22" w:themeColor="accent6" w:themeShade="BF"/>
        </w:rPr>
      </w:pPr>
      <w:r w:rsidRPr="007C5C8F">
        <w:rPr>
          <w:color w:val="3A7C22" w:themeColor="accent6" w:themeShade="BF"/>
        </w:rPr>
        <w:t>“””</w:t>
      </w:r>
    </w:p>
    <w:p w14:paraId="05C671A3" w14:textId="277E413C" w:rsidR="00B32360" w:rsidRPr="007C5C8F" w:rsidRDefault="00B32360">
      <w:pPr>
        <w:rPr>
          <w:color w:val="3A7C22" w:themeColor="accent6" w:themeShade="BF"/>
        </w:rPr>
      </w:pPr>
      <w:r w:rsidRPr="007C5C8F">
        <w:rPr>
          <w:rFonts w:hint="eastAsia"/>
          <w:color w:val="3A7C22" w:themeColor="accent6" w:themeShade="BF"/>
        </w:rPr>
        <w:t xml:space="preserve">여기서는 회귀분석을 통해 나온 결과표를 </w:t>
      </w:r>
      <w:proofErr w:type="spellStart"/>
      <w:r w:rsidRPr="007C5C8F">
        <w:rPr>
          <w:rFonts w:hint="eastAsia"/>
          <w:color w:val="3A7C22" w:themeColor="accent6" w:themeShade="BF"/>
        </w:rPr>
        <w:t>보기좋게</w:t>
      </w:r>
      <w:proofErr w:type="spellEnd"/>
      <w:r w:rsidRPr="007C5C8F">
        <w:rPr>
          <w:rFonts w:hint="eastAsia"/>
          <w:color w:val="3A7C22" w:themeColor="accent6" w:themeShade="BF"/>
        </w:rPr>
        <w:t xml:space="preserve"> 정리하여 제시했지만, 실제로 회귀분석의 결과를 제대로 제시하려면 요인분석을 실시한 분석 결과, 요인분석의 결과로 해당 요인에 대한 신뢰도를 확인한 결과와 신뢰도가 확인된 요인 간의 상관관계에 대한 분석 결과를 제시한 후 최종 도출된 요인을 기술한다.</w:t>
      </w:r>
    </w:p>
    <w:p w14:paraId="24E48643" w14:textId="77777777" w:rsidR="004754FE" w:rsidRPr="007C5C8F" w:rsidRDefault="00B32360">
      <w:pPr>
        <w:rPr>
          <w:color w:val="3A7C22" w:themeColor="accent6" w:themeShade="BF"/>
        </w:rPr>
      </w:pPr>
      <w:r w:rsidRPr="007C5C8F">
        <w:rPr>
          <w:rFonts w:hint="eastAsia"/>
          <w:color w:val="3A7C22" w:themeColor="accent6" w:themeShade="BF"/>
        </w:rPr>
        <w:t xml:space="preserve">따라서 </w:t>
      </w:r>
      <w:r w:rsidR="004754FE" w:rsidRPr="007C5C8F">
        <w:rPr>
          <w:rFonts w:hint="eastAsia"/>
          <w:color w:val="3A7C22" w:themeColor="accent6" w:themeShade="BF"/>
        </w:rPr>
        <w:t xml:space="preserve">단순히 위에 제시한 </w:t>
      </w:r>
      <w:proofErr w:type="spellStart"/>
      <w:r w:rsidR="004754FE" w:rsidRPr="007C5C8F">
        <w:rPr>
          <w:rFonts w:hint="eastAsia"/>
          <w:color w:val="3A7C22" w:themeColor="accent6" w:themeShade="BF"/>
        </w:rPr>
        <w:t>표뿐만</w:t>
      </w:r>
      <w:proofErr w:type="spellEnd"/>
      <w:r w:rsidR="004754FE" w:rsidRPr="007C5C8F">
        <w:rPr>
          <w:rFonts w:hint="eastAsia"/>
          <w:color w:val="3A7C22" w:themeColor="accent6" w:themeShade="BF"/>
        </w:rPr>
        <w:t xml:space="preserve"> 아니라 회귀분석을 실시하게 된 과정(요인분석, 신뢰도 분석, 상관관계 분석, 회귀분석)을 모두 기술해야 한다. 또한 표 아래에는 독립변수가 종속변수에 미치는 영향을 기술한면 되는데, 이는 연구모형에 따라 회귀분석 결과를 적절한 형태로 바꾸어 제시할 수 있다.</w:t>
      </w:r>
    </w:p>
    <w:p w14:paraId="643C83FE" w14:textId="7E53A764" w:rsidR="00B32360" w:rsidRPr="007C5C8F" w:rsidRDefault="007C5C8F">
      <w:pPr>
        <w:rPr>
          <w:rFonts w:hint="eastAsia"/>
          <w:color w:val="3A7C22" w:themeColor="accent6" w:themeShade="BF"/>
        </w:rPr>
      </w:pPr>
      <w:r w:rsidRPr="007C5C8F">
        <w:rPr>
          <w:color w:val="3A7C22" w:themeColor="accent6" w:themeShade="BF"/>
        </w:rPr>
        <w:t>“””</w:t>
      </w:r>
    </w:p>
    <w:sectPr w:rsidR="00B32360" w:rsidRPr="007C5C8F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F89"/>
    <w:rsid w:val="00183B4A"/>
    <w:rsid w:val="001E49DC"/>
    <w:rsid w:val="003902C9"/>
    <w:rsid w:val="003B2F89"/>
    <w:rsid w:val="00417993"/>
    <w:rsid w:val="00462741"/>
    <w:rsid w:val="004754FE"/>
    <w:rsid w:val="005D786E"/>
    <w:rsid w:val="006330AB"/>
    <w:rsid w:val="00682AA9"/>
    <w:rsid w:val="007C5C8F"/>
    <w:rsid w:val="008161F2"/>
    <w:rsid w:val="0085365F"/>
    <w:rsid w:val="00903730"/>
    <w:rsid w:val="00B32360"/>
    <w:rsid w:val="00C9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CB9B"/>
  <w15:docId w15:val="{D9A3B410-B032-499E-846C-D05320F7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15</cp:revision>
  <dcterms:created xsi:type="dcterms:W3CDTF">2024-08-14T22:01:00Z</dcterms:created>
  <dcterms:modified xsi:type="dcterms:W3CDTF">2024-08-14T22:16:00Z</dcterms:modified>
</cp:coreProperties>
</file>