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0C8F00" w14:textId="77777777" w:rsidR="00F140DF" w:rsidRPr="00F140DF" w:rsidRDefault="00F140DF" w:rsidP="00F140DF">
      <w:proofErr w:type="spellStart"/>
      <w:r w:rsidRPr="00F140DF">
        <w:t>초과이익가치평가모형</w:t>
      </w:r>
      <w:proofErr w:type="spellEnd"/>
      <w:r w:rsidRPr="00F140DF">
        <w:t>(Excess Earnings Valuation Model) 또는 잉여이익모형(Residual Income Model)은 전통적인 가치 평가 방법론과 차별화되는 접근 방식을 제공하는 재무 모델입니다. 이 모형은 기업의 순이익에서 자본비용을 차감한 잉여이익(Residual Income)을 사용하여 기업의 가치를 산정합니다. 잉여이익은 기업이 자본 비용을 초과하여 벌어들인 이익을 의미합니다.</w:t>
      </w:r>
    </w:p>
    <w:p w14:paraId="0BD6E56B" w14:textId="77777777" w:rsidR="00F140DF" w:rsidRPr="00F140DF" w:rsidRDefault="00F140DF" w:rsidP="00F140DF">
      <w:pPr>
        <w:rPr>
          <w:b/>
          <w:bCs/>
        </w:rPr>
      </w:pPr>
      <w:proofErr w:type="spellStart"/>
      <w:r w:rsidRPr="00F140DF">
        <w:rPr>
          <w:b/>
          <w:bCs/>
        </w:rPr>
        <w:t>초과이익가치평가모형의</w:t>
      </w:r>
      <w:proofErr w:type="spellEnd"/>
      <w:r w:rsidRPr="00F140DF">
        <w:rPr>
          <w:b/>
          <w:bCs/>
        </w:rPr>
        <w:t xml:space="preserve"> 개념</w:t>
      </w:r>
    </w:p>
    <w:p w14:paraId="4E2BFB5C" w14:textId="77777777" w:rsidR="00F140DF" w:rsidRPr="00F140DF" w:rsidRDefault="00F140DF" w:rsidP="00F140DF">
      <w:proofErr w:type="spellStart"/>
      <w:r w:rsidRPr="00F140DF">
        <w:t>초과이익가치평가모형은</w:t>
      </w:r>
      <w:proofErr w:type="spellEnd"/>
      <w:r w:rsidRPr="00F140DF">
        <w:t xml:space="preserve"> 기본적으로 두 가지 주요 요소를 고려합니다:</w:t>
      </w:r>
    </w:p>
    <w:p w14:paraId="0856C8D3" w14:textId="77777777" w:rsidR="00F140DF" w:rsidRPr="00F140DF" w:rsidRDefault="00F140DF" w:rsidP="00F140DF">
      <w:pPr>
        <w:numPr>
          <w:ilvl w:val="0"/>
          <w:numId w:val="1"/>
        </w:numPr>
      </w:pPr>
      <w:r w:rsidRPr="00F140DF">
        <w:rPr>
          <w:b/>
          <w:bCs/>
        </w:rPr>
        <w:t>현재의 장부가치(Book Value of Equity)</w:t>
      </w:r>
    </w:p>
    <w:p w14:paraId="0462F650" w14:textId="77777777" w:rsidR="00F140DF" w:rsidRPr="00F140DF" w:rsidRDefault="00F140DF" w:rsidP="00F140DF">
      <w:pPr>
        <w:numPr>
          <w:ilvl w:val="0"/>
          <w:numId w:val="1"/>
        </w:numPr>
      </w:pPr>
      <w:r w:rsidRPr="00F140DF">
        <w:rPr>
          <w:b/>
          <w:bCs/>
        </w:rPr>
        <w:t>미래의 초과이익(Residual Income)</w:t>
      </w:r>
    </w:p>
    <w:p w14:paraId="638FFC41" w14:textId="77777777" w:rsidR="00F140DF" w:rsidRPr="00F140DF" w:rsidRDefault="00F140DF" w:rsidP="00F140DF">
      <w:pPr>
        <w:rPr>
          <w:b/>
          <w:bCs/>
        </w:rPr>
      </w:pPr>
      <w:r w:rsidRPr="00F140DF">
        <w:rPr>
          <w:b/>
          <w:bCs/>
        </w:rPr>
        <w:t>잉여이익(Residual Income) 정의</w:t>
      </w:r>
    </w:p>
    <w:p w14:paraId="25CD355D" w14:textId="77777777" w:rsidR="00F140DF" w:rsidRPr="00F140DF" w:rsidRDefault="00F140DF" w:rsidP="00F140DF">
      <w:r w:rsidRPr="00F140DF">
        <w:t>잉여이익은 다음과 같이 계산할 수 있습니다:</w:t>
      </w:r>
    </w:p>
    <w:p w14:paraId="4C84EBE7" w14:textId="77777777" w:rsidR="00F140DF" w:rsidRPr="00F140DF" w:rsidRDefault="00F140DF" w:rsidP="00F140DF">
      <w:r w:rsidRPr="00F140DF">
        <w:t>잉여이익 (RI)=순이익 (Net Income)</w:t>
      </w:r>
      <w:r w:rsidRPr="00F140DF">
        <w:rPr>
          <w:rFonts w:ascii="바탕" w:eastAsia="바탕" w:hAnsi="바탕" w:cs="바탕" w:hint="eastAsia"/>
        </w:rPr>
        <w:t>−</w:t>
      </w:r>
      <w:r w:rsidRPr="00F140DF">
        <w:t>(자본 비용 (Cost of Equity)×기초 자기자본 (Beginning Equity))잉여이익 (RI)=순이익 (Net Income)</w:t>
      </w:r>
      <w:r w:rsidRPr="00F140DF">
        <w:rPr>
          <w:rFonts w:ascii="바탕" w:eastAsia="바탕" w:hAnsi="바탕" w:cs="바탕" w:hint="eastAsia"/>
        </w:rPr>
        <w:t>−</w:t>
      </w:r>
      <w:r w:rsidRPr="00F140DF">
        <w:t>(자본 비용 (Cost of Equity)×기초 자기자본 (Beginning Equity))</w:t>
      </w:r>
    </w:p>
    <w:p w14:paraId="225AE2D3" w14:textId="77777777" w:rsidR="00F140DF" w:rsidRPr="00F140DF" w:rsidRDefault="00F140DF" w:rsidP="00F140DF">
      <w:pPr>
        <w:numPr>
          <w:ilvl w:val="0"/>
          <w:numId w:val="2"/>
        </w:numPr>
      </w:pPr>
      <w:r w:rsidRPr="00F140DF">
        <w:rPr>
          <w:b/>
          <w:bCs/>
        </w:rPr>
        <w:t>순이익 (Net Income)</w:t>
      </w:r>
      <w:r w:rsidRPr="00F140DF">
        <w:t>: 일정 기간 동안 기업이 벌어들인 총 이익.</w:t>
      </w:r>
    </w:p>
    <w:p w14:paraId="13BC6D54" w14:textId="77777777" w:rsidR="00F140DF" w:rsidRPr="00F140DF" w:rsidRDefault="00F140DF" w:rsidP="00F140DF">
      <w:pPr>
        <w:numPr>
          <w:ilvl w:val="0"/>
          <w:numId w:val="2"/>
        </w:numPr>
      </w:pPr>
      <w:r w:rsidRPr="00F140DF">
        <w:rPr>
          <w:b/>
          <w:bCs/>
        </w:rPr>
        <w:t>자본 비용 (Cost of Equity)</w:t>
      </w:r>
      <w:r w:rsidRPr="00F140DF">
        <w:t>: 주주가 요구하는 최소 수익률.</w:t>
      </w:r>
    </w:p>
    <w:p w14:paraId="3EBAFD97" w14:textId="77777777" w:rsidR="00F140DF" w:rsidRPr="00F140DF" w:rsidRDefault="00F140DF" w:rsidP="00F140DF">
      <w:pPr>
        <w:numPr>
          <w:ilvl w:val="0"/>
          <w:numId w:val="2"/>
        </w:numPr>
      </w:pPr>
      <w:r w:rsidRPr="00F140DF">
        <w:rPr>
          <w:b/>
          <w:bCs/>
        </w:rPr>
        <w:t>기초 자기자본 (Beginning Equity)</w:t>
      </w:r>
      <w:r w:rsidRPr="00F140DF">
        <w:t>: 기간 시작 시점의 자기자본.</w:t>
      </w:r>
    </w:p>
    <w:p w14:paraId="269F6E09" w14:textId="77777777" w:rsidR="00F140DF" w:rsidRPr="00F140DF" w:rsidRDefault="00F140DF" w:rsidP="00F140DF">
      <w:pPr>
        <w:rPr>
          <w:b/>
          <w:bCs/>
        </w:rPr>
      </w:pPr>
      <w:proofErr w:type="spellStart"/>
      <w:r w:rsidRPr="00F140DF">
        <w:rPr>
          <w:b/>
          <w:bCs/>
        </w:rPr>
        <w:t>초과이익가치평가모형의</w:t>
      </w:r>
      <w:proofErr w:type="spellEnd"/>
      <w:r w:rsidRPr="00F140DF">
        <w:rPr>
          <w:b/>
          <w:bCs/>
        </w:rPr>
        <w:t xml:space="preserve"> 주요 단계</w:t>
      </w:r>
    </w:p>
    <w:p w14:paraId="4D4D237D" w14:textId="77777777" w:rsidR="00F140DF" w:rsidRPr="00F140DF" w:rsidRDefault="00F140DF" w:rsidP="00F140DF">
      <w:pPr>
        <w:numPr>
          <w:ilvl w:val="0"/>
          <w:numId w:val="3"/>
        </w:numPr>
      </w:pPr>
      <w:r w:rsidRPr="00F140DF">
        <w:rPr>
          <w:b/>
          <w:bCs/>
        </w:rPr>
        <w:t>초과이익 예측</w:t>
      </w:r>
      <w:r w:rsidRPr="00F140DF">
        <w:t>: 미래의 초과이익을 예측합니다. 이는 과거 데이터, 경영진의 전망, 시장 및 경제적 조건 등을 고려하여 수행됩니다.</w:t>
      </w:r>
    </w:p>
    <w:p w14:paraId="2357528C" w14:textId="77777777" w:rsidR="00F140DF" w:rsidRPr="00F140DF" w:rsidRDefault="00F140DF" w:rsidP="00F140DF">
      <w:pPr>
        <w:numPr>
          <w:ilvl w:val="0"/>
          <w:numId w:val="3"/>
        </w:numPr>
      </w:pPr>
      <w:r w:rsidRPr="00F140DF">
        <w:rPr>
          <w:b/>
          <w:bCs/>
        </w:rPr>
        <w:t>할인율 결정</w:t>
      </w:r>
      <w:r w:rsidRPr="00F140DF">
        <w:t>: 초과이익을 현재 가치로 할인하기 위해 적절한 할인율(보통 자본 비용)을 결정합니다.</w:t>
      </w:r>
    </w:p>
    <w:p w14:paraId="68067A0E" w14:textId="77777777" w:rsidR="00F140DF" w:rsidRPr="00F140DF" w:rsidRDefault="00F140DF" w:rsidP="00F140DF">
      <w:pPr>
        <w:numPr>
          <w:ilvl w:val="0"/>
          <w:numId w:val="3"/>
        </w:numPr>
      </w:pPr>
      <w:r w:rsidRPr="00F140DF">
        <w:rPr>
          <w:b/>
          <w:bCs/>
        </w:rPr>
        <w:t>초과이익의 현재 가치 계산</w:t>
      </w:r>
      <w:r w:rsidRPr="00F140DF">
        <w:t>: 예측된 초과이익을 할인율을 사용하여 현재 가치로 계산합니다.</w:t>
      </w:r>
    </w:p>
    <w:p w14:paraId="5B8569F0" w14:textId="77777777" w:rsidR="00F140DF" w:rsidRPr="00F140DF" w:rsidRDefault="00F140DF" w:rsidP="00F140DF">
      <w:pPr>
        <w:numPr>
          <w:ilvl w:val="0"/>
          <w:numId w:val="3"/>
        </w:numPr>
      </w:pPr>
      <w:r w:rsidRPr="00F140DF">
        <w:rPr>
          <w:b/>
          <w:bCs/>
        </w:rPr>
        <w:t>기업 가치 산출</w:t>
      </w:r>
      <w:r w:rsidRPr="00F140DF">
        <w:t>: 현재의 장부가치와 초과이익의 현재 가치를 합산하여 기업의 가치를 산출합니다.</w:t>
      </w:r>
    </w:p>
    <w:p w14:paraId="283E09E2" w14:textId="77777777" w:rsidR="00F140DF" w:rsidRPr="00F140DF" w:rsidRDefault="00F140DF" w:rsidP="00F140DF">
      <w:pPr>
        <w:rPr>
          <w:b/>
          <w:bCs/>
        </w:rPr>
      </w:pPr>
      <w:proofErr w:type="spellStart"/>
      <w:r w:rsidRPr="00F140DF">
        <w:rPr>
          <w:b/>
          <w:bCs/>
        </w:rPr>
        <w:t>초과이익가치평가모형의</w:t>
      </w:r>
      <w:proofErr w:type="spellEnd"/>
      <w:r w:rsidRPr="00F140DF">
        <w:rPr>
          <w:b/>
          <w:bCs/>
        </w:rPr>
        <w:t xml:space="preserve"> 수식</w:t>
      </w:r>
    </w:p>
    <w:p w14:paraId="6F0DF9F1" w14:textId="77777777" w:rsidR="00F140DF" w:rsidRPr="00F140DF" w:rsidRDefault="00F140DF" w:rsidP="00F140DF">
      <w:r w:rsidRPr="00F140DF">
        <w:t xml:space="preserve">기업 가치 </w:t>
      </w:r>
      <w:r w:rsidRPr="00F140DF">
        <w:rPr>
          <w:rFonts w:ascii="Cambria Math" w:hAnsi="Cambria Math" w:cs="Cambria Math"/>
        </w:rPr>
        <w:t>𝑉</w:t>
      </w:r>
      <w:r w:rsidRPr="00F140DF">
        <w:t>0</w:t>
      </w:r>
      <w:r w:rsidRPr="00F140DF">
        <w:rPr>
          <w:i/>
          <w:iCs/>
        </w:rPr>
        <w:t>V</w:t>
      </w:r>
      <w:proofErr w:type="gramStart"/>
      <w:r w:rsidRPr="00F140DF">
        <w:t>0​는</w:t>
      </w:r>
      <w:proofErr w:type="gramEnd"/>
      <w:r w:rsidRPr="00F140DF">
        <w:t xml:space="preserve"> 다음과 같이 계산됩니다:</w:t>
      </w:r>
    </w:p>
    <w:p w14:paraId="063A8066" w14:textId="326EDADE" w:rsidR="00F140DF" w:rsidRPr="00F140DF" w:rsidRDefault="003C103A" w:rsidP="003C103A">
      <w:pPr>
        <w:ind w:firstLine="800"/>
        <w:rPr>
          <w:sz w:val="30"/>
          <w:szCs w:val="30"/>
        </w:rPr>
      </w:pPr>
      <m:oMath>
        <m:sSub>
          <m:sSubPr>
            <m:ctrlPr>
              <w:rPr>
                <w:rFonts w:ascii="Cambria Math" w:hAnsi="Cambria Math"/>
                <w:i/>
                <w:sz w:val="30"/>
                <w:szCs w:val="30"/>
              </w:rPr>
            </m:ctrlPr>
          </m:sSubPr>
          <m:e>
            <m:r>
              <m:rPr>
                <m:sty m:val="p"/>
              </m:rPr>
              <w:rPr>
                <w:rFonts w:ascii="Cambria Math" w:hAnsi="Cambria Math" w:cs="Cambria Math"/>
                <w:sz w:val="30"/>
                <w:szCs w:val="30"/>
              </w:rPr>
              <m:t>V</m:t>
            </m:r>
          </m:e>
          <m:sub>
            <m:r>
              <m:rPr>
                <m:sty m:val="p"/>
              </m:rPr>
              <w:rPr>
                <w:rFonts w:ascii="Cambria Math" w:hAnsi="Cambria Math"/>
                <w:sz w:val="30"/>
                <w:szCs w:val="30"/>
              </w:rPr>
              <m:t>0</m:t>
            </m:r>
          </m:sub>
        </m:sSub>
      </m:oMath>
      <w:r w:rsidR="00F140DF" w:rsidRPr="00F140DF">
        <w:rPr>
          <w:sz w:val="30"/>
          <w:szCs w:val="30"/>
        </w:rPr>
        <w:t>=</w:t>
      </w:r>
      <w:r w:rsidR="00873390" w:rsidRPr="0022019D">
        <w:rPr>
          <w:rFonts w:ascii="Cambria Math" w:hAnsi="Cambria Math"/>
          <w:i/>
          <w:sz w:val="30"/>
          <w:szCs w:val="30"/>
        </w:rPr>
        <w:t xml:space="preserve"> </w:t>
      </w:r>
      <m:oMath>
        <m:sSub>
          <m:sSubPr>
            <m:ctrlPr>
              <w:rPr>
                <w:rFonts w:ascii="Cambria Math" w:hAnsi="Cambria Math"/>
                <w:i/>
                <w:sz w:val="30"/>
                <w:szCs w:val="30"/>
              </w:rPr>
            </m:ctrlPr>
          </m:sSubPr>
          <m:e>
            <m:r>
              <m:rPr>
                <m:sty m:val="p"/>
              </m:rPr>
              <w:rPr>
                <w:rFonts w:ascii="Cambria Math" w:hAnsi="Cambria Math" w:cs="Cambria Math"/>
                <w:sz w:val="30"/>
                <w:szCs w:val="30"/>
              </w:rPr>
              <m:t>B</m:t>
            </m:r>
          </m:e>
          <m:sub>
            <m:r>
              <m:rPr>
                <m:sty m:val="p"/>
              </m:rPr>
              <w:rPr>
                <w:rFonts w:ascii="Cambria Math" w:hAnsi="Cambria Math"/>
                <w:sz w:val="30"/>
                <w:szCs w:val="30"/>
              </w:rPr>
              <m:t>0</m:t>
            </m:r>
          </m:sub>
        </m:sSub>
      </m:oMath>
      <w:r w:rsidR="00F140DF" w:rsidRPr="00F140DF">
        <w:rPr>
          <w:sz w:val="30"/>
          <w:szCs w:val="30"/>
        </w:rPr>
        <w:t>+</w:t>
      </w:r>
      <m:oMath>
        <m:nary>
          <m:naryPr>
            <m:chr m:val="∑"/>
            <m:limLoc m:val="undOvr"/>
            <m:ctrlPr>
              <w:rPr>
                <w:rFonts w:ascii="Cambria Math" w:hAnsi="Cambria Math"/>
                <w:i/>
                <w:sz w:val="30"/>
                <w:szCs w:val="30"/>
              </w:rPr>
            </m:ctrlPr>
          </m:naryPr>
          <m:sub>
            <m:r>
              <w:rPr>
                <w:rFonts w:ascii="Cambria Math" w:hAnsi="Cambria Math"/>
                <w:sz w:val="30"/>
                <w:szCs w:val="30"/>
              </w:rPr>
              <m:t>t=1</m:t>
            </m:r>
          </m:sub>
          <m:sup>
            <m:r>
              <w:rPr>
                <w:rFonts w:ascii="Cambria Math" w:hAnsi="Cambria Math"/>
                <w:sz w:val="30"/>
                <w:szCs w:val="30"/>
              </w:rPr>
              <m:t>n</m:t>
            </m:r>
          </m:sup>
          <m:e>
            <m:f>
              <m:fPr>
                <m:ctrlPr>
                  <w:rPr>
                    <w:rFonts w:ascii="Cambria Math" w:hAnsi="Cambria Math"/>
                    <w:i/>
                    <w:sz w:val="30"/>
                    <w:szCs w:val="30"/>
                  </w:rPr>
                </m:ctrlPr>
              </m:fPr>
              <m:num>
                <m:sSub>
                  <m:sSubPr>
                    <m:ctrlPr>
                      <w:rPr>
                        <w:rFonts w:ascii="Cambria Math" w:hAnsi="Cambria Math"/>
                        <w:i/>
                        <w:sz w:val="30"/>
                        <w:szCs w:val="30"/>
                      </w:rPr>
                    </m:ctrlPr>
                  </m:sSubPr>
                  <m:e>
                    <m:r>
                      <m:rPr>
                        <m:sty m:val="p"/>
                      </m:rPr>
                      <w:rPr>
                        <w:rFonts w:ascii="Cambria Math" w:hAnsi="Cambria Math" w:cs="Cambria Math"/>
                        <w:sz w:val="30"/>
                        <w:szCs w:val="30"/>
                      </w:rPr>
                      <m:t>RI</m:t>
                    </m:r>
                  </m:e>
                  <m:sub>
                    <m:r>
                      <m:rPr>
                        <m:sty m:val="p"/>
                      </m:rPr>
                      <w:rPr>
                        <w:rFonts w:ascii="Cambria Math" w:hAnsi="Cambria Math" w:cs="Cambria Math"/>
                        <w:sz w:val="30"/>
                        <w:szCs w:val="30"/>
                      </w:rPr>
                      <m:t>t</m:t>
                    </m:r>
                  </m:sub>
                </m:sSub>
              </m:num>
              <m:den>
                <m:sSup>
                  <m:sSupPr>
                    <m:ctrlPr>
                      <w:rPr>
                        <w:rFonts w:ascii="Cambria Math" w:hAnsi="Cambria Math"/>
                        <w:i/>
                        <w:sz w:val="30"/>
                        <w:szCs w:val="30"/>
                      </w:rPr>
                    </m:ctrlPr>
                  </m:sSupPr>
                  <m:e>
                    <m:r>
                      <m:rPr>
                        <m:sty m:val="p"/>
                      </m:rPr>
                      <w:rPr>
                        <w:rFonts w:ascii="Cambria Math" w:hAnsi="Cambria Math"/>
                        <w:sz w:val="30"/>
                        <w:szCs w:val="30"/>
                      </w:rPr>
                      <m:t>(1+</m:t>
                    </m:r>
                    <m:r>
                      <m:rPr>
                        <m:sty m:val="p"/>
                      </m:rPr>
                      <w:rPr>
                        <w:rFonts w:ascii="Cambria Math" w:hAnsi="Cambria Math" w:cs="Cambria Math"/>
                        <w:sz w:val="30"/>
                        <w:szCs w:val="30"/>
                      </w:rPr>
                      <m:t>r</m:t>
                    </m:r>
                    <m:r>
                      <m:rPr>
                        <m:sty m:val="p"/>
                      </m:rPr>
                      <w:rPr>
                        <w:rFonts w:ascii="Cambria Math" w:hAnsi="Cambria Math"/>
                        <w:sz w:val="30"/>
                        <w:szCs w:val="30"/>
                      </w:rPr>
                      <m:t>)</m:t>
                    </m:r>
                  </m:e>
                  <m:sup>
                    <m:r>
                      <m:rPr>
                        <m:sty m:val="p"/>
                      </m:rPr>
                      <w:rPr>
                        <w:rFonts w:ascii="Cambria Math" w:hAnsi="Cambria Math" w:cs="Cambria Math"/>
                        <w:sz w:val="30"/>
                        <w:szCs w:val="30"/>
                      </w:rPr>
                      <m:t>t</m:t>
                    </m:r>
                  </m:sup>
                </m:sSup>
              </m:den>
            </m:f>
          </m:e>
        </m:nary>
        <m:r>
          <m:rPr>
            <m:sty m:val="p"/>
          </m:rPr>
          <w:rPr>
            <w:rFonts w:ascii="Cambria Math" w:hAnsi="Cambria Math"/>
            <w:sz w:val="30"/>
            <w:szCs w:val="30"/>
          </w:rPr>
          <m:t>+</m:t>
        </m:r>
        <m:f>
          <m:fPr>
            <m:ctrlPr>
              <w:rPr>
                <w:rFonts w:ascii="Cambria Math" w:hAnsi="Cambria Math"/>
                <w:sz w:val="30"/>
                <w:szCs w:val="30"/>
              </w:rPr>
            </m:ctrlPr>
          </m:fPr>
          <m:num>
            <m:r>
              <m:rPr>
                <m:sty m:val="p"/>
              </m:rPr>
              <w:rPr>
                <w:rFonts w:ascii="Cambria Math" w:hAnsi="Cambria Math" w:cs="Cambria Math"/>
                <w:sz w:val="30"/>
                <w:szCs w:val="30"/>
              </w:rPr>
              <m:t>TV</m:t>
            </m:r>
          </m:num>
          <m:den>
            <m:sSup>
              <m:sSupPr>
                <m:ctrlPr>
                  <w:rPr>
                    <w:rFonts w:ascii="Cambria Math" w:hAnsi="Cambria Math"/>
                    <w:i/>
                    <w:sz w:val="30"/>
                    <w:szCs w:val="30"/>
                  </w:rPr>
                </m:ctrlPr>
              </m:sSupPr>
              <m:e>
                <m:r>
                  <m:rPr>
                    <m:sty m:val="p"/>
                  </m:rPr>
                  <w:rPr>
                    <w:rFonts w:ascii="Cambria Math" w:hAnsi="Cambria Math"/>
                    <w:sz w:val="30"/>
                    <w:szCs w:val="30"/>
                  </w:rPr>
                  <m:t>(1+</m:t>
                </m:r>
                <m:r>
                  <m:rPr>
                    <m:sty m:val="p"/>
                  </m:rPr>
                  <w:rPr>
                    <w:rFonts w:ascii="Cambria Math" w:hAnsi="Cambria Math" w:cs="Cambria Math"/>
                    <w:sz w:val="30"/>
                    <w:szCs w:val="30"/>
                  </w:rPr>
                  <m:t>r</m:t>
                </m:r>
                <m:r>
                  <m:rPr>
                    <m:sty m:val="p"/>
                  </m:rPr>
                  <w:rPr>
                    <w:rFonts w:ascii="Cambria Math" w:hAnsi="Cambria Math"/>
                    <w:sz w:val="30"/>
                    <w:szCs w:val="30"/>
                  </w:rPr>
                  <m:t>)</m:t>
                </m:r>
              </m:e>
              <m:sup>
                <m:r>
                  <m:rPr>
                    <m:sty m:val="p"/>
                  </m:rPr>
                  <w:rPr>
                    <w:rFonts w:ascii="Cambria Math" w:hAnsi="Cambria Math" w:cs="Cambria Math"/>
                    <w:sz w:val="30"/>
                    <w:szCs w:val="30"/>
                  </w:rPr>
                  <m:t>n</m:t>
                </m:r>
              </m:sup>
            </m:sSup>
          </m:den>
        </m:f>
      </m:oMath>
      <w:r w:rsidR="00A93978" w:rsidRPr="0022019D">
        <w:rPr>
          <w:sz w:val="30"/>
          <w:szCs w:val="30"/>
        </w:rPr>
        <w:t xml:space="preserve"> </w:t>
      </w:r>
    </w:p>
    <w:p w14:paraId="0D5C87A0" w14:textId="77777777" w:rsidR="00F140DF" w:rsidRPr="00F140DF" w:rsidRDefault="00F140DF" w:rsidP="00F140DF">
      <w:r w:rsidRPr="00F140DF">
        <w:lastRenderedPageBreak/>
        <w:t>여기서:</w:t>
      </w:r>
    </w:p>
    <w:p w14:paraId="31CBABF0" w14:textId="64792D87" w:rsidR="00F140DF" w:rsidRPr="00F140DF" w:rsidRDefault="00F140DF" w:rsidP="00F140DF">
      <w:pPr>
        <w:numPr>
          <w:ilvl w:val="0"/>
          <w:numId w:val="4"/>
        </w:numPr>
      </w:pPr>
      <w:r w:rsidRPr="00F140DF">
        <w:t>​</w:t>
      </w:r>
      <m:oMath>
        <m:sSub>
          <m:sSubPr>
            <m:ctrlPr>
              <w:rPr>
                <w:rFonts w:ascii="Cambria Math" w:hAnsi="Cambria Math"/>
                <w:i/>
              </w:rPr>
            </m:ctrlPr>
          </m:sSubPr>
          <m:e>
            <m:r>
              <m:rPr>
                <m:sty m:val="p"/>
              </m:rPr>
              <w:rPr>
                <w:rFonts w:ascii="Cambria Math" w:hAnsi="Cambria Math" w:cs="Cambria Math"/>
              </w:rPr>
              <m:t>B</m:t>
            </m:r>
          </m:e>
          <m:sub>
            <m:r>
              <m:rPr>
                <m:sty m:val="p"/>
              </m:rPr>
              <w:rPr>
                <w:rFonts w:ascii="Cambria Math" w:hAnsi="Cambria Math"/>
              </w:rPr>
              <m:t>0</m:t>
            </m:r>
          </m:sub>
        </m:sSub>
      </m:oMath>
      <w:r w:rsidRPr="00F140DF">
        <w:t xml:space="preserve"> : 현재의 장부가치</w:t>
      </w:r>
    </w:p>
    <w:p w14:paraId="6D8FF379" w14:textId="738D0F4A" w:rsidR="00F140DF" w:rsidRPr="00F140DF" w:rsidRDefault="00F356CC" w:rsidP="00F140DF">
      <w:pPr>
        <w:numPr>
          <w:ilvl w:val="0"/>
          <w:numId w:val="4"/>
        </w:numPr>
      </w:pPr>
      <m:oMath>
        <m:sSub>
          <m:sSubPr>
            <m:ctrlPr>
              <w:rPr>
                <w:rFonts w:ascii="Cambria Math" w:hAnsi="Cambria Math" w:cs="Cambria Math"/>
                <w:i/>
              </w:rPr>
            </m:ctrlPr>
          </m:sSubPr>
          <m:e>
            <m:r>
              <m:rPr>
                <m:sty m:val="p"/>
              </m:rPr>
              <w:rPr>
                <w:rFonts w:ascii="Cambria Math" w:hAnsi="Cambria Math" w:cs="Cambria Math"/>
              </w:rPr>
              <m:t>RI</m:t>
            </m:r>
          </m:e>
          <m:sub>
            <m:r>
              <m:rPr>
                <m:sty m:val="p"/>
              </m:rPr>
              <w:rPr>
                <w:rFonts w:ascii="Cambria Math" w:hAnsi="Cambria Math" w:cs="Cambria Math"/>
              </w:rPr>
              <m:t>t</m:t>
            </m:r>
          </m:sub>
        </m:sSub>
      </m:oMath>
      <w:r w:rsidR="00F140DF" w:rsidRPr="00F140DF">
        <w:t xml:space="preserve"> : t시점의 잉여이익</w:t>
      </w:r>
    </w:p>
    <w:p w14:paraId="467C4844" w14:textId="28010C29" w:rsidR="00F140DF" w:rsidRPr="00F140DF" w:rsidRDefault="00F140DF" w:rsidP="00F140DF">
      <w:pPr>
        <w:numPr>
          <w:ilvl w:val="0"/>
          <w:numId w:val="4"/>
        </w:numPr>
      </w:pPr>
      <w:proofErr w:type="gramStart"/>
      <w:r w:rsidRPr="00F140DF">
        <w:rPr>
          <w:rFonts w:ascii="Cambria Math" w:hAnsi="Cambria Math" w:cs="Cambria Math"/>
        </w:rPr>
        <w:t>𝑟</w:t>
      </w:r>
      <w:r w:rsidRPr="00F140DF">
        <w:t xml:space="preserve"> :</w:t>
      </w:r>
      <w:proofErr w:type="gramEnd"/>
      <w:r w:rsidRPr="00F140DF">
        <w:t xml:space="preserve"> 자본 비용</w:t>
      </w:r>
    </w:p>
    <w:p w14:paraId="28ED3458" w14:textId="22AF2CA6" w:rsidR="00F140DF" w:rsidRPr="00F140DF" w:rsidRDefault="00F140DF" w:rsidP="00F140DF">
      <w:pPr>
        <w:numPr>
          <w:ilvl w:val="0"/>
          <w:numId w:val="4"/>
        </w:numPr>
      </w:pPr>
      <w:r w:rsidRPr="00F140DF">
        <w:rPr>
          <w:rFonts w:ascii="Cambria Math" w:hAnsi="Cambria Math" w:cs="Cambria Math"/>
        </w:rPr>
        <w:t>𝑇𝑉</w:t>
      </w:r>
      <w:r w:rsidRPr="00F140DF">
        <w:t>: 잔존가치 (Terminal Value), n년 후의 기업 가치</w:t>
      </w:r>
    </w:p>
    <w:p w14:paraId="2EFDCD11" w14:textId="77777777" w:rsidR="00F140DF" w:rsidRPr="00F140DF" w:rsidRDefault="00F140DF" w:rsidP="00F140DF">
      <w:pPr>
        <w:rPr>
          <w:b/>
          <w:bCs/>
        </w:rPr>
      </w:pPr>
      <w:r w:rsidRPr="00F140DF">
        <w:rPr>
          <w:b/>
          <w:bCs/>
        </w:rPr>
        <w:t>잉여이익의 잔존가치 계산</w:t>
      </w:r>
    </w:p>
    <w:p w14:paraId="59B0C863" w14:textId="77777777" w:rsidR="00F140DF" w:rsidRPr="00F140DF" w:rsidRDefault="00F140DF" w:rsidP="00F140DF">
      <w:r w:rsidRPr="00F140DF">
        <w:t>보통 잔존가치는 잉여이익이 일정한 비율로 성장한다고 가정하여 계산합니다:</w:t>
      </w:r>
    </w:p>
    <w:p w14:paraId="6E04552E" w14:textId="5DF80FCA" w:rsidR="00F140DF" w:rsidRPr="00F140DF" w:rsidRDefault="00F140DF" w:rsidP="003C103A">
      <w:pPr>
        <w:ind w:firstLine="800"/>
        <w:rPr>
          <w:sz w:val="30"/>
          <w:szCs w:val="30"/>
        </w:rPr>
      </w:pPr>
      <w:r w:rsidRPr="00F140DF">
        <w:rPr>
          <w:rFonts w:ascii="Cambria Math" w:hAnsi="Cambria Math" w:cs="Cambria Math"/>
          <w:sz w:val="30"/>
          <w:szCs w:val="30"/>
        </w:rPr>
        <w:t>𝑇𝑉</w:t>
      </w:r>
      <w:r w:rsidRPr="00F140DF">
        <w:rPr>
          <w:sz w:val="30"/>
          <w:szCs w:val="30"/>
        </w:rPr>
        <w:t>=</w:t>
      </w:r>
      <w:r w:rsidR="00F356CC" w:rsidRPr="00F356CC">
        <w:rPr>
          <w:rFonts w:ascii="Cambria Math" w:hAnsi="Cambria Math"/>
          <w:i/>
          <w:sz w:val="30"/>
          <w:szCs w:val="30"/>
        </w:rPr>
        <w:t xml:space="preserve"> </w:t>
      </w:r>
      <m:oMath>
        <m:f>
          <m:fPr>
            <m:ctrlPr>
              <w:rPr>
                <w:rFonts w:ascii="Cambria Math" w:hAnsi="Cambria Math"/>
                <w:i/>
                <w:sz w:val="30"/>
                <w:szCs w:val="30"/>
              </w:rPr>
            </m:ctrlPr>
          </m:fPr>
          <m:num>
            <m:sSub>
              <m:sSubPr>
                <m:ctrlPr>
                  <w:rPr>
                    <w:rFonts w:ascii="Cambria Math" w:hAnsi="Cambria Math"/>
                    <w:i/>
                    <w:sz w:val="30"/>
                    <w:szCs w:val="30"/>
                  </w:rPr>
                </m:ctrlPr>
              </m:sSubPr>
              <m:e>
                <m:r>
                  <m:rPr>
                    <m:sty m:val="p"/>
                  </m:rPr>
                  <w:rPr>
                    <w:rFonts w:ascii="Cambria Math" w:hAnsi="Cambria Math" w:cs="Cambria Math"/>
                    <w:sz w:val="30"/>
                    <w:szCs w:val="30"/>
                  </w:rPr>
                  <m:t>RI</m:t>
                </m:r>
              </m:e>
              <m:sub>
                <m:r>
                  <m:rPr>
                    <m:sty m:val="p"/>
                  </m:rPr>
                  <w:rPr>
                    <w:rFonts w:ascii="Cambria Math" w:hAnsi="Cambria Math" w:cs="Cambria Math"/>
                    <w:sz w:val="30"/>
                    <w:szCs w:val="30"/>
                  </w:rPr>
                  <m:t>n</m:t>
                </m:r>
                <m:r>
                  <m:rPr>
                    <m:sty m:val="p"/>
                  </m:rPr>
                  <w:rPr>
                    <w:rFonts w:ascii="Cambria Math" w:hAnsi="Cambria Math"/>
                    <w:sz w:val="30"/>
                    <w:szCs w:val="30"/>
                  </w:rPr>
                  <m:t>+1</m:t>
                </m:r>
              </m:sub>
            </m:sSub>
          </m:num>
          <m:den>
            <m:r>
              <m:rPr>
                <m:sty m:val="p"/>
              </m:rPr>
              <w:rPr>
                <w:rFonts w:ascii="Cambria Math" w:hAnsi="Cambria Math" w:cs="Cambria Math"/>
                <w:sz w:val="30"/>
                <w:szCs w:val="30"/>
              </w:rPr>
              <m:t>r</m:t>
            </m:r>
            <m:r>
              <m:rPr>
                <m:sty m:val="p"/>
              </m:rPr>
              <w:rPr>
                <w:rFonts w:ascii="Cambria Math" w:eastAsia="바탕" w:hAnsi="Cambria Math" w:cs="바탕" w:hint="eastAsia"/>
                <w:sz w:val="30"/>
                <w:szCs w:val="30"/>
              </w:rPr>
              <m:t>-</m:t>
            </m:r>
            <m:r>
              <m:rPr>
                <m:sty m:val="p"/>
              </m:rPr>
              <w:rPr>
                <w:rFonts w:ascii="Cambria Math" w:hAnsi="Cambria Math" w:cs="Cambria Math"/>
                <w:sz w:val="30"/>
                <w:szCs w:val="30"/>
              </w:rPr>
              <m:t>g</m:t>
            </m:r>
            <m:r>
              <m:rPr>
                <m:sty m:val="p"/>
              </m:rPr>
              <w:rPr>
                <w:rFonts w:ascii="Cambria Math" w:hAnsi="Cambria Math"/>
                <w:sz w:val="30"/>
                <w:szCs w:val="30"/>
              </w:rPr>
              <m:t>​</m:t>
            </m:r>
          </m:den>
        </m:f>
      </m:oMath>
      <w:r w:rsidR="00F356CC" w:rsidRPr="00F356CC">
        <w:rPr>
          <w:sz w:val="30"/>
          <w:szCs w:val="30"/>
        </w:rPr>
        <w:t xml:space="preserve"> </w:t>
      </w:r>
      <w:r w:rsidRPr="00F140DF">
        <w:rPr>
          <w:sz w:val="30"/>
          <w:szCs w:val="30"/>
        </w:rPr>
        <w:t>​</w:t>
      </w:r>
    </w:p>
    <w:p w14:paraId="3744B009" w14:textId="77777777" w:rsidR="00F140DF" w:rsidRPr="00F140DF" w:rsidRDefault="00F140DF" w:rsidP="00F140DF">
      <w:r w:rsidRPr="00F140DF">
        <w:t>여기서:</w:t>
      </w:r>
    </w:p>
    <w:p w14:paraId="61221984" w14:textId="3163E7C7" w:rsidR="00F140DF" w:rsidRPr="00F140DF" w:rsidRDefault="0003686D" w:rsidP="00F140DF">
      <w:pPr>
        <w:numPr>
          <w:ilvl w:val="0"/>
          <w:numId w:val="5"/>
        </w:numPr>
      </w:pPr>
      <m:oMath>
        <m:sSub>
          <m:sSubPr>
            <m:ctrlPr>
              <w:rPr>
                <w:rFonts w:ascii="Cambria Math" w:hAnsi="Cambria Math"/>
                <w:i/>
              </w:rPr>
            </m:ctrlPr>
          </m:sSubPr>
          <m:e>
            <m:r>
              <m:rPr>
                <m:sty m:val="p"/>
              </m:rPr>
              <w:rPr>
                <w:rFonts w:ascii="Cambria Math" w:hAnsi="Cambria Math" w:cs="Cambria Math"/>
              </w:rPr>
              <m:t>RI</m:t>
            </m:r>
          </m:e>
          <m:sub>
            <m:r>
              <m:rPr>
                <m:sty m:val="p"/>
              </m:rPr>
              <w:rPr>
                <w:rFonts w:ascii="Cambria Math" w:hAnsi="Cambria Math" w:cs="Cambria Math"/>
              </w:rPr>
              <m:t>n</m:t>
            </m:r>
            <m:r>
              <m:rPr>
                <m:sty m:val="p"/>
              </m:rPr>
              <w:rPr>
                <w:rFonts w:ascii="Cambria Math" w:hAnsi="Cambria Math"/>
              </w:rPr>
              <m:t>+1</m:t>
            </m:r>
          </m:sub>
        </m:sSub>
      </m:oMath>
      <w:proofErr w:type="gramStart"/>
      <w:r w:rsidR="00F140DF" w:rsidRPr="00F140DF">
        <w:t>​ :</w:t>
      </w:r>
      <w:proofErr w:type="gramEnd"/>
      <w:r w:rsidR="00F140DF" w:rsidRPr="00F140DF">
        <w:t xml:space="preserve"> 마지막 예측 기간 이후 첫 번째 해의 잉여이익</w:t>
      </w:r>
    </w:p>
    <w:p w14:paraId="7439CB65" w14:textId="64B7C182" w:rsidR="00F140DF" w:rsidRPr="00F140DF" w:rsidRDefault="00F140DF" w:rsidP="00F140DF">
      <w:pPr>
        <w:numPr>
          <w:ilvl w:val="0"/>
          <w:numId w:val="5"/>
        </w:numPr>
      </w:pPr>
      <w:proofErr w:type="gramStart"/>
      <w:r w:rsidRPr="00F140DF">
        <w:rPr>
          <w:rFonts w:ascii="Cambria Math" w:hAnsi="Cambria Math" w:cs="Cambria Math"/>
        </w:rPr>
        <w:t>𝑔</w:t>
      </w:r>
      <w:r w:rsidRPr="00F140DF">
        <w:t xml:space="preserve"> :</w:t>
      </w:r>
      <w:proofErr w:type="gramEnd"/>
      <w:r w:rsidRPr="00F140DF">
        <w:t xml:space="preserve"> 잉여이익의 영구 성장률</w:t>
      </w:r>
    </w:p>
    <w:p w14:paraId="683CD7DA" w14:textId="77777777" w:rsidR="00F140DF" w:rsidRPr="00F140DF" w:rsidRDefault="00F140DF" w:rsidP="00F140DF">
      <w:pPr>
        <w:rPr>
          <w:b/>
          <w:bCs/>
        </w:rPr>
      </w:pPr>
      <w:proofErr w:type="spellStart"/>
      <w:r w:rsidRPr="00F140DF">
        <w:rPr>
          <w:b/>
          <w:bCs/>
        </w:rPr>
        <w:t>초과이익가치평가모형의</w:t>
      </w:r>
      <w:proofErr w:type="spellEnd"/>
      <w:r w:rsidRPr="00F140DF">
        <w:rPr>
          <w:b/>
          <w:bCs/>
        </w:rPr>
        <w:t xml:space="preserve"> 장점</w:t>
      </w:r>
    </w:p>
    <w:p w14:paraId="0131B146" w14:textId="77777777" w:rsidR="00F140DF" w:rsidRPr="00F140DF" w:rsidRDefault="00F140DF" w:rsidP="00F140DF">
      <w:pPr>
        <w:numPr>
          <w:ilvl w:val="0"/>
          <w:numId w:val="6"/>
        </w:numPr>
      </w:pPr>
      <w:r w:rsidRPr="00F140DF">
        <w:rPr>
          <w:b/>
          <w:bCs/>
        </w:rPr>
        <w:t>내재 가치 평가</w:t>
      </w:r>
      <w:r w:rsidRPr="00F140DF">
        <w:t>: 기업의 내재 가치를 평가하는 데 유용합니다.</w:t>
      </w:r>
    </w:p>
    <w:p w14:paraId="6A6A6D32" w14:textId="77777777" w:rsidR="00F140DF" w:rsidRPr="00F140DF" w:rsidRDefault="00F140DF" w:rsidP="00F140DF">
      <w:pPr>
        <w:numPr>
          <w:ilvl w:val="0"/>
          <w:numId w:val="6"/>
        </w:numPr>
      </w:pPr>
      <w:r w:rsidRPr="00F140DF">
        <w:rPr>
          <w:b/>
          <w:bCs/>
        </w:rPr>
        <w:t>자본 비용 고려</w:t>
      </w:r>
      <w:r w:rsidRPr="00F140DF">
        <w:t>: 자본 비용을 고려하여 실제 경제적 이익을 평가할 수 있습니다.</w:t>
      </w:r>
    </w:p>
    <w:p w14:paraId="0FEBFBCC" w14:textId="77777777" w:rsidR="00F140DF" w:rsidRPr="00F140DF" w:rsidRDefault="00F140DF" w:rsidP="00F140DF">
      <w:pPr>
        <w:numPr>
          <w:ilvl w:val="0"/>
          <w:numId w:val="6"/>
        </w:numPr>
      </w:pPr>
      <w:r w:rsidRPr="00F140DF">
        <w:rPr>
          <w:b/>
          <w:bCs/>
        </w:rPr>
        <w:t>회계 정보 활용</w:t>
      </w:r>
      <w:r w:rsidRPr="00F140DF">
        <w:t>: 회계 데이터를 기반으로 하기 때문에, 비교적 쉽게 적용할 수 있습니다.</w:t>
      </w:r>
    </w:p>
    <w:p w14:paraId="6B277DE0" w14:textId="77777777" w:rsidR="00F140DF" w:rsidRPr="00F140DF" w:rsidRDefault="00F140DF" w:rsidP="00F140DF">
      <w:pPr>
        <w:rPr>
          <w:b/>
          <w:bCs/>
        </w:rPr>
      </w:pPr>
      <w:proofErr w:type="spellStart"/>
      <w:r w:rsidRPr="00F140DF">
        <w:rPr>
          <w:b/>
          <w:bCs/>
        </w:rPr>
        <w:t>초과이익가치평가모형의</w:t>
      </w:r>
      <w:proofErr w:type="spellEnd"/>
      <w:r w:rsidRPr="00F140DF">
        <w:rPr>
          <w:b/>
          <w:bCs/>
        </w:rPr>
        <w:t xml:space="preserve"> 단점</w:t>
      </w:r>
    </w:p>
    <w:p w14:paraId="6514E020" w14:textId="77777777" w:rsidR="00F140DF" w:rsidRPr="00F140DF" w:rsidRDefault="00F140DF" w:rsidP="00F140DF">
      <w:pPr>
        <w:numPr>
          <w:ilvl w:val="0"/>
          <w:numId w:val="7"/>
        </w:numPr>
      </w:pPr>
      <w:r w:rsidRPr="00F140DF">
        <w:rPr>
          <w:b/>
          <w:bCs/>
        </w:rPr>
        <w:t>미래 예측의 어려움</w:t>
      </w:r>
      <w:r w:rsidRPr="00F140DF">
        <w:t>: 미래의 잉여이익을 정확히 예측하기 어렵습니다.</w:t>
      </w:r>
    </w:p>
    <w:p w14:paraId="6CE71F3D" w14:textId="77777777" w:rsidR="00F140DF" w:rsidRPr="00F140DF" w:rsidRDefault="00F140DF" w:rsidP="00F140DF">
      <w:pPr>
        <w:numPr>
          <w:ilvl w:val="0"/>
          <w:numId w:val="7"/>
        </w:numPr>
      </w:pPr>
      <w:r w:rsidRPr="00F140DF">
        <w:rPr>
          <w:b/>
          <w:bCs/>
        </w:rPr>
        <w:t>자본 비용의 추정</w:t>
      </w:r>
      <w:r w:rsidRPr="00F140DF">
        <w:t>: 자본 비용을 정확히 추정하는 것이 어려울 수 있습니다.</w:t>
      </w:r>
    </w:p>
    <w:p w14:paraId="79A64B69" w14:textId="77777777" w:rsidR="00F140DF" w:rsidRPr="00F140DF" w:rsidRDefault="00F140DF" w:rsidP="00F140DF">
      <w:pPr>
        <w:numPr>
          <w:ilvl w:val="0"/>
          <w:numId w:val="7"/>
        </w:numPr>
      </w:pPr>
      <w:r w:rsidRPr="00F140DF">
        <w:rPr>
          <w:b/>
          <w:bCs/>
        </w:rPr>
        <w:t>복잡성</w:t>
      </w:r>
      <w:r w:rsidRPr="00F140DF">
        <w:t>: 다른 가치 평가 모형보다 복잡할 수 있습니다.</w:t>
      </w:r>
    </w:p>
    <w:p w14:paraId="7BA7FCD8" w14:textId="77777777" w:rsidR="00F140DF" w:rsidRPr="00F140DF" w:rsidRDefault="00F140DF" w:rsidP="00F140DF">
      <w:pPr>
        <w:rPr>
          <w:b/>
          <w:bCs/>
        </w:rPr>
      </w:pPr>
      <w:r w:rsidRPr="00F140DF">
        <w:rPr>
          <w:b/>
          <w:bCs/>
        </w:rPr>
        <w:t>결론</w:t>
      </w:r>
    </w:p>
    <w:p w14:paraId="769BD47D" w14:textId="77777777" w:rsidR="00F140DF" w:rsidRPr="00F140DF" w:rsidRDefault="00F140DF" w:rsidP="00F140DF">
      <w:proofErr w:type="spellStart"/>
      <w:r w:rsidRPr="00F140DF">
        <w:t>초과이익가치평가모형은</w:t>
      </w:r>
      <w:proofErr w:type="spellEnd"/>
      <w:r w:rsidRPr="00F140DF">
        <w:t xml:space="preserve"> 자본 비용을 고려하여 기업의 초과이익을 평가함으로써, 기업의 내재 가치를 산정하는 데 유용한 도구입니다. 이 모형은 기업의 장부가치와 미래의 초과이익을 결합하여 종합적인 가치를 제공하며, 특히 순이익이 자본 비용을 초과하는 정도를 중시하는 투자자들에게 유용합니다. 그러나 미래 예측의 어려움과 자본 비용 추정의 어려움 때문에, 신중한 분석과 여러 가정을 기반으로 한 사용이 필요합니다.</w:t>
      </w:r>
    </w:p>
    <w:p w14:paraId="3CC91CA6" w14:textId="77777777" w:rsidR="00627035" w:rsidRPr="00F140DF" w:rsidRDefault="00627035"/>
    <w:sectPr w:rsidR="00627035" w:rsidRPr="00F140D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E7DF8"/>
    <w:multiLevelType w:val="multilevel"/>
    <w:tmpl w:val="C35E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9B6E4A"/>
    <w:multiLevelType w:val="multilevel"/>
    <w:tmpl w:val="CAA8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A76DCE"/>
    <w:multiLevelType w:val="multilevel"/>
    <w:tmpl w:val="98626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3D496C"/>
    <w:multiLevelType w:val="multilevel"/>
    <w:tmpl w:val="0A188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91A4B0E"/>
    <w:multiLevelType w:val="multilevel"/>
    <w:tmpl w:val="1C2C3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C8417E"/>
    <w:multiLevelType w:val="multilevel"/>
    <w:tmpl w:val="857C5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420E20"/>
    <w:multiLevelType w:val="multilevel"/>
    <w:tmpl w:val="42307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23861076">
    <w:abstractNumId w:val="5"/>
  </w:num>
  <w:num w:numId="2" w16cid:durableId="1543052919">
    <w:abstractNumId w:val="2"/>
  </w:num>
  <w:num w:numId="3" w16cid:durableId="1030687157">
    <w:abstractNumId w:val="4"/>
  </w:num>
  <w:num w:numId="4" w16cid:durableId="316154484">
    <w:abstractNumId w:val="1"/>
  </w:num>
  <w:num w:numId="5" w16cid:durableId="1687167745">
    <w:abstractNumId w:val="6"/>
  </w:num>
  <w:num w:numId="6" w16cid:durableId="1984458520">
    <w:abstractNumId w:val="0"/>
  </w:num>
  <w:num w:numId="7" w16cid:durableId="7712466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0DF"/>
    <w:rsid w:val="0003686D"/>
    <w:rsid w:val="0022019D"/>
    <w:rsid w:val="003C103A"/>
    <w:rsid w:val="00627035"/>
    <w:rsid w:val="00801A0B"/>
    <w:rsid w:val="00873390"/>
    <w:rsid w:val="009F731D"/>
    <w:rsid w:val="00A93978"/>
    <w:rsid w:val="00E3095D"/>
    <w:rsid w:val="00F140DF"/>
    <w:rsid w:val="00F356C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C9A3C"/>
  <w15:chartTrackingRefBased/>
  <w15:docId w15:val="{74B0436D-37ED-450C-9828-C05EC7341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F140DF"/>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F140DF"/>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F140DF"/>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F140DF"/>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F140DF"/>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F140DF"/>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F140DF"/>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F140DF"/>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F140DF"/>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F140DF"/>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F140DF"/>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F140DF"/>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F140DF"/>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F140DF"/>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F140DF"/>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F140DF"/>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F140DF"/>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F140DF"/>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F140D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F140DF"/>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F140D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F140DF"/>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F140DF"/>
    <w:pPr>
      <w:spacing w:before="160"/>
      <w:jc w:val="center"/>
    </w:pPr>
    <w:rPr>
      <w:i/>
      <w:iCs/>
      <w:color w:val="404040" w:themeColor="text1" w:themeTint="BF"/>
    </w:rPr>
  </w:style>
  <w:style w:type="character" w:customStyle="1" w:styleId="Char1">
    <w:name w:val="인용 Char"/>
    <w:basedOn w:val="a0"/>
    <w:link w:val="a5"/>
    <w:uiPriority w:val="29"/>
    <w:rsid w:val="00F140DF"/>
    <w:rPr>
      <w:i/>
      <w:iCs/>
      <w:color w:val="404040" w:themeColor="text1" w:themeTint="BF"/>
    </w:rPr>
  </w:style>
  <w:style w:type="paragraph" w:styleId="a6">
    <w:name w:val="List Paragraph"/>
    <w:basedOn w:val="a"/>
    <w:uiPriority w:val="34"/>
    <w:qFormat/>
    <w:rsid w:val="00F140DF"/>
    <w:pPr>
      <w:ind w:left="720"/>
      <w:contextualSpacing/>
    </w:pPr>
  </w:style>
  <w:style w:type="character" w:styleId="a7">
    <w:name w:val="Intense Emphasis"/>
    <w:basedOn w:val="a0"/>
    <w:uiPriority w:val="21"/>
    <w:qFormat/>
    <w:rsid w:val="00F140DF"/>
    <w:rPr>
      <w:i/>
      <w:iCs/>
      <w:color w:val="0F4761" w:themeColor="accent1" w:themeShade="BF"/>
    </w:rPr>
  </w:style>
  <w:style w:type="paragraph" w:styleId="a8">
    <w:name w:val="Intense Quote"/>
    <w:basedOn w:val="a"/>
    <w:next w:val="a"/>
    <w:link w:val="Char2"/>
    <w:uiPriority w:val="30"/>
    <w:qFormat/>
    <w:rsid w:val="00F140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F140DF"/>
    <w:rPr>
      <w:i/>
      <w:iCs/>
      <w:color w:val="0F4761" w:themeColor="accent1" w:themeShade="BF"/>
    </w:rPr>
  </w:style>
  <w:style w:type="character" w:styleId="a9">
    <w:name w:val="Intense Reference"/>
    <w:basedOn w:val="a0"/>
    <w:uiPriority w:val="32"/>
    <w:qFormat/>
    <w:rsid w:val="00F140DF"/>
    <w:rPr>
      <w:b/>
      <w:bCs/>
      <w:smallCaps/>
      <w:color w:val="0F4761" w:themeColor="accent1" w:themeShade="BF"/>
      <w:spacing w:val="5"/>
    </w:rPr>
  </w:style>
  <w:style w:type="character" w:styleId="aa">
    <w:name w:val="Placeholder Text"/>
    <w:basedOn w:val="a0"/>
    <w:uiPriority w:val="99"/>
    <w:semiHidden/>
    <w:rsid w:val="003C103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688612">
      <w:bodyDiv w:val="1"/>
      <w:marLeft w:val="0"/>
      <w:marRight w:val="0"/>
      <w:marTop w:val="0"/>
      <w:marBottom w:val="0"/>
      <w:divBdr>
        <w:top w:val="none" w:sz="0" w:space="0" w:color="auto"/>
        <w:left w:val="none" w:sz="0" w:space="0" w:color="auto"/>
        <w:bottom w:val="none" w:sz="0" w:space="0" w:color="auto"/>
        <w:right w:val="none" w:sz="0" w:space="0" w:color="auto"/>
      </w:divBdr>
    </w:div>
    <w:div w:id="23501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262</Words>
  <Characters>1497</Characters>
  <Application>Microsoft Office Word</Application>
  <DocSecurity>0</DocSecurity>
  <Lines>12</Lines>
  <Paragraphs>3</Paragraphs>
  <ScaleCrop>false</ScaleCrop>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재환 김</dc:creator>
  <cp:keywords/>
  <dc:description/>
  <cp:lastModifiedBy>재환 김</cp:lastModifiedBy>
  <cp:revision>8</cp:revision>
  <dcterms:created xsi:type="dcterms:W3CDTF">2024-05-18T18:43:00Z</dcterms:created>
  <dcterms:modified xsi:type="dcterms:W3CDTF">2024-05-18T18:50:00Z</dcterms:modified>
</cp:coreProperties>
</file>