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41359" w14:textId="77777777" w:rsidR="008107BB" w:rsidRPr="008107BB" w:rsidRDefault="008107BB" w:rsidP="008107BB">
      <w:r w:rsidRPr="008107BB">
        <w:t>옵션의 내재변동성(IV, Implied Volatility)은 옵션의 가격에 반영된 기초 자산의 예상 변동성을 나타냅니다. 이는 옵션 시장에서 참가자들이 향후 기초 자산의 가격 변동성을 어떻게 예상하는지를 보여주는 중요한 지표입니다.</w:t>
      </w:r>
    </w:p>
    <w:p w14:paraId="6AA72B06" w14:textId="77777777" w:rsidR="008107BB" w:rsidRPr="008107BB" w:rsidRDefault="008107BB" w:rsidP="008107BB">
      <w:pPr>
        <w:rPr>
          <w:b/>
          <w:bCs/>
        </w:rPr>
      </w:pPr>
      <w:r w:rsidRPr="008107BB">
        <w:rPr>
          <w:b/>
          <w:bCs/>
        </w:rPr>
        <w:t>내재변동성의 정의</w:t>
      </w:r>
    </w:p>
    <w:p w14:paraId="2A2A8263" w14:textId="77777777" w:rsidR="008107BB" w:rsidRPr="008107BB" w:rsidRDefault="008107BB" w:rsidP="008107BB">
      <w:r w:rsidRPr="008107BB">
        <w:t>내재변동성은 옵션의 현재 시장 가격을 설명하는 데 필요한 변동성 수준입니다. 블랙-</w:t>
      </w:r>
      <w:proofErr w:type="spellStart"/>
      <w:r w:rsidRPr="008107BB">
        <w:t>숄즈</w:t>
      </w:r>
      <w:proofErr w:type="spellEnd"/>
      <w:r w:rsidRPr="008107BB">
        <w:t xml:space="preserve">(Black-Scholes) 모델과 같은 옵션 가격 결정 모델을 사용하여, 옵션의 시장 가격과 일치하는 변동성 값을 계산하여 도출됩니다. 내재변동성은 옵션 가격을 주어진 </w:t>
      </w:r>
      <w:proofErr w:type="spellStart"/>
      <w:r w:rsidRPr="008107BB">
        <w:t>입력값</w:t>
      </w:r>
      <w:proofErr w:type="spellEnd"/>
      <w:r w:rsidRPr="008107BB">
        <w:t xml:space="preserve">(기초 자산 가격, 행사가, 만기일, </w:t>
      </w:r>
      <w:proofErr w:type="spellStart"/>
      <w:r w:rsidRPr="008107BB">
        <w:t>무위험</w:t>
      </w:r>
      <w:proofErr w:type="spellEnd"/>
      <w:r w:rsidRPr="008107BB">
        <w:t xml:space="preserve"> 이자율 등)으로 설정한 후, 변동성을 반영한 값을 찾는 과정입니다.</w:t>
      </w:r>
    </w:p>
    <w:p w14:paraId="3BD8D772" w14:textId="77777777" w:rsidR="008107BB" w:rsidRPr="008107BB" w:rsidRDefault="008107BB" w:rsidP="008107BB">
      <w:pPr>
        <w:rPr>
          <w:b/>
          <w:bCs/>
        </w:rPr>
      </w:pPr>
      <w:r w:rsidRPr="008107BB">
        <w:rPr>
          <w:b/>
          <w:bCs/>
        </w:rPr>
        <w:t>내재변동성의 역할</w:t>
      </w:r>
    </w:p>
    <w:p w14:paraId="08CE1532" w14:textId="77777777" w:rsidR="008107BB" w:rsidRPr="008107BB" w:rsidRDefault="008107BB" w:rsidP="008107BB">
      <w:pPr>
        <w:numPr>
          <w:ilvl w:val="0"/>
          <w:numId w:val="3"/>
        </w:numPr>
      </w:pPr>
      <w:r w:rsidRPr="008107BB">
        <w:rPr>
          <w:b/>
          <w:bCs/>
        </w:rPr>
        <w:t>시장 기대 반영</w:t>
      </w:r>
      <w:r w:rsidRPr="008107BB">
        <w:t>: 내재변동성은 시장 참가자들이 향후 기초 자산의 변동성을 어떻게 예상하는지를 나타냅니다. 높은 내재변동성은 높은 변동성을 예상하고, 낮은 내재변동성은 낮은 변동성을 예상하는 것을 의미합니다.</w:t>
      </w:r>
    </w:p>
    <w:p w14:paraId="650FDE67" w14:textId="77777777" w:rsidR="008107BB" w:rsidRPr="008107BB" w:rsidRDefault="008107BB" w:rsidP="008107BB">
      <w:pPr>
        <w:numPr>
          <w:ilvl w:val="0"/>
          <w:numId w:val="3"/>
        </w:numPr>
      </w:pPr>
      <w:r w:rsidRPr="008107BB">
        <w:rPr>
          <w:b/>
          <w:bCs/>
        </w:rPr>
        <w:t>옵션 프리미엄 영향</w:t>
      </w:r>
      <w:r w:rsidRPr="008107BB">
        <w:t>: 내재변동성은 옵션의 프리미엄(가격)에 직접적인 영향을 미칩니다. 변동성이 높을수록 옵션의 프리미엄이 높아지고, 변동성이 낮을수록 옵션의 프리미엄이 낮아집니다.</w:t>
      </w:r>
    </w:p>
    <w:p w14:paraId="2CD3FAF3" w14:textId="77777777" w:rsidR="008107BB" w:rsidRPr="008107BB" w:rsidRDefault="008107BB" w:rsidP="008107BB">
      <w:pPr>
        <w:numPr>
          <w:ilvl w:val="0"/>
          <w:numId w:val="3"/>
        </w:numPr>
      </w:pPr>
      <w:r w:rsidRPr="008107BB">
        <w:rPr>
          <w:b/>
          <w:bCs/>
        </w:rPr>
        <w:t>투자 전략 수립</w:t>
      </w:r>
      <w:r w:rsidRPr="008107BB">
        <w:t>: 투자자들은 내재변동성을 분석하여 옵션의 매수 또는 매도 전략을 수립합니다. 예를 들어, 내재변동성이 과대평가되었다고 판단되면 옵션을 매도하고, 과소평가되었다고 판단되면 옵션을 매수할 수 있습니다.</w:t>
      </w:r>
    </w:p>
    <w:p w14:paraId="5B4EF479" w14:textId="77777777" w:rsidR="008107BB" w:rsidRPr="008107BB" w:rsidRDefault="008107BB" w:rsidP="008107BB">
      <w:pPr>
        <w:rPr>
          <w:b/>
          <w:bCs/>
        </w:rPr>
      </w:pPr>
      <w:r w:rsidRPr="008107BB">
        <w:rPr>
          <w:b/>
          <w:bCs/>
        </w:rPr>
        <w:t>내재변동성의 계산</w:t>
      </w:r>
    </w:p>
    <w:p w14:paraId="7F05A8A2" w14:textId="77777777" w:rsidR="008107BB" w:rsidRPr="008107BB" w:rsidRDefault="008107BB" w:rsidP="008107BB">
      <w:r w:rsidRPr="008107BB">
        <w:t>내재변동성은 블랙-</w:t>
      </w:r>
      <w:proofErr w:type="spellStart"/>
      <w:r w:rsidRPr="008107BB">
        <w:t>숄즈</w:t>
      </w:r>
      <w:proofErr w:type="spellEnd"/>
      <w:r w:rsidRPr="008107BB">
        <w:t xml:space="preserve"> 모델을 사용하여 다음과 같은 방법으로 계산됩니다:</w:t>
      </w:r>
    </w:p>
    <w:p w14:paraId="17235786" w14:textId="77777777" w:rsidR="008107BB" w:rsidRPr="008107BB" w:rsidRDefault="008107BB" w:rsidP="008107BB">
      <w:pPr>
        <w:numPr>
          <w:ilvl w:val="0"/>
          <w:numId w:val="4"/>
        </w:numPr>
      </w:pPr>
      <w:r w:rsidRPr="008107BB">
        <w:rPr>
          <w:b/>
          <w:bCs/>
        </w:rPr>
        <w:t>옵션 가격 결정 모델 적용</w:t>
      </w:r>
      <w:r w:rsidRPr="008107BB">
        <w:t>: 블랙-</w:t>
      </w:r>
      <w:proofErr w:type="spellStart"/>
      <w:r w:rsidRPr="008107BB">
        <w:t>숄즈</w:t>
      </w:r>
      <w:proofErr w:type="spellEnd"/>
      <w:r w:rsidRPr="008107BB">
        <w:t xml:space="preserve"> 모델을 사용하여 옵션 가격을 계산합니다. 모델의 기본 식은 다음과 같습니다:</w:t>
      </w:r>
    </w:p>
    <w:p w14:paraId="41E16F25" w14:textId="77777777" w:rsidR="008107BB" w:rsidRPr="008107BB" w:rsidRDefault="008107BB" w:rsidP="008107BB">
      <w:r w:rsidRPr="008107BB">
        <w:rPr>
          <w:rFonts w:ascii="Cambria Math" w:hAnsi="Cambria Math" w:cs="Cambria Math"/>
        </w:rPr>
        <w:t>𝐶</w:t>
      </w:r>
      <w:r w:rsidRPr="008107BB">
        <w:t>=</w:t>
      </w:r>
      <w:r w:rsidRPr="008107BB">
        <w:rPr>
          <w:rFonts w:ascii="Cambria Math" w:hAnsi="Cambria Math" w:cs="Cambria Math"/>
        </w:rPr>
        <w:t>𝑆</w:t>
      </w:r>
      <w:r w:rsidRPr="008107BB">
        <w:t>0</w:t>
      </w:r>
      <w:r w:rsidRPr="008107BB">
        <w:rPr>
          <w:rFonts w:ascii="Cambria Math" w:hAnsi="Cambria Math" w:cs="Cambria Math"/>
        </w:rPr>
        <w:t>𝑁</w:t>
      </w:r>
      <w:r w:rsidRPr="008107BB">
        <w:t>(</w:t>
      </w:r>
      <w:r w:rsidRPr="008107BB">
        <w:rPr>
          <w:rFonts w:ascii="Cambria Math" w:hAnsi="Cambria Math" w:cs="Cambria Math"/>
        </w:rPr>
        <w:t>𝑑</w:t>
      </w:r>
      <w:r w:rsidRPr="008107BB">
        <w:t>1)</w:t>
      </w:r>
      <w:r w:rsidRPr="008107BB">
        <w:rPr>
          <w:rFonts w:ascii="바탕" w:eastAsia="바탕" w:hAnsi="바탕" w:cs="바탕" w:hint="eastAsia"/>
        </w:rPr>
        <w:t>−</w:t>
      </w:r>
      <w:r w:rsidRPr="008107BB">
        <w:rPr>
          <w:rFonts w:ascii="Cambria Math" w:hAnsi="Cambria Math" w:cs="Cambria Math"/>
        </w:rPr>
        <w:t>𝑋𝑒</w:t>
      </w:r>
      <w:r w:rsidRPr="008107BB">
        <w:rPr>
          <w:rFonts w:ascii="바탕" w:eastAsia="바탕" w:hAnsi="바탕" w:cs="바탕" w:hint="eastAsia"/>
        </w:rPr>
        <w:t>−</w:t>
      </w:r>
      <w:r w:rsidRPr="008107BB">
        <w:rPr>
          <w:rFonts w:ascii="Cambria Math" w:hAnsi="Cambria Math" w:cs="Cambria Math"/>
        </w:rPr>
        <w:t>𝑟𝑇𝑁</w:t>
      </w:r>
      <w:r w:rsidRPr="008107BB">
        <w:t>(</w:t>
      </w:r>
      <w:r w:rsidRPr="008107BB">
        <w:rPr>
          <w:rFonts w:ascii="Cambria Math" w:hAnsi="Cambria Math" w:cs="Cambria Math"/>
        </w:rPr>
        <w:t>𝑑</w:t>
      </w:r>
      <w:r w:rsidRPr="008107BB">
        <w:t>2)</w:t>
      </w:r>
      <w:r w:rsidRPr="008107BB">
        <w:rPr>
          <w:i/>
          <w:iCs/>
        </w:rPr>
        <w:t>C</w:t>
      </w:r>
      <w:r w:rsidRPr="008107BB">
        <w:t>=</w:t>
      </w:r>
      <w:r w:rsidRPr="008107BB">
        <w:rPr>
          <w:i/>
          <w:iCs/>
        </w:rPr>
        <w:t>S</w:t>
      </w:r>
      <w:r w:rsidRPr="008107BB">
        <w:t>0​</w:t>
      </w:r>
      <w:r w:rsidRPr="008107BB">
        <w:rPr>
          <w:i/>
          <w:iCs/>
        </w:rPr>
        <w:t>N</w:t>
      </w:r>
      <w:r w:rsidRPr="008107BB">
        <w:t>(</w:t>
      </w:r>
      <w:r w:rsidRPr="008107BB">
        <w:rPr>
          <w:i/>
          <w:iCs/>
        </w:rPr>
        <w:t>d</w:t>
      </w:r>
      <w:r w:rsidRPr="008107BB">
        <w:t>1​)</w:t>
      </w:r>
      <w:r w:rsidRPr="008107BB">
        <w:rPr>
          <w:rFonts w:ascii="바탕" w:eastAsia="바탕" w:hAnsi="바탕" w:cs="바탕" w:hint="eastAsia"/>
        </w:rPr>
        <w:t>−</w:t>
      </w:r>
      <w:r w:rsidRPr="008107BB">
        <w:rPr>
          <w:i/>
          <w:iCs/>
        </w:rPr>
        <w:t>Xe</w:t>
      </w:r>
      <w:r w:rsidRPr="008107BB">
        <w:rPr>
          <w:rFonts w:ascii="바탕" w:eastAsia="바탕" w:hAnsi="바탕" w:cs="바탕" w:hint="eastAsia"/>
        </w:rPr>
        <w:t>−</w:t>
      </w:r>
      <w:proofErr w:type="spellStart"/>
      <w:r w:rsidRPr="008107BB">
        <w:rPr>
          <w:i/>
          <w:iCs/>
        </w:rPr>
        <w:t>rTN</w:t>
      </w:r>
      <w:proofErr w:type="spellEnd"/>
      <w:r w:rsidRPr="008107BB">
        <w:t>(</w:t>
      </w:r>
      <w:r w:rsidRPr="008107BB">
        <w:rPr>
          <w:i/>
          <w:iCs/>
        </w:rPr>
        <w:t>d</w:t>
      </w:r>
      <w:r w:rsidRPr="008107BB">
        <w:t>2​)</w:t>
      </w:r>
    </w:p>
    <w:p w14:paraId="0071B284" w14:textId="77777777" w:rsidR="008107BB" w:rsidRPr="008107BB" w:rsidRDefault="008107BB" w:rsidP="008107BB">
      <w:r w:rsidRPr="008107BB">
        <w:t xml:space="preserve">여기서 </w:t>
      </w:r>
      <w:r w:rsidRPr="008107BB">
        <w:rPr>
          <w:rFonts w:ascii="Cambria Math" w:hAnsi="Cambria Math" w:cs="Cambria Math"/>
        </w:rPr>
        <w:t>𝐶</w:t>
      </w:r>
      <w:r w:rsidRPr="008107BB">
        <w:rPr>
          <w:i/>
          <w:iCs/>
        </w:rPr>
        <w:t>C</w:t>
      </w:r>
      <w:r w:rsidRPr="008107BB">
        <w:t xml:space="preserve">는 Call 옵션 가격, </w:t>
      </w:r>
      <w:r w:rsidRPr="008107BB">
        <w:rPr>
          <w:rFonts w:ascii="Cambria Math" w:hAnsi="Cambria Math" w:cs="Cambria Math"/>
        </w:rPr>
        <w:t>𝑆</w:t>
      </w:r>
      <w:r w:rsidRPr="008107BB">
        <w:t>0</w:t>
      </w:r>
      <w:r w:rsidRPr="008107BB">
        <w:rPr>
          <w:i/>
          <w:iCs/>
        </w:rPr>
        <w:t>S</w:t>
      </w:r>
      <w:proofErr w:type="gramStart"/>
      <w:r w:rsidRPr="008107BB">
        <w:t>0​는</w:t>
      </w:r>
      <w:proofErr w:type="gramEnd"/>
      <w:r w:rsidRPr="008107BB">
        <w:t xml:space="preserve"> 현재 기초 자산 가격, </w:t>
      </w:r>
      <w:r w:rsidRPr="008107BB">
        <w:rPr>
          <w:rFonts w:ascii="Cambria Math" w:hAnsi="Cambria Math" w:cs="Cambria Math"/>
        </w:rPr>
        <w:t>𝑋</w:t>
      </w:r>
      <w:r w:rsidRPr="008107BB">
        <w:rPr>
          <w:i/>
          <w:iCs/>
        </w:rPr>
        <w:t>X</w:t>
      </w:r>
      <w:r w:rsidRPr="008107BB">
        <w:t xml:space="preserve">는 행사가, </w:t>
      </w:r>
      <w:r w:rsidRPr="008107BB">
        <w:rPr>
          <w:rFonts w:ascii="Cambria Math" w:hAnsi="Cambria Math" w:cs="Cambria Math"/>
        </w:rPr>
        <w:t>𝑟</w:t>
      </w:r>
      <w:r w:rsidRPr="008107BB">
        <w:rPr>
          <w:i/>
          <w:iCs/>
        </w:rPr>
        <w:t>r</w:t>
      </w:r>
      <w:r w:rsidRPr="008107BB">
        <w:t xml:space="preserve">는 </w:t>
      </w:r>
      <w:proofErr w:type="spellStart"/>
      <w:r w:rsidRPr="008107BB">
        <w:t>무위험</w:t>
      </w:r>
      <w:proofErr w:type="spellEnd"/>
      <w:r w:rsidRPr="008107BB">
        <w:t xml:space="preserve"> 이자율, </w:t>
      </w:r>
      <w:r w:rsidRPr="008107BB">
        <w:rPr>
          <w:rFonts w:ascii="Cambria Math" w:hAnsi="Cambria Math" w:cs="Cambria Math"/>
        </w:rPr>
        <w:t>𝑇</w:t>
      </w:r>
      <w:r w:rsidRPr="008107BB">
        <w:rPr>
          <w:i/>
          <w:iCs/>
        </w:rPr>
        <w:t>T</w:t>
      </w:r>
      <w:r w:rsidRPr="008107BB">
        <w:t xml:space="preserve">는 만기까지의 시간, </w:t>
      </w:r>
      <w:r w:rsidRPr="008107BB">
        <w:rPr>
          <w:rFonts w:ascii="Cambria Math" w:hAnsi="Cambria Math" w:cs="Cambria Math"/>
        </w:rPr>
        <w:t>𝑁</w:t>
      </w:r>
      <w:r w:rsidRPr="008107BB">
        <w:t>(</w:t>
      </w:r>
      <w:r w:rsidRPr="008107BB">
        <w:rPr>
          <w:rFonts w:ascii="MS Gothic" w:eastAsia="MS Gothic" w:hAnsi="MS Gothic" w:cs="MS Gothic" w:hint="eastAsia"/>
        </w:rPr>
        <w:t>⋅</w:t>
      </w:r>
      <w:r w:rsidRPr="008107BB">
        <w:t>)</w:t>
      </w:r>
      <w:r w:rsidRPr="008107BB">
        <w:rPr>
          <w:i/>
          <w:iCs/>
        </w:rPr>
        <w:t>N</w:t>
      </w:r>
      <w:r w:rsidRPr="008107BB">
        <w:t>(</w:t>
      </w:r>
      <w:r w:rsidRPr="008107BB">
        <w:rPr>
          <w:rFonts w:ascii="MS Gothic" w:eastAsia="MS Gothic" w:hAnsi="MS Gothic" w:cs="MS Gothic" w:hint="eastAsia"/>
        </w:rPr>
        <w:t>⋅</w:t>
      </w:r>
      <w:r w:rsidRPr="008107BB">
        <w:t xml:space="preserve">)는 누적 정규분포 함수입니다. </w:t>
      </w:r>
      <w:r w:rsidRPr="008107BB">
        <w:rPr>
          <w:rFonts w:ascii="Cambria Math" w:hAnsi="Cambria Math" w:cs="Cambria Math"/>
        </w:rPr>
        <w:t>𝑑</w:t>
      </w:r>
      <w:r w:rsidRPr="008107BB">
        <w:t>1</w:t>
      </w:r>
      <w:r w:rsidRPr="008107BB">
        <w:rPr>
          <w:i/>
          <w:iCs/>
        </w:rPr>
        <w:t>d</w:t>
      </w:r>
      <w:r w:rsidRPr="008107BB">
        <w:t xml:space="preserve">1​과 </w:t>
      </w:r>
      <w:r w:rsidRPr="008107BB">
        <w:rPr>
          <w:rFonts w:ascii="Cambria Math" w:hAnsi="Cambria Math" w:cs="Cambria Math"/>
        </w:rPr>
        <w:t>𝑑</w:t>
      </w:r>
      <w:r w:rsidRPr="008107BB">
        <w:t>2</w:t>
      </w:r>
      <w:r w:rsidRPr="008107BB">
        <w:rPr>
          <w:i/>
          <w:iCs/>
        </w:rPr>
        <w:t>d</w:t>
      </w:r>
      <w:proofErr w:type="gramStart"/>
      <w:r w:rsidRPr="008107BB">
        <w:t>2​는</w:t>
      </w:r>
      <w:proofErr w:type="gramEnd"/>
      <w:r w:rsidRPr="008107BB">
        <w:t xml:space="preserve"> 다음과 같이 계산됩니다:</w:t>
      </w:r>
    </w:p>
    <w:p w14:paraId="24DA1DCA" w14:textId="77777777" w:rsidR="008107BB" w:rsidRPr="008107BB" w:rsidRDefault="008107BB" w:rsidP="008107BB">
      <w:r w:rsidRPr="008107BB">
        <w:rPr>
          <w:rFonts w:ascii="Cambria Math" w:hAnsi="Cambria Math" w:cs="Cambria Math"/>
        </w:rPr>
        <w:t>𝑑</w:t>
      </w:r>
      <w:r w:rsidRPr="008107BB">
        <w:t>1=ln</w:t>
      </w:r>
      <w:r w:rsidRPr="008107BB">
        <w:rPr>
          <w:rFonts w:ascii="Cambria Math" w:hAnsi="Cambria Math" w:cs="Cambria Math"/>
        </w:rPr>
        <w:t>⁡</w:t>
      </w:r>
      <w:r w:rsidRPr="008107BB">
        <w:t>(</w:t>
      </w:r>
      <w:r w:rsidRPr="008107BB">
        <w:rPr>
          <w:rFonts w:ascii="Cambria Math" w:hAnsi="Cambria Math" w:cs="Cambria Math"/>
        </w:rPr>
        <w:t>𝑆</w:t>
      </w:r>
      <w:r w:rsidRPr="008107BB">
        <w:t>0/</w:t>
      </w:r>
      <w:proofErr w:type="gramStart"/>
      <w:r w:rsidRPr="008107BB">
        <w:rPr>
          <w:rFonts w:ascii="Cambria Math" w:hAnsi="Cambria Math" w:cs="Cambria Math"/>
        </w:rPr>
        <w:t>𝑋</w:t>
      </w:r>
      <w:r w:rsidRPr="008107BB">
        <w:t>)+(</w:t>
      </w:r>
      <w:proofErr w:type="gramEnd"/>
      <w:r w:rsidRPr="008107BB">
        <w:rPr>
          <w:rFonts w:ascii="Cambria Math" w:hAnsi="Cambria Math" w:cs="Cambria Math"/>
        </w:rPr>
        <w:t>𝑟</w:t>
      </w:r>
      <w:r w:rsidRPr="008107BB">
        <w:t>+</w:t>
      </w:r>
      <w:r w:rsidRPr="008107BB">
        <w:rPr>
          <w:rFonts w:ascii="Cambria Math" w:hAnsi="Cambria Math" w:cs="Cambria Math"/>
        </w:rPr>
        <w:t>𝜎</w:t>
      </w:r>
      <w:r w:rsidRPr="008107BB">
        <w:t>2/2)</w:t>
      </w:r>
      <w:r w:rsidRPr="008107BB">
        <w:rPr>
          <w:rFonts w:ascii="Cambria Math" w:hAnsi="Cambria Math" w:cs="Cambria Math"/>
        </w:rPr>
        <w:t>𝑇𝜎𝑇</w:t>
      </w:r>
      <w:r w:rsidRPr="008107BB">
        <w:rPr>
          <w:i/>
          <w:iCs/>
        </w:rPr>
        <w:t>d</w:t>
      </w:r>
      <w:r w:rsidRPr="008107BB">
        <w:t>1​=</w:t>
      </w:r>
      <w:proofErr w:type="spellStart"/>
      <w:r w:rsidRPr="008107BB">
        <w:rPr>
          <w:i/>
          <w:iCs/>
        </w:rPr>
        <w:t>σT</w:t>
      </w:r>
      <w:proofErr w:type="spellEnd"/>
      <w:r w:rsidRPr="008107BB">
        <w:t>​ln(</w:t>
      </w:r>
      <w:r w:rsidRPr="008107BB">
        <w:rPr>
          <w:i/>
          <w:iCs/>
        </w:rPr>
        <w:t>S</w:t>
      </w:r>
      <w:r w:rsidRPr="008107BB">
        <w:t>0​/</w:t>
      </w:r>
      <w:r w:rsidRPr="008107BB">
        <w:rPr>
          <w:i/>
          <w:iCs/>
        </w:rPr>
        <w:t>X</w:t>
      </w:r>
      <w:r w:rsidRPr="008107BB">
        <w:t>)+(</w:t>
      </w:r>
      <w:r w:rsidRPr="008107BB">
        <w:rPr>
          <w:i/>
          <w:iCs/>
        </w:rPr>
        <w:t>r</w:t>
      </w:r>
      <w:r w:rsidRPr="008107BB">
        <w:t>+</w:t>
      </w:r>
      <w:r w:rsidRPr="008107BB">
        <w:rPr>
          <w:i/>
          <w:iCs/>
        </w:rPr>
        <w:t>σ</w:t>
      </w:r>
      <w:r w:rsidRPr="008107BB">
        <w:t>2/2)</w:t>
      </w:r>
      <w:r w:rsidRPr="008107BB">
        <w:rPr>
          <w:i/>
          <w:iCs/>
        </w:rPr>
        <w:t>T</w:t>
      </w:r>
      <w:r w:rsidRPr="008107BB">
        <w:t>​</w:t>
      </w:r>
    </w:p>
    <w:p w14:paraId="5EB58BD3" w14:textId="77777777" w:rsidR="008107BB" w:rsidRPr="008107BB" w:rsidRDefault="008107BB" w:rsidP="008107BB">
      <w:r w:rsidRPr="008107BB">
        <w:rPr>
          <w:rFonts w:ascii="Cambria Math" w:hAnsi="Cambria Math" w:cs="Cambria Math"/>
        </w:rPr>
        <w:t>𝑑</w:t>
      </w:r>
      <w:r w:rsidRPr="008107BB">
        <w:t>2=</w:t>
      </w:r>
      <w:r w:rsidRPr="008107BB">
        <w:rPr>
          <w:rFonts w:ascii="Cambria Math" w:hAnsi="Cambria Math" w:cs="Cambria Math"/>
        </w:rPr>
        <w:t>𝑑</w:t>
      </w:r>
      <w:r w:rsidRPr="008107BB">
        <w:t>1</w:t>
      </w:r>
      <w:r w:rsidRPr="008107BB">
        <w:rPr>
          <w:rFonts w:ascii="바탕" w:eastAsia="바탕" w:hAnsi="바탕" w:cs="바탕" w:hint="eastAsia"/>
        </w:rPr>
        <w:t>−</w:t>
      </w:r>
      <w:r w:rsidRPr="008107BB">
        <w:rPr>
          <w:rFonts w:ascii="Cambria Math" w:hAnsi="Cambria Math" w:cs="Cambria Math"/>
        </w:rPr>
        <w:t>𝜎𝑇</w:t>
      </w:r>
      <w:r w:rsidRPr="008107BB">
        <w:rPr>
          <w:i/>
          <w:iCs/>
        </w:rPr>
        <w:t>d</w:t>
      </w:r>
      <w:r w:rsidRPr="008107BB">
        <w:t>2​=</w:t>
      </w:r>
      <w:r w:rsidRPr="008107BB">
        <w:rPr>
          <w:i/>
          <w:iCs/>
        </w:rPr>
        <w:t>d</w:t>
      </w:r>
      <w:r w:rsidRPr="008107BB">
        <w:t>1​</w:t>
      </w:r>
      <w:r w:rsidRPr="008107BB">
        <w:rPr>
          <w:rFonts w:ascii="바탕" w:eastAsia="바탕" w:hAnsi="바탕" w:cs="바탕" w:hint="eastAsia"/>
        </w:rPr>
        <w:t>−</w:t>
      </w:r>
      <w:proofErr w:type="spellStart"/>
      <w:r w:rsidRPr="008107BB">
        <w:rPr>
          <w:i/>
          <w:iCs/>
        </w:rPr>
        <w:t>σT</w:t>
      </w:r>
      <w:proofErr w:type="spellEnd"/>
      <w:r w:rsidRPr="008107BB">
        <w:t>​</w:t>
      </w:r>
    </w:p>
    <w:p w14:paraId="75C200E4" w14:textId="77777777" w:rsidR="008107BB" w:rsidRPr="008107BB" w:rsidRDefault="008107BB" w:rsidP="008107BB">
      <w:pPr>
        <w:numPr>
          <w:ilvl w:val="0"/>
          <w:numId w:val="4"/>
        </w:numPr>
      </w:pPr>
      <w:r w:rsidRPr="008107BB">
        <w:rPr>
          <w:b/>
          <w:bCs/>
        </w:rPr>
        <w:t>시장 가격과 일치시키기</w:t>
      </w:r>
      <w:r w:rsidRPr="008107BB">
        <w:t>: 시장에서 관찰된 옵션 가격을 모델의 옵션 가격과 일치시키기 위해, 변동성(σ) 값을 조정합니다.</w:t>
      </w:r>
    </w:p>
    <w:p w14:paraId="2EA92E41" w14:textId="77777777" w:rsidR="008107BB" w:rsidRPr="008107BB" w:rsidRDefault="008107BB" w:rsidP="008107BB">
      <w:pPr>
        <w:numPr>
          <w:ilvl w:val="0"/>
          <w:numId w:val="4"/>
        </w:numPr>
      </w:pPr>
      <w:r w:rsidRPr="008107BB">
        <w:rPr>
          <w:b/>
          <w:bCs/>
        </w:rPr>
        <w:t>반복 계산</w:t>
      </w:r>
      <w:r w:rsidRPr="008107BB">
        <w:t xml:space="preserve">: 변동성 값을 반복적으로 조정하여 모델의 옵션 가격이 시장 가격과 일치할 때의 </w:t>
      </w:r>
      <w:r w:rsidRPr="008107BB">
        <w:lastRenderedPageBreak/>
        <w:t>변동성 값을 내재변동성으로 설정합니다.</w:t>
      </w:r>
    </w:p>
    <w:p w14:paraId="2B603E2B" w14:textId="77777777" w:rsidR="008107BB" w:rsidRPr="008107BB" w:rsidRDefault="008107BB" w:rsidP="008107BB">
      <w:pPr>
        <w:rPr>
          <w:b/>
          <w:bCs/>
        </w:rPr>
      </w:pPr>
      <w:r w:rsidRPr="008107BB">
        <w:rPr>
          <w:b/>
          <w:bCs/>
        </w:rPr>
        <w:t>내재변동성의 활용</w:t>
      </w:r>
    </w:p>
    <w:p w14:paraId="263DC732" w14:textId="77777777" w:rsidR="008107BB" w:rsidRPr="008107BB" w:rsidRDefault="008107BB" w:rsidP="008107BB">
      <w:pPr>
        <w:numPr>
          <w:ilvl w:val="0"/>
          <w:numId w:val="5"/>
        </w:numPr>
      </w:pPr>
      <w:r w:rsidRPr="008107BB">
        <w:rPr>
          <w:b/>
          <w:bCs/>
        </w:rPr>
        <w:t>변동성 스마일(Volatility Smile)</w:t>
      </w:r>
      <w:r w:rsidRPr="008107BB">
        <w:t>: 일반적으로 행사가와 만기일에 따라 내재변동성이 다르게 나타나는 현상을 변동성 스마일이라고 합니다. 이는 동일한 기초 자산이라도 옵션의 행사가와 만기일에 따라 내재변동성이 다르게 평가된다는 것을 의미합니다.</w:t>
      </w:r>
    </w:p>
    <w:p w14:paraId="2B0F9F42" w14:textId="77777777" w:rsidR="008107BB" w:rsidRPr="008107BB" w:rsidRDefault="008107BB" w:rsidP="008107BB">
      <w:pPr>
        <w:numPr>
          <w:ilvl w:val="0"/>
          <w:numId w:val="5"/>
        </w:numPr>
      </w:pPr>
      <w:r w:rsidRPr="008107BB">
        <w:rPr>
          <w:b/>
          <w:bCs/>
        </w:rPr>
        <w:t xml:space="preserve">투자 및 </w:t>
      </w:r>
      <w:proofErr w:type="spellStart"/>
      <w:r w:rsidRPr="008107BB">
        <w:rPr>
          <w:b/>
          <w:bCs/>
        </w:rPr>
        <w:t>헤징</w:t>
      </w:r>
      <w:proofErr w:type="spellEnd"/>
      <w:r w:rsidRPr="008107BB">
        <w:rPr>
          <w:b/>
          <w:bCs/>
        </w:rPr>
        <w:t xml:space="preserve"> 전략</w:t>
      </w:r>
      <w:r w:rsidRPr="008107BB">
        <w:t>: 내재변동성 분석을 통해 투자자들은 옵션을 이용한 다양한 전략을 세울 수 있습니다. 예를 들어, 내재변동성이 높을 때는 옵션 매도를 고려하고, 내재변동성이 낮을 때는 옵션 매수를 고려할 수 있습니다.</w:t>
      </w:r>
    </w:p>
    <w:p w14:paraId="115D7581" w14:textId="77777777" w:rsidR="008107BB" w:rsidRPr="008107BB" w:rsidRDefault="008107BB" w:rsidP="008107BB">
      <w:pPr>
        <w:numPr>
          <w:ilvl w:val="0"/>
          <w:numId w:val="5"/>
        </w:numPr>
      </w:pPr>
      <w:r w:rsidRPr="008107BB">
        <w:rPr>
          <w:b/>
          <w:bCs/>
        </w:rPr>
        <w:t>리스크 관리</w:t>
      </w:r>
      <w:r w:rsidRPr="008107BB">
        <w:t xml:space="preserve">: 내재변동성은 옵션 포트폴리오의 리스크를 관리하는 데 중요한 역할을 합니다. 변동성이 높을 때는 리스크가 커지므로, 이를 반영한 </w:t>
      </w:r>
      <w:proofErr w:type="spellStart"/>
      <w:r w:rsidRPr="008107BB">
        <w:t>헤징</w:t>
      </w:r>
      <w:proofErr w:type="spellEnd"/>
      <w:r w:rsidRPr="008107BB">
        <w:t xml:space="preserve"> 전략을 사용할 수 있습니다.</w:t>
      </w:r>
    </w:p>
    <w:p w14:paraId="49719720" w14:textId="77777777" w:rsidR="008107BB" w:rsidRPr="008107BB" w:rsidRDefault="008107BB" w:rsidP="008107BB">
      <w:pPr>
        <w:rPr>
          <w:b/>
          <w:bCs/>
        </w:rPr>
      </w:pPr>
      <w:r w:rsidRPr="008107BB">
        <w:rPr>
          <w:b/>
          <w:bCs/>
        </w:rPr>
        <w:t>예시</w:t>
      </w:r>
    </w:p>
    <w:p w14:paraId="25BF887C" w14:textId="77777777" w:rsidR="008107BB" w:rsidRPr="008107BB" w:rsidRDefault="008107BB" w:rsidP="008107BB">
      <w:r w:rsidRPr="008107BB">
        <w:t>예를 들어, 현재 주식 가격이 $100이고, 행사가가 $105인 1개월 만기 Call 옵션의 시장 가격이 $2라고 가정해봅시다. 블랙-</w:t>
      </w:r>
      <w:proofErr w:type="spellStart"/>
      <w:r w:rsidRPr="008107BB">
        <w:t>숄즈</w:t>
      </w:r>
      <w:proofErr w:type="spellEnd"/>
      <w:r w:rsidRPr="008107BB">
        <w:t xml:space="preserve"> 모델을 사용하여 내재변동성을 계산하면 다음과 같은 결과를 얻을 수 있습니다:</w:t>
      </w:r>
    </w:p>
    <w:p w14:paraId="3FE3B911" w14:textId="77777777" w:rsidR="008107BB" w:rsidRPr="008107BB" w:rsidRDefault="008107BB" w:rsidP="008107BB">
      <w:pPr>
        <w:numPr>
          <w:ilvl w:val="0"/>
          <w:numId w:val="6"/>
        </w:numPr>
      </w:pPr>
      <w:r w:rsidRPr="008107BB">
        <w:t xml:space="preserve">기초 자산 가격 </w:t>
      </w:r>
      <w:r w:rsidRPr="008107BB">
        <w:rPr>
          <w:rFonts w:ascii="Cambria Math" w:hAnsi="Cambria Math" w:cs="Cambria Math"/>
        </w:rPr>
        <w:t>𝑆</w:t>
      </w:r>
      <w:r w:rsidRPr="008107BB">
        <w:t>0=100</w:t>
      </w:r>
      <w:r w:rsidRPr="008107BB">
        <w:rPr>
          <w:i/>
          <w:iCs/>
        </w:rPr>
        <w:t>S</w:t>
      </w:r>
      <w:r w:rsidRPr="008107BB">
        <w:t>0​=100</w:t>
      </w:r>
    </w:p>
    <w:p w14:paraId="1E3F879C" w14:textId="77777777" w:rsidR="008107BB" w:rsidRPr="008107BB" w:rsidRDefault="008107BB" w:rsidP="008107BB">
      <w:pPr>
        <w:numPr>
          <w:ilvl w:val="0"/>
          <w:numId w:val="6"/>
        </w:numPr>
      </w:pPr>
      <w:r w:rsidRPr="008107BB">
        <w:t xml:space="preserve">행사가 </w:t>
      </w:r>
      <w:r w:rsidRPr="008107BB">
        <w:rPr>
          <w:rFonts w:ascii="Cambria Math" w:hAnsi="Cambria Math" w:cs="Cambria Math"/>
        </w:rPr>
        <w:t>𝑋</w:t>
      </w:r>
      <w:r w:rsidRPr="008107BB">
        <w:t>=105</w:t>
      </w:r>
      <w:r w:rsidRPr="008107BB">
        <w:rPr>
          <w:i/>
          <w:iCs/>
        </w:rPr>
        <w:t>X</w:t>
      </w:r>
      <w:r w:rsidRPr="008107BB">
        <w:t>=105</w:t>
      </w:r>
    </w:p>
    <w:p w14:paraId="06423BA0" w14:textId="77777777" w:rsidR="008107BB" w:rsidRPr="008107BB" w:rsidRDefault="008107BB" w:rsidP="008107BB">
      <w:pPr>
        <w:numPr>
          <w:ilvl w:val="0"/>
          <w:numId w:val="6"/>
        </w:numPr>
      </w:pPr>
      <w:proofErr w:type="spellStart"/>
      <w:r w:rsidRPr="008107BB">
        <w:t>무위험</w:t>
      </w:r>
      <w:proofErr w:type="spellEnd"/>
      <w:r w:rsidRPr="008107BB">
        <w:t xml:space="preserve"> 이자율 </w:t>
      </w:r>
      <w:r w:rsidRPr="008107BB">
        <w:rPr>
          <w:rFonts w:ascii="Cambria Math" w:hAnsi="Cambria Math" w:cs="Cambria Math"/>
        </w:rPr>
        <w:t>𝑟</w:t>
      </w:r>
      <w:r w:rsidRPr="008107BB">
        <w:t>=0.01</w:t>
      </w:r>
      <w:r w:rsidRPr="008107BB">
        <w:rPr>
          <w:i/>
          <w:iCs/>
        </w:rPr>
        <w:t>r</w:t>
      </w:r>
      <w:r w:rsidRPr="008107BB">
        <w:t>=0.01 (1% 연간 이자율)</w:t>
      </w:r>
    </w:p>
    <w:p w14:paraId="35F61555" w14:textId="77777777" w:rsidR="008107BB" w:rsidRPr="008107BB" w:rsidRDefault="008107BB" w:rsidP="008107BB">
      <w:pPr>
        <w:numPr>
          <w:ilvl w:val="0"/>
          <w:numId w:val="6"/>
        </w:numPr>
      </w:pPr>
      <w:r w:rsidRPr="008107BB">
        <w:t xml:space="preserve">만기까지의 시간 </w:t>
      </w:r>
      <w:r w:rsidRPr="008107BB">
        <w:rPr>
          <w:rFonts w:ascii="Cambria Math" w:hAnsi="Cambria Math" w:cs="Cambria Math"/>
        </w:rPr>
        <w:t>𝑇</w:t>
      </w:r>
      <w:r w:rsidRPr="008107BB">
        <w:t>=1/12</w:t>
      </w:r>
      <w:r w:rsidRPr="008107BB">
        <w:rPr>
          <w:i/>
          <w:iCs/>
        </w:rPr>
        <w:t>T</w:t>
      </w:r>
      <w:r w:rsidRPr="008107BB">
        <w:t>=1/12 (1개월)</w:t>
      </w:r>
    </w:p>
    <w:p w14:paraId="3C9D3E2A" w14:textId="77777777" w:rsidR="008107BB" w:rsidRPr="008107BB" w:rsidRDefault="008107BB" w:rsidP="008107BB">
      <w:r w:rsidRPr="008107BB">
        <w:t>위 값을 블랙-</w:t>
      </w:r>
      <w:proofErr w:type="spellStart"/>
      <w:r w:rsidRPr="008107BB">
        <w:t>숄즈</w:t>
      </w:r>
      <w:proofErr w:type="spellEnd"/>
      <w:r w:rsidRPr="008107BB">
        <w:t xml:space="preserve"> 모델에 대입하여 내재변동성을 반복적으로 계산하면, 내재변동성이 약 20%임을 확인할 수 있습니다. 이는 시장이 향후 한 달 동안 기초 자산의 변동성을 약 20%로 예상하고 있음을 의미합니다.</w:t>
      </w:r>
    </w:p>
    <w:p w14:paraId="77669464" w14:textId="77777777" w:rsidR="008107BB" w:rsidRPr="008107BB" w:rsidRDefault="008107BB" w:rsidP="008107BB">
      <w:pPr>
        <w:rPr>
          <w:b/>
          <w:bCs/>
        </w:rPr>
      </w:pPr>
      <w:r w:rsidRPr="008107BB">
        <w:rPr>
          <w:b/>
          <w:bCs/>
        </w:rPr>
        <w:t>결론</w:t>
      </w:r>
    </w:p>
    <w:p w14:paraId="3557B6F1" w14:textId="77777777" w:rsidR="008107BB" w:rsidRPr="008107BB" w:rsidRDefault="008107BB" w:rsidP="008107BB">
      <w:r w:rsidRPr="008107BB">
        <w:t>내재변동성은 옵션 가격에 반영된 미래의 변동성 기대를 나타내며, 옵션 거래에서 중요한 역할을 합니다. 이는 시장 참가자들의 기대를 반영하고, 옵션의 가격과 투자 전략에 큰 영향을 미칩니다. 내재변동성을 이해하고 분석하는 것은 옵션 거래와 리스크 관리에 필수적입니다.</w:t>
      </w:r>
    </w:p>
    <w:p w14:paraId="071CD9B3" w14:textId="77777777" w:rsidR="002E4D76" w:rsidRPr="008107BB" w:rsidRDefault="002E4D76"/>
    <w:sectPr w:rsidR="002E4D76" w:rsidRPr="008107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37C79"/>
    <w:multiLevelType w:val="multilevel"/>
    <w:tmpl w:val="EA50B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15AD5"/>
    <w:multiLevelType w:val="multilevel"/>
    <w:tmpl w:val="B630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41695D"/>
    <w:multiLevelType w:val="multilevel"/>
    <w:tmpl w:val="C7EE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56260C"/>
    <w:multiLevelType w:val="multilevel"/>
    <w:tmpl w:val="8DB4DC2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CF5494F"/>
    <w:multiLevelType w:val="multilevel"/>
    <w:tmpl w:val="4822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A550AB"/>
    <w:multiLevelType w:val="hybridMultilevel"/>
    <w:tmpl w:val="DF22C324"/>
    <w:lvl w:ilvl="0" w:tplc="AF0AA0F0">
      <w:start w:val="1"/>
      <w:numFmt w:val="bullet"/>
      <w:lvlText w:val="□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43915313">
    <w:abstractNumId w:val="5"/>
  </w:num>
  <w:num w:numId="2" w16cid:durableId="1740248007">
    <w:abstractNumId w:val="3"/>
  </w:num>
  <w:num w:numId="3" w16cid:durableId="1152526255">
    <w:abstractNumId w:val="1"/>
  </w:num>
  <w:num w:numId="4" w16cid:durableId="1806316646">
    <w:abstractNumId w:val="0"/>
  </w:num>
  <w:num w:numId="5" w16cid:durableId="2059357177">
    <w:abstractNumId w:val="4"/>
  </w:num>
  <w:num w:numId="6" w16cid:durableId="1664967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BB"/>
    <w:rsid w:val="002E4D76"/>
    <w:rsid w:val="00462FA4"/>
    <w:rsid w:val="005B0281"/>
    <w:rsid w:val="006B20E0"/>
    <w:rsid w:val="008107BB"/>
    <w:rsid w:val="00865061"/>
    <w:rsid w:val="00A32DE2"/>
    <w:rsid w:val="00C9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BBB2"/>
  <w15:chartTrackingRefBased/>
  <w15:docId w15:val="{F975954D-8A6A-4F4A-8185-1EE293DC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8107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0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07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07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07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07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07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07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07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글머리표1"/>
    <w:basedOn w:val="a"/>
    <w:link w:val="1Char0"/>
    <w:qFormat/>
    <w:rsid w:val="006B20E0"/>
    <w:pPr>
      <w:numPr>
        <w:numId w:val="2"/>
      </w:numPr>
      <w:spacing w:before="300"/>
      <w:ind w:left="426" w:hanging="442"/>
    </w:pPr>
    <w:rPr>
      <w:rFonts w:ascii="바탕" w:eastAsia="바탕" w:hAnsi="바탕"/>
      <w:b/>
      <w:sz w:val="28"/>
    </w:rPr>
  </w:style>
  <w:style w:type="character" w:customStyle="1" w:styleId="1Char0">
    <w:name w:val="글머리표1 Char"/>
    <w:basedOn w:val="a0"/>
    <w:link w:val="1"/>
    <w:rsid w:val="006B20E0"/>
    <w:rPr>
      <w:rFonts w:ascii="바탕" w:eastAsia="바탕" w:hAnsi="바탕"/>
      <w:b/>
      <w:sz w:val="28"/>
    </w:rPr>
  </w:style>
  <w:style w:type="character" w:styleId="a3">
    <w:name w:val="FollowedHyperlink"/>
    <w:basedOn w:val="a0"/>
    <w:uiPriority w:val="99"/>
    <w:unhideWhenUsed/>
    <w:rsid w:val="00C9085A"/>
    <w:rPr>
      <w:color w:val="96607D" w:themeColor="followedHyperlink"/>
      <w:u w:val="single"/>
    </w:rPr>
  </w:style>
  <w:style w:type="character" w:customStyle="1" w:styleId="1Char">
    <w:name w:val="제목 1 Char"/>
    <w:basedOn w:val="a0"/>
    <w:link w:val="10"/>
    <w:uiPriority w:val="9"/>
    <w:rsid w:val="008107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07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07B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10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0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0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0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0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07BB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"/>
    <w:uiPriority w:val="10"/>
    <w:qFormat/>
    <w:rsid w:val="008107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810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8107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5"/>
    <w:uiPriority w:val="11"/>
    <w:rsid w:val="008107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1"/>
    <w:uiPriority w:val="29"/>
    <w:qFormat/>
    <w:rsid w:val="00810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6"/>
    <w:uiPriority w:val="29"/>
    <w:rsid w:val="008107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07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07B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2"/>
    <w:uiPriority w:val="30"/>
    <w:qFormat/>
    <w:rsid w:val="00810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9"/>
    <w:uiPriority w:val="30"/>
    <w:rsid w:val="008107BB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10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1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70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188399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31622522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98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41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08810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0725419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</cp:revision>
  <dcterms:created xsi:type="dcterms:W3CDTF">2024-05-19T07:40:00Z</dcterms:created>
  <dcterms:modified xsi:type="dcterms:W3CDTF">2024-05-19T07:41:00Z</dcterms:modified>
</cp:coreProperties>
</file>