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EDF" w:rsidRPr="009176C2" w:rsidRDefault="00177EDF" w:rsidP="00177EDF">
      <w:bookmarkStart w:id="0" w:name="_GoBack"/>
      <w:bookmarkEnd w:id="0"/>
      <w:r w:rsidRPr="00E42582">
        <w:rPr>
          <w:noProof/>
          <w:lang w:val="en-US"/>
        </w:rPr>
        <w:drawing>
          <wp:inline distT="0" distB="0" distL="0" distR="0" wp14:anchorId="790103E2" wp14:editId="36FEF082">
            <wp:extent cx="2055040" cy="914400"/>
            <wp:effectExtent l="0" t="0" r="2540" b="0"/>
            <wp:docPr id="23" name="Picture 7" descr="smal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small1"/>
                    <pic:cNvPicPr>
                      <a:picLocks noChangeAspect="1" noChangeArrowheads="1"/>
                    </pic:cNvPicPr>
                  </pic:nvPicPr>
                  <pic:blipFill>
                    <a:blip r:embed="rId9" cstate="print"/>
                    <a:srcRect/>
                    <a:stretch>
                      <a:fillRect/>
                    </a:stretch>
                  </pic:blipFill>
                  <pic:spPr bwMode="auto">
                    <a:xfrm>
                      <a:off x="0" y="0"/>
                      <a:ext cx="2055040" cy="914400"/>
                    </a:xfrm>
                    <a:prstGeom prst="rect">
                      <a:avLst/>
                    </a:prstGeom>
                    <a:noFill/>
                    <a:ln w="9525">
                      <a:noFill/>
                      <a:miter lim="800000"/>
                      <a:headEnd/>
                      <a:tailEnd/>
                    </a:ln>
                  </pic:spPr>
                </pic:pic>
              </a:graphicData>
            </a:graphic>
          </wp:inline>
        </w:drawing>
      </w:r>
    </w:p>
    <w:p w:rsidR="00177EDF" w:rsidRPr="009176C2" w:rsidRDefault="00177EDF" w:rsidP="00177EDF"/>
    <w:p w:rsidR="00177EDF" w:rsidRPr="009176C2" w:rsidRDefault="00177EDF" w:rsidP="00177EDF"/>
    <w:p w:rsidR="00177EDF" w:rsidRPr="009176C2" w:rsidRDefault="00177EDF" w:rsidP="00177EDF"/>
    <w:p w:rsidR="00177EDF" w:rsidRPr="009176C2" w:rsidRDefault="00177EDF" w:rsidP="00177EDF">
      <w:r>
        <w:rPr>
          <w:noProof/>
          <w:lang w:val="en-US"/>
        </w:rPr>
        <mc:AlternateContent>
          <mc:Choice Requires="wps">
            <w:drawing>
              <wp:anchor distT="0" distB="0" distL="114300" distR="114300" simplePos="0" relativeHeight="251659264" behindDoc="0" locked="0" layoutInCell="0" allowOverlap="1" wp14:anchorId="6D5D8B5B" wp14:editId="38B823FC">
                <wp:simplePos x="0" y="0"/>
                <wp:positionH relativeFrom="column">
                  <wp:posOffset>0</wp:posOffset>
                </wp:positionH>
                <wp:positionV relativeFrom="paragraph">
                  <wp:posOffset>119380</wp:posOffset>
                </wp:positionV>
                <wp:extent cx="6126480" cy="0"/>
                <wp:effectExtent l="0" t="0" r="0" b="0"/>
                <wp:wrapNone/>
                <wp:docPr id="1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64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4pt" to="482.4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c7T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" o:allowincell="f" strokeweight="2.25pt"/>
            </w:pict>
          </mc:Fallback>
        </mc:AlternateContent>
      </w:r>
      <w:r>
        <w:t xml:space="preserve"> </w:t>
      </w:r>
    </w:p>
    <w:p w:rsidR="00177EDF" w:rsidRPr="00E32704" w:rsidRDefault="00177EDF" w:rsidP="00177EDF">
      <w:pPr>
        <w:rPr>
          <w:b/>
        </w:rPr>
      </w:pPr>
    </w:p>
    <w:p w:rsidR="00177EDF" w:rsidRPr="00A37A4B" w:rsidRDefault="00177EDF" w:rsidP="00280B13">
      <w:pPr>
        <w:jc w:val="center"/>
        <w:rPr>
          <w:b/>
          <w:sz w:val="36"/>
          <w:szCs w:val="36"/>
        </w:rPr>
      </w:pPr>
    </w:p>
    <w:p w:rsidR="0015549B" w:rsidRDefault="0015549B" w:rsidP="00280B13">
      <w:pPr>
        <w:ind w:firstLine="475"/>
        <w:jc w:val="center"/>
        <w:rPr>
          <w:rFonts w:ascii="Times New Roman Bold" w:hAnsi="Times New Roman Bold"/>
          <w:b/>
          <w:caps/>
          <w:sz w:val="28"/>
        </w:rPr>
      </w:pPr>
    </w:p>
    <w:p w:rsidR="00177EDF" w:rsidRPr="00212013" w:rsidRDefault="00177EDF" w:rsidP="00280B13">
      <w:pPr>
        <w:ind w:firstLine="475"/>
        <w:jc w:val="center"/>
        <w:rPr>
          <w:rFonts w:ascii="Times New Roman Bold" w:hAnsi="Times New Roman Bold"/>
          <w:b/>
          <w:caps/>
          <w:sz w:val="28"/>
        </w:rPr>
      </w:pPr>
      <w:r w:rsidRPr="00212013">
        <w:rPr>
          <w:rFonts w:ascii="Times New Roman Bold" w:hAnsi="Times New Roman Bold"/>
          <w:b/>
          <w:caps/>
          <w:sz w:val="28"/>
        </w:rPr>
        <w:t>United Nations Population Fund</w:t>
      </w:r>
    </w:p>
    <w:p w:rsidR="00177EDF" w:rsidRDefault="00177EDF" w:rsidP="00280B13">
      <w:pPr>
        <w:jc w:val="center"/>
        <w:rPr>
          <w:sz w:val="28"/>
        </w:rPr>
      </w:pPr>
    </w:p>
    <w:p w:rsidR="00177EDF" w:rsidRPr="00212013" w:rsidRDefault="005B0755" w:rsidP="00280B13">
      <w:pPr>
        <w:jc w:val="center"/>
        <w:rPr>
          <w:rFonts w:ascii="Times New Roman Bold" w:hAnsi="Times New Roman Bold"/>
          <w:caps/>
          <w:sz w:val="32"/>
        </w:rPr>
      </w:pPr>
      <w:r w:rsidRPr="00212013">
        <w:rPr>
          <w:rFonts w:ascii="Times New Roman Bold" w:hAnsi="Times New Roman Bold"/>
          <w:b/>
          <w:caps/>
          <w:sz w:val="28"/>
          <w:szCs w:val="24"/>
        </w:rPr>
        <w:t>The UNFPA strategic plan, 2014-2017</w:t>
      </w:r>
    </w:p>
    <w:p w:rsidR="00177EDF" w:rsidRDefault="00177EDF" w:rsidP="00280B13">
      <w:pPr>
        <w:jc w:val="center"/>
        <w:rPr>
          <w:sz w:val="28"/>
        </w:rPr>
      </w:pPr>
    </w:p>
    <w:p w:rsidR="0015549B" w:rsidRDefault="0015549B" w:rsidP="00925178">
      <w:pPr>
        <w:jc w:val="center"/>
        <w:rPr>
          <w:b/>
          <w:sz w:val="28"/>
          <w:szCs w:val="36"/>
        </w:rPr>
      </w:pPr>
    </w:p>
    <w:p w:rsidR="00177EDF" w:rsidRPr="00212013" w:rsidRDefault="00177EDF" w:rsidP="00925178">
      <w:pPr>
        <w:jc w:val="center"/>
        <w:rPr>
          <w:b/>
          <w:sz w:val="28"/>
          <w:szCs w:val="36"/>
        </w:rPr>
      </w:pPr>
      <w:r w:rsidRPr="00212013">
        <w:rPr>
          <w:b/>
          <w:sz w:val="28"/>
          <w:szCs w:val="36"/>
        </w:rPr>
        <w:t>Annex 4</w:t>
      </w:r>
    </w:p>
    <w:p w:rsidR="00177EDF" w:rsidRPr="00212013" w:rsidRDefault="00177EDF" w:rsidP="00925178">
      <w:pPr>
        <w:jc w:val="center"/>
        <w:rPr>
          <w:b/>
          <w:sz w:val="28"/>
          <w:szCs w:val="36"/>
        </w:rPr>
      </w:pPr>
      <w:r w:rsidRPr="00212013">
        <w:rPr>
          <w:b/>
          <w:sz w:val="28"/>
          <w:szCs w:val="36"/>
        </w:rPr>
        <w:t>Funding arrangement</w:t>
      </w:r>
      <w:r w:rsidR="00925178" w:rsidRPr="00212013">
        <w:rPr>
          <w:b/>
          <w:sz w:val="28"/>
          <w:szCs w:val="36"/>
        </w:rPr>
        <w:t>s</w:t>
      </w:r>
    </w:p>
    <w:p w:rsidR="00177EDF" w:rsidRDefault="00177EDF" w:rsidP="00280B13">
      <w:pPr>
        <w:jc w:val="center"/>
        <w:rPr>
          <w:sz w:val="28"/>
        </w:rPr>
      </w:pPr>
    </w:p>
    <w:p w:rsidR="00015F15" w:rsidRPr="009176C2" w:rsidRDefault="00015F15" w:rsidP="00280B13">
      <w:pPr>
        <w:jc w:val="center"/>
        <w:rPr>
          <w:sz w:val="28"/>
        </w:rPr>
      </w:pPr>
    </w:p>
    <w:p w:rsidR="00177EDF" w:rsidRPr="00212013" w:rsidRDefault="00177EDF" w:rsidP="00177EDF">
      <w:pPr>
        <w:jc w:val="center"/>
        <w:rPr>
          <w:b/>
          <w:sz w:val="24"/>
          <w:szCs w:val="22"/>
        </w:rPr>
      </w:pPr>
    </w:p>
    <w:p w:rsidR="00177EDF" w:rsidRPr="009176C2" w:rsidRDefault="00177EDF" w:rsidP="00177EDF">
      <w:pPr>
        <w:ind w:left="360"/>
        <w:jc w:val="center"/>
        <w:rPr>
          <w:b/>
          <w:color w:val="000000"/>
          <w:sz w:val="22"/>
          <w:szCs w:val="22"/>
        </w:rPr>
      </w:pPr>
      <w:r>
        <w:rPr>
          <w:b/>
          <w:noProof/>
          <w:color w:val="000000"/>
          <w:sz w:val="22"/>
          <w:szCs w:val="22"/>
          <w:lang w:val="en-US"/>
        </w:rPr>
        <mc:AlternateContent>
          <mc:Choice Requires="wps">
            <w:drawing>
              <wp:anchor distT="0" distB="0" distL="114300" distR="114300" simplePos="0" relativeHeight="251660288" behindDoc="0" locked="0" layoutInCell="1" allowOverlap="1" wp14:anchorId="0B495331" wp14:editId="17092DB5">
                <wp:simplePos x="0" y="0"/>
                <wp:positionH relativeFrom="column">
                  <wp:align>center</wp:align>
                </wp:positionH>
                <wp:positionV relativeFrom="paragraph">
                  <wp:posOffset>0</wp:posOffset>
                </wp:positionV>
                <wp:extent cx="6103620" cy="1415415"/>
                <wp:effectExtent l="0" t="0" r="0" b="0"/>
                <wp:wrapNone/>
                <wp:docPr id="1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620" cy="1415415"/>
                        </a:xfrm>
                        <a:prstGeom prst="rect">
                          <a:avLst/>
                        </a:prstGeom>
                        <a:solidFill>
                          <a:srgbClr val="FFFFFF"/>
                        </a:solidFill>
                        <a:ln w="9525">
                          <a:solidFill>
                            <a:srgbClr val="000000"/>
                          </a:solidFill>
                          <a:miter lim="800000"/>
                          <a:headEnd/>
                          <a:tailEnd/>
                        </a:ln>
                      </wps:spPr>
                      <wps:txbx>
                        <w:txbxContent>
                          <w:p w:rsidR="00AD21A7" w:rsidRDefault="00AD21A7" w:rsidP="00177EDF">
                            <w:pPr>
                              <w:rPr>
                                <w:i/>
                              </w:rPr>
                            </w:pPr>
                          </w:p>
                          <w:p w:rsidR="00AD21A7" w:rsidRPr="00E42582" w:rsidRDefault="00AD21A7" w:rsidP="00177EDF">
                            <w:pPr>
                              <w:rPr>
                                <w:i/>
                                <w:sz w:val="22"/>
                                <w:szCs w:val="22"/>
                              </w:rPr>
                            </w:pPr>
                            <w:r w:rsidRPr="00E42582">
                              <w:rPr>
                                <w:i/>
                                <w:sz w:val="22"/>
                                <w:szCs w:val="22"/>
                              </w:rPr>
                              <w:t>Summary</w:t>
                            </w:r>
                          </w:p>
                          <w:p w:rsidR="00AD21A7" w:rsidRPr="00E42582" w:rsidRDefault="00AD21A7" w:rsidP="00177EDF">
                            <w:pPr>
                              <w:rPr>
                                <w:i/>
                                <w:sz w:val="22"/>
                                <w:szCs w:val="22"/>
                              </w:rPr>
                            </w:pPr>
                          </w:p>
                          <w:p w:rsidR="00AD21A7" w:rsidRPr="00E42582" w:rsidRDefault="00AD21A7" w:rsidP="00177EDF">
                            <w:pPr>
                              <w:ind w:left="360" w:right="660" w:firstLine="540"/>
                              <w:jc w:val="both"/>
                              <w:rPr>
                                <w:sz w:val="22"/>
                                <w:szCs w:val="22"/>
                              </w:rPr>
                            </w:pPr>
                            <w:r w:rsidRPr="00E42582">
                              <w:rPr>
                                <w:sz w:val="22"/>
                                <w:szCs w:val="22"/>
                              </w:rPr>
                              <w:t xml:space="preserve">This document </w:t>
                            </w:r>
                            <w:r>
                              <w:rPr>
                                <w:sz w:val="22"/>
                                <w:szCs w:val="22"/>
                              </w:rPr>
                              <w:t>presents a</w:t>
                            </w:r>
                            <w:r w:rsidRPr="00E42582">
                              <w:rPr>
                                <w:sz w:val="22"/>
                                <w:szCs w:val="22"/>
                              </w:rPr>
                              <w:t>nnex 4</w:t>
                            </w:r>
                            <w:r>
                              <w:rPr>
                                <w:sz w:val="22"/>
                                <w:szCs w:val="22"/>
                              </w:rPr>
                              <w:t xml:space="preserve"> (</w:t>
                            </w:r>
                            <w:r w:rsidRPr="00E42582">
                              <w:rPr>
                                <w:sz w:val="22"/>
                                <w:szCs w:val="22"/>
                              </w:rPr>
                              <w:t>which focuses on funding arrangements</w:t>
                            </w:r>
                            <w:r>
                              <w:rPr>
                                <w:sz w:val="22"/>
                                <w:szCs w:val="22"/>
                              </w:rPr>
                              <w:t>)</w:t>
                            </w:r>
                            <w:r w:rsidRPr="009D4BCD">
                              <w:rPr>
                                <w:sz w:val="22"/>
                                <w:szCs w:val="22"/>
                              </w:rPr>
                              <w:t xml:space="preserve"> </w:t>
                            </w:r>
                            <w:r w:rsidRPr="00E42582">
                              <w:rPr>
                                <w:sz w:val="22"/>
                                <w:szCs w:val="22"/>
                              </w:rPr>
                              <w:t>to the UNFPA strategic plan for 2014-2017</w:t>
                            </w:r>
                            <w:r>
                              <w:rPr>
                                <w:sz w:val="22"/>
                                <w:szCs w:val="22"/>
                              </w:rPr>
                              <w:t>.  This annex</w:t>
                            </w:r>
                            <w:r w:rsidRPr="00E42582">
                              <w:rPr>
                                <w:sz w:val="22"/>
                                <w:szCs w:val="22"/>
                              </w:rPr>
                              <w:t xml:space="preserve"> concentrates particularly on the architecture through which the organization allocates its resources, the Resource Allocation System, the Global and Regional Programme, and other mechanisms for allocating programmatic resources, particularly the Emergency Fund and the Opportunities Fund.</w:t>
                            </w:r>
                          </w:p>
                          <w:p w:rsidR="00AD21A7" w:rsidRPr="00E42582" w:rsidRDefault="00AD21A7" w:rsidP="00177EDF">
                            <w:pPr>
                              <w:ind w:left="720" w:right="660"/>
                              <w:jc w:val="both"/>
                              <w:rPr>
                                <w:sz w:val="22"/>
                                <w:szCs w:val="22"/>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0;margin-top:0;width:480.6pt;height:111.45pt;z-index:251660288;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">
                <v:textbox style="mso-fit-shape-to-text:t">
                  <w:txbxContent>
                    <w:p w:rsidR="00AD21A7" w:rsidRDefault="00AD21A7" w:rsidP="00177EDF">
                      <w:pPr>
                        <w:rPr>
                          <w:i/>
                        </w:rPr>
                      </w:pPr>
                    </w:p>
                    <w:p w:rsidR="00AD21A7" w:rsidRPr="00E42582" w:rsidRDefault="00AD21A7" w:rsidP="00177EDF">
                      <w:pPr>
                        <w:rPr>
                          <w:i/>
                          <w:sz w:val="22"/>
                          <w:szCs w:val="22"/>
                        </w:rPr>
                      </w:pPr>
                      <w:r w:rsidRPr="00E42582">
                        <w:rPr>
                          <w:i/>
                          <w:sz w:val="22"/>
                          <w:szCs w:val="22"/>
                        </w:rPr>
                        <w:t>Summary</w:t>
                      </w:r>
                    </w:p>
                    <w:p w:rsidR="00AD21A7" w:rsidRPr="00E42582" w:rsidRDefault="00AD21A7" w:rsidP="00177EDF">
                      <w:pPr>
                        <w:rPr>
                          <w:i/>
                          <w:sz w:val="22"/>
                          <w:szCs w:val="22"/>
                        </w:rPr>
                      </w:pPr>
                    </w:p>
                    <w:p w:rsidR="00AD21A7" w:rsidRPr="00E42582" w:rsidRDefault="00AD21A7" w:rsidP="00177EDF">
                      <w:pPr>
                        <w:ind w:left="360" w:right="660" w:firstLine="540"/>
                        <w:jc w:val="both"/>
                        <w:rPr>
                          <w:sz w:val="22"/>
                          <w:szCs w:val="22"/>
                        </w:rPr>
                      </w:pPr>
                      <w:r w:rsidRPr="00E42582">
                        <w:rPr>
                          <w:sz w:val="22"/>
                          <w:szCs w:val="22"/>
                        </w:rPr>
                        <w:t xml:space="preserve">This document </w:t>
                      </w:r>
                      <w:r>
                        <w:rPr>
                          <w:sz w:val="22"/>
                          <w:szCs w:val="22"/>
                        </w:rPr>
                        <w:t>presents a</w:t>
                      </w:r>
                      <w:r w:rsidRPr="00E42582">
                        <w:rPr>
                          <w:sz w:val="22"/>
                          <w:szCs w:val="22"/>
                        </w:rPr>
                        <w:t>nnex 4</w:t>
                      </w:r>
                      <w:r>
                        <w:rPr>
                          <w:sz w:val="22"/>
                          <w:szCs w:val="22"/>
                        </w:rPr>
                        <w:t xml:space="preserve"> (</w:t>
                      </w:r>
                      <w:r w:rsidRPr="00E42582">
                        <w:rPr>
                          <w:sz w:val="22"/>
                          <w:szCs w:val="22"/>
                        </w:rPr>
                        <w:t>which focuses on funding arrangements</w:t>
                      </w:r>
                      <w:r>
                        <w:rPr>
                          <w:sz w:val="22"/>
                          <w:szCs w:val="22"/>
                        </w:rPr>
                        <w:t>)</w:t>
                      </w:r>
                      <w:r w:rsidRPr="009D4BCD">
                        <w:rPr>
                          <w:sz w:val="22"/>
                          <w:szCs w:val="22"/>
                        </w:rPr>
                        <w:t xml:space="preserve"> </w:t>
                      </w:r>
                      <w:r w:rsidRPr="00E42582">
                        <w:rPr>
                          <w:sz w:val="22"/>
                          <w:szCs w:val="22"/>
                        </w:rPr>
                        <w:t>to the UNFPA strategic plan for 2014-2017</w:t>
                      </w:r>
                      <w:r>
                        <w:rPr>
                          <w:sz w:val="22"/>
                          <w:szCs w:val="22"/>
                        </w:rPr>
                        <w:t>.  This annex</w:t>
                      </w:r>
                      <w:r w:rsidRPr="00E42582">
                        <w:rPr>
                          <w:sz w:val="22"/>
                          <w:szCs w:val="22"/>
                        </w:rPr>
                        <w:t xml:space="preserve"> concentrates particularly on the architecture through which the organization allocates its resources, the Resource Allocation System, the Global and Regional Programme, and other mechanisms for allocating programmatic resources, particularly the Emergency Fund and the Opportunities Fund.</w:t>
                      </w:r>
                    </w:p>
                    <w:p w:rsidR="00AD21A7" w:rsidRPr="00E42582" w:rsidRDefault="00AD21A7" w:rsidP="00177EDF">
                      <w:pPr>
                        <w:ind w:left="720" w:right="660"/>
                        <w:jc w:val="both"/>
                        <w:rPr>
                          <w:sz w:val="22"/>
                          <w:szCs w:val="22"/>
                        </w:rPr>
                      </w:pPr>
                    </w:p>
                  </w:txbxContent>
                </v:textbox>
              </v:shape>
            </w:pict>
          </mc:Fallback>
        </mc:AlternateContent>
      </w:r>
    </w:p>
    <w:p w:rsidR="00177EDF" w:rsidRDefault="00177EDF" w:rsidP="00177EDF">
      <w:pPr>
        <w:rPr>
          <w:sz w:val="28"/>
          <w:szCs w:val="28"/>
        </w:rPr>
      </w:pPr>
      <w:r w:rsidRPr="009176C2">
        <w:rPr>
          <w:b/>
          <w:color w:val="000000"/>
          <w:sz w:val="22"/>
          <w:szCs w:val="22"/>
        </w:rPr>
        <w:t xml:space="preserve"> </w:t>
      </w:r>
      <w:r w:rsidRPr="009176C2">
        <w:rPr>
          <w:b/>
          <w:color w:val="000000"/>
          <w:sz w:val="22"/>
          <w:szCs w:val="22"/>
        </w:rPr>
        <w:br w:type="page"/>
      </w:r>
      <w:r w:rsidRPr="009176C2">
        <w:rPr>
          <w:sz w:val="28"/>
          <w:szCs w:val="28"/>
        </w:rPr>
        <w:lastRenderedPageBreak/>
        <w:t>Contents</w:t>
      </w:r>
    </w:p>
    <w:p w:rsidR="00177EDF" w:rsidRDefault="00177EDF" w:rsidP="00177EDF">
      <w:pPr>
        <w:rPr>
          <w:sz w:val="28"/>
          <w:szCs w:val="28"/>
        </w:rPr>
      </w:pPr>
    </w:p>
    <w:p w:rsidR="00177EDF" w:rsidRPr="009176C2" w:rsidRDefault="00177EDF" w:rsidP="00177EDF">
      <w:pPr>
        <w:rPr>
          <w:sz w:val="28"/>
          <w:szCs w:val="28"/>
        </w:rPr>
      </w:pPr>
    </w:p>
    <w:p w:rsidR="00177EDF" w:rsidRPr="009176C2" w:rsidRDefault="00177EDF" w:rsidP="00212013">
      <w:pPr>
        <w:ind w:left="360"/>
        <w:jc w:val="right"/>
        <w:rPr>
          <w:i/>
          <w:sz w:val="18"/>
          <w:szCs w:val="18"/>
        </w:rPr>
      </w:pPr>
      <w:r w:rsidRPr="009176C2">
        <w:rPr>
          <w:i/>
          <w:sz w:val="18"/>
          <w:szCs w:val="18"/>
        </w:rPr>
        <w:t>Page</w:t>
      </w:r>
    </w:p>
    <w:p w:rsidR="005B0755" w:rsidRDefault="00177EDF" w:rsidP="0098316F">
      <w:pPr>
        <w:pStyle w:val="TOC1"/>
        <w:rPr>
          <w:rFonts w:asciiTheme="minorHAnsi" w:eastAsiaTheme="minorEastAsia" w:hAnsiTheme="minorHAnsi" w:cstheme="minorBidi"/>
          <w:sz w:val="22"/>
          <w:szCs w:val="22"/>
          <w:lang w:val="en-US"/>
        </w:rPr>
      </w:pPr>
      <w:r>
        <w:fldChar w:fldCharType="begin"/>
      </w:r>
      <w:r>
        <w:instrText xml:space="preserve"> TOC \o "1-2" \h \z \u </w:instrText>
      </w:r>
      <w:r>
        <w:fldChar w:fldCharType="separate"/>
      </w:r>
      <w:hyperlink w:anchor="_Toc367187916" w:history="1">
        <w:r w:rsidR="005B0755" w:rsidRPr="00CF2B55">
          <w:rPr>
            <w:rStyle w:val="Hyperlink"/>
          </w:rPr>
          <w:t>I.</w:t>
        </w:r>
        <w:r w:rsidR="005B0755">
          <w:rPr>
            <w:rFonts w:asciiTheme="minorHAnsi" w:eastAsiaTheme="minorEastAsia" w:hAnsiTheme="minorHAnsi" w:cstheme="minorBidi"/>
            <w:sz w:val="22"/>
            <w:szCs w:val="22"/>
            <w:lang w:val="en-US"/>
          </w:rPr>
          <w:tab/>
        </w:r>
        <w:r w:rsidR="005B0755" w:rsidRPr="00CF2B55">
          <w:rPr>
            <w:rStyle w:val="Hyperlink"/>
          </w:rPr>
          <w:t>Introduction</w:t>
        </w:r>
        <w:r w:rsidR="005B0755">
          <w:rPr>
            <w:webHidden/>
          </w:rPr>
          <w:tab/>
        </w:r>
        <w:r w:rsidR="005B0755">
          <w:rPr>
            <w:webHidden/>
          </w:rPr>
          <w:fldChar w:fldCharType="begin"/>
        </w:r>
        <w:r w:rsidR="005B0755">
          <w:rPr>
            <w:webHidden/>
          </w:rPr>
          <w:instrText xml:space="preserve"> PAGEREF _Toc367187916 \h </w:instrText>
        </w:r>
        <w:r w:rsidR="005B0755">
          <w:rPr>
            <w:webHidden/>
          </w:rPr>
        </w:r>
        <w:r w:rsidR="005B0755">
          <w:rPr>
            <w:webHidden/>
          </w:rPr>
          <w:fldChar w:fldCharType="separate"/>
        </w:r>
        <w:r w:rsidR="004F6B56">
          <w:rPr>
            <w:webHidden/>
          </w:rPr>
          <w:t>3</w:t>
        </w:r>
        <w:r w:rsidR="005B0755">
          <w:rPr>
            <w:webHidden/>
          </w:rPr>
          <w:fldChar w:fldCharType="end"/>
        </w:r>
      </w:hyperlink>
    </w:p>
    <w:p w:rsidR="005B0755" w:rsidRDefault="008C7C24">
      <w:pPr>
        <w:pStyle w:val="TOC1"/>
        <w:rPr>
          <w:rFonts w:asciiTheme="minorHAnsi" w:eastAsiaTheme="minorEastAsia" w:hAnsiTheme="minorHAnsi" w:cstheme="minorBidi"/>
          <w:sz w:val="22"/>
          <w:szCs w:val="22"/>
          <w:lang w:val="en-US"/>
        </w:rPr>
      </w:pPr>
      <w:hyperlink w:anchor="_Toc367187917" w:history="1">
        <w:r w:rsidR="005B0755" w:rsidRPr="00CF2B55">
          <w:rPr>
            <w:rStyle w:val="Hyperlink"/>
          </w:rPr>
          <w:t>II.</w:t>
        </w:r>
        <w:r w:rsidR="005B0755">
          <w:rPr>
            <w:rFonts w:asciiTheme="minorHAnsi" w:eastAsiaTheme="minorEastAsia" w:hAnsiTheme="minorHAnsi" w:cstheme="minorBidi"/>
            <w:sz w:val="22"/>
            <w:szCs w:val="22"/>
            <w:lang w:val="en-US"/>
          </w:rPr>
          <w:tab/>
        </w:r>
        <w:r w:rsidR="005B0755" w:rsidRPr="00CF2B55">
          <w:rPr>
            <w:rStyle w:val="Hyperlink"/>
          </w:rPr>
          <w:t>Architecture</w:t>
        </w:r>
        <w:r w:rsidR="005B0755">
          <w:rPr>
            <w:webHidden/>
          </w:rPr>
          <w:tab/>
        </w:r>
        <w:r w:rsidR="005B0755">
          <w:rPr>
            <w:webHidden/>
          </w:rPr>
          <w:fldChar w:fldCharType="begin"/>
        </w:r>
        <w:r w:rsidR="005B0755">
          <w:rPr>
            <w:webHidden/>
          </w:rPr>
          <w:instrText xml:space="preserve"> PAGEREF _Toc367187917 \h </w:instrText>
        </w:r>
        <w:r w:rsidR="005B0755">
          <w:rPr>
            <w:webHidden/>
          </w:rPr>
        </w:r>
        <w:r w:rsidR="005B0755">
          <w:rPr>
            <w:webHidden/>
          </w:rPr>
          <w:fldChar w:fldCharType="separate"/>
        </w:r>
        <w:r w:rsidR="004F6B56">
          <w:rPr>
            <w:webHidden/>
          </w:rPr>
          <w:t>3</w:t>
        </w:r>
        <w:r w:rsidR="005B0755">
          <w:rPr>
            <w:webHidden/>
          </w:rPr>
          <w:fldChar w:fldCharType="end"/>
        </w:r>
      </w:hyperlink>
    </w:p>
    <w:p w:rsidR="005B0755" w:rsidRDefault="008C7C24">
      <w:pPr>
        <w:pStyle w:val="TOC1"/>
        <w:rPr>
          <w:rFonts w:asciiTheme="minorHAnsi" w:eastAsiaTheme="minorEastAsia" w:hAnsiTheme="minorHAnsi" w:cstheme="minorBidi"/>
          <w:sz w:val="22"/>
          <w:szCs w:val="22"/>
          <w:lang w:val="en-US"/>
        </w:rPr>
      </w:pPr>
      <w:hyperlink w:anchor="_Toc367187918" w:history="1">
        <w:r w:rsidR="005B0755" w:rsidRPr="00CF2B55">
          <w:rPr>
            <w:rStyle w:val="Hyperlink"/>
          </w:rPr>
          <w:t>III.</w:t>
        </w:r>
        <w:r w:rsidR="005B0755">
          <w:rPr>
            <w:rFonts w:asciiTheme="minorHAnsi" w:eastAsiaTheme="minorEastAsia" w:hAnsiTheme="minorHAnsi" w:cstheme="minorBidi"/>
            <w:sz w:val="22"/>
            <w:szCs w:val="22"/>
            <w:lang w:val="en-US"/>
          </w:rPr>
          <w:tab/>
        </w:r>
        <w:r w:rsidR="005B0755" w:rsidRPr="00CF2B55">
          <w:rPr>
            <w:rStyle w:val="Hyperlink"/>
          </w:rPr>
          <w:t xml:space="preserve">The financing for </w:t>
        </w:r>
        <w:r w:rsidR="005B0755" w:rsidRPr="00CF2B55">
          <w:rPr>
            <w:rStyle w:val="Hyperlink"/>
            <w:lang w:val="en-US"/>
          </w:rPr>
          <w:t>interventions</w:t>
        </w:r>
        <w:r w:rsidR="005B0755" w:rsidRPr="00CF2B55">
          <w:rPr>
            <w:rStyle w:val="Hyperlink"/>
          </w:rPr>
          <w:t xml:space="preserve"> at the global and regional levels</w:t>
        </w:r>
        <w:r w:rsidR="005B0755">
          <w:rPr>
            <w:webHidden/>
          </w:rPr>
          <w:tab/>
        </w:r>
        <w:r w:rsidR="005B0755">
          <w:rPr>
            <w:webHidden/>
          </w:rPr>
          <w:fldChar w:fldCharType="begin"/>
        </w:r>
        <w:r w:rsidR="005B0755">
          <w:rPr>
            <w:webHidden/>
          </w:rPr>
          <w:instrText xml:space="preserve"> PAGEREF _Toc367187918 \h </w:instrText>
        </w:r>
        <w:r w:rsidR="005B0755">
          <w:rPr>
            <w:webHidden/>
          </w:rPr>
        </w:r>
        <w:r w:rsidR="005B0755">
          <w:rPr>
            <w:webHidden/>
          </w:rPr>
          <w:fldChar w:fldCharType="separate"/>
        </w:r>
        <w:r w:rsidR="004F6B56">
          <w:rPr>
            <w:webHidden/>
          </w:rPr>
          <w:t>4</w:t>
        </w:r>
        <w:r w:rsidR="005B0755">
          <w:rPr>
            <w:webHidden/>
          </w:rPr>
          <w:fldChar w:fldCharType="end"/>
        </w:r>
      </w:hyperlink>
    </w:p>
    <w:p w:rsidR="005B0755" w:rsidRDefault="008C7C24" w:rsidP="0098316F">
      <w:pPr>
        <w:pStyle w:val="TOC2"/>
        <w:tabs>
          <w:tab w:val="clear" w:pos="630"/>
          <w:tab w:val="left" w:pos="1080"/>
        </w:tabs>
        <w:ind w:left="630"/>
        <w:rPr>
          <w:rFonts w:asciiTheme="minorHAnsi" w:eastAsiaTheme="minorEastAsia" w:hAnsiTheme="minorHAnsi" w:cstheme="minorBidi"/>
          <w:sz w:val="22"/>
          <w:szCs w:val="22"/>
          <w:lang w:val="en-US"/>
        </w:rPr>
      </w:pPr>
      <w:hyperlink w:anchor="_Toc367187919" w:history="1">
        <w:r w:rsidR="005B0755" w:rsidRPr="00CF2B55">
          <w:rPr>
            <w:rStyle w:val="Hyperlink"/>
            <w:lang w:val="en-US"/>
          </w:rPr>
          <w:t>A.</w:t>
        </w:r>
        <w:r w:rsidR="005B0755">
          <w:rPr>
            <w:rFonts w:asciiTheme="minorHAnsi" w:eastAsiaTheme="minorEastAsia" w:hAnsiTheme="minorHAnsi" w:cstheme="minorBidi"/>
            <w:sz w:val="22"/>
            <w:szCs w:val="22"/>
            <w:lang w:val="en-US"/>
          </w:rPr>
          <w:tab/>
        </w:r>
        <w:r w:rsidR="005B0755" w:rsidRPr="00CF2B55">
          <w:rPr>
            <w:rStyle w:val="Hyperlink"/>
            <w:lang w:val="en-US"/>
          </w:rPr>
          <w:t>Introduction</w:t>
        </w:r>
        <w:r w:rsidR="005B0755">
          <w:rPr>
            <w:webHidden/>
          </w:rPr>
          <w:tab/>
        </w:r>
        <w:r w:rsidR="005B0755">
          <w:rPr>
            <w:webHidden/>
          </w:rPr>
          <w:fldChar w:fldCharType="begin"/>
        </w:r>
        <w:r w:rsidR="005B0755">
          <w:rPr>
            <w:webHidden/>
          </w:rPr>
          <w:instrText xml:space="preserve"> PAGEREF _Toc367187919 \h </w:instrText>
        </w:r>
        <w:r w:rsidR="005B0755">
          <w:rPr>
            <w:webHidden/>
          </w:rPr>
        </w:r>
        <w:r w:rsidR="005B0755">
          <w:rPr>
            <w:webHidden/>
          </w:rPr>
          <w:fldChar w:fldCharType="separate"/>
        </w:r>
        <w:r w:rsidR="004F6B56">
          <w:rPr>
            <w:webHidden/>
          </w:rPr>
          <w:t>4</w:t>
        </w:r>
        <w:r w:rsidR="005B0755">
          <w:rPr>
            <w:webHidden/>
          </w:rPr>
          <w:fldChar w:fldCharType="end"/>
        </w:r>
      </w:hyperlink>
    </w:p>
    <w:p w:rsidR="005B0755" w:rsidRDefault="008C7C24" w:rsidP="0098316F">
      <w:pPr>
        <w:pStyle w:val="TOC2"/>
        <w:tabs>
          <w:tab w:val="clear" w:pos="630"/>
          <w:tab w:val="left" w:pos="1080"/>
        </w:tabs>
        <w:ind w:left="630"/>
        <w:rPr>
          <w:rFonts w:asciiTheme="minorHAnsi" w:eastAsiaTheme="minorEastAsia" w:hAnsiTheme="minorHAnsi" w:cstheme="minorBidi"/>
          <w:sz w:val="22"/>
          <w:szCs w:val="22"/>
          <w:lang w:val="en-US"/>
        </w:rPr>
      </w:pPr>
      <w:hyperlink w:anchor="_Toc367187920" w:history="1">
        <w:r w:rsidR="005B0755" w:rsidRPr="00CF2B55">
          <w:rPr>
            <w:rStyle w:val="Hyperlink"/>
            <w:lang w:val="en-US"/>
          </w:rPr>
          <w:t>B.</w:t>
        </w:r>
        <w:r w:rsidR="005B0755">
          <w:rPr>
            <w:rFonts w:asciiTheme="minorHAnsi" w:eastAsiaTheme="minorEastAsia" w:hAnsiTheme="minorHAnsi" w:cstheme="minorBidi"/>
            <w:sz w:val="22"/>
            <w:szCs w:val="22"/>
            <w:lang w:val="en-US"/>
          </w:rPr>
          <w:tab/>
        </w:r>
        <w:r w:rsidR="005B0755" w:rsidRPr="00CF2B55">
          <w:rPr>
            <w:rStyle w:val="Hyperlink"/>
            <w:lang w:val="en-US"/>
          </w:rPr>
          <w:t>Global and regional interventions</w:t>
        </w:r>
        <w:r w:rsidR="005B0755">
          <w:rPr>
            <w:webHidden/>
          </w:rPr>
          <w:tab/>
        </w:r>
        <w:r w:rsidR="005B0755">
          <w:rPr>
            <w:webHidden/>
          </w:rPr>
          <w:fldChar w:fldCharType="begin"/>
        </w:r>
        <w:r w:rsidR="005B0755">
          <w:rPr>
            <w:webHidden/>
          </w:rPr>
          <w:instrText xml:space="preserve"> PAGEREF _Toc367187920 \h </w:instrText>
        </w:r>
        <w:r w:rsidR="005B0755">
          <w:rPr>
            <w:webHidden/>
          </w:rPr>
        </w:r>
        <w:r w:rsidR="005B0755">
          <w:rPr>
            <w:webHidden/>
          </w:rPr>
          <w:fldChar w:fldCharType="separate"/>
        </w:r>
        <w:r w:rsidR="004F6B56">
          <w:rPr>
            <w:webHidden/>
          </w:rPr>
          <w:t>5</w:t>
        </w:r>
        <w:r w:rsidR="005B0755">
          <w:rPr>
            <w:webHidden/>
          </w:rPr>
          <w:fldChar w:fldCharType="end"/>
        </w:r>
      </w:hyperlink>
    </w:p>
    <w:p w:rsidR="005B0755" w:rsidRDefault="008C7C24" w:rsidP="0098316F">
      <w:pPr>
        <w:pStyle w:val="TOC2"/>
        <w:tabs>
          <w:tab w:val="clear" w:pos="630"/>
          <w:tab w:val="left" w:pos="1080"/>
        </w:tabs>
        <w:ind w:left="630"/>
        <w:rPr>
          <w:rFonts w:asciiTheme="minorHAnsi" w:eastAsiaTheme="minorEastAsia" w:hAnsiTheme="minorHAnsi" w:cstheme="minorBidi"/>
          <w:sz w:val="22"/>
          <w:szCs w:val="22"/>
          <w:lang w:val="en-US"/>
        </w:rPr>
      </w:pPr>
      <w:hyperlink w:anchor="_Toc367187921" w:history="1">
        <w:r w:rsidR="005B0755" w:rsidRPr="00CF2B55">
          <w:rPr>
            <w:rStyle w:val="Hyperlink"/>
            <w:lang w:val="en-US"/>
          </w:rPr>
          <w:t>C.</w:t>
        </w:r>
        <w:r w:rsidR="005B0755">
          <w:rPr>
            <w:rFonts w:asciiTheme="minorHAnsi" w:eastAsiaTheme="minorEastAsia" w:hAnsiTheme="minorHAnsi" w:cstheme="minorBidi"/>
            <w:sz w:val="22"/>
            <w:szCs w:val="22"/>
            <w:lang w:val="en-US"/>
          </w:rPr>
          <w:tab/>
        </w:r>
        <w:r w:rsidR="005B0755" w:rsidRPr="00CF2B55">
          <w:rPr>
            <w:rStyle w:val="Hyperlink"/>
            <w:lang w:val="en-US"/>
          </w:rPr>
          <w:t>Allocating resources</w:t>
        </w:r>
        <w:r w:rsidR="005B0755">
          <w:rPr>
            <w:webHidden/>
          </w:rPr>
          <w:tab/>
        </w:r>
        <w:r w:rsidR="005B0755">
          <w:rPr>
            <w:webHidden/>
          </w:rPr>
          <w:fldChar w:fldCharType="begin"/>
        </w:r>
        <w:r w:rsidR="005B0755">
          <w:rPr>
            <w:webHidden/>
          </w:rPr>
          <w:instrText xml:space="preserve"> PAGEREF _Toc367187921 \h </w:instrText>
        </w:r>
        <w:r w:rsidR="005B0755">
          <w:rPr>
            <w:webHidden/>
          </w:rPr>
        </w:r>
        <w:r w:rsidR="005B0755">
          <w:rPr>
            <w:webHidden/>
          </w:rPr>
          <w:fldChar w:fldCharType="separate"/>
        </w:r>
        <w:r w:rsidR="004F6B56">
          <w:rPr>
            <w:webHidden/>
          </w:rPr>
          <w:t>7</w:t>
        </w:r>
        <w:r w:rsidR="005B0755">
          <w:rPr>
            <w:webHidden/>
          </w:rPr>
          <w:fldChar w:fldCharType="end"/>
        </w:r>
      </w:hyperlink>
    </w:p>
    <w:p w:rsidR="005B0755" w:rsidRDefault="008C7C24" w:rsidP="0098316F">
      <w:pPr>
        <w:pStyle w:val="TOC2"/>
        <w:tabs>
          <w:tab w:val="clear" w:pos="630"/>
          <w:tab w:val="left" w:pos="1080"/>
        </w:tabs>
        <w:ind w:left="630"/>
        <w:rPr>
          <w:rFonts w:asciiTheme="minorHAnsi" w:eastAsiaTheme="minorEastAsia" w:hAnsiTheme="minorHAnsi" w:cstheme="minorBidi"/>
          <w:sz w:val="22"/>
          <w:szCs w:val="22"/>
          <w:lang w:val="en-US"/>
        </w:rPr>
      </w:pPr>
      <w:hyperlink w:anchor="_Toc367187922" w:history="1">
        <w:r w:rsidR="005B0755" w:rsidRPr="00CF2B55">
          <w:rPr>
            <w:rStyle w:val="Hyperlink"/>
            <w:lang w:val="en-US"/>
          </w:rPr>
          <w:t>D.</w:t>
        </w:r>
        <w:r w:rsidR="005B0755">
          <w:rPr>
            <w:rFonts w:asciiTheme="minorHAnsi" w:eastAsiaTheme="minorEastAsia" w:hAnsiTheme="minorHAnsi" w:cstheme="minorBidi"/>
            <w:sz w:val="22"/>
            <w:szCs w:val="22"/>
            <w:lang w:val="en-US"/>
          </w:rPr>
          <w:tab/>
        </w:r>
        <w:r w:rsidR="005B0755" w:rsidRPr="00CF2B55">
          <w:rPr>
            <w:rStyle w:val="Hyperlink"/>
            <w:lang w:val="en-US"/>
          </w:rPr>
          <w:t>Achieving results</w:t>
        </w:r>
        <w:r w:rsidR="005B0755">
          <w:rPr>
            <w:webHidden/>
          </w:rPr>
          <w:tab/>
        </w:r>
        <w:r w:rsidR="005B0755">
          <w:rPr>
            <w:webHidden/>
          </w:rPr>
          <w:fldChar w:fldCharType="begin"/>
        </w:r>
        <w:r w:rsidR="005B0755">
          <w:rPr>
            <w:webHidden/>
          </w:rPr>
          <w:instrText xml:space="preserve"> PAGEREF _Toc367187922 \h </w:instrText>
        </w:r>
        <w:r w:rsidR="005B0755">
          <w:rPr>
            <w:webHidden/>
          </w:rPr>
        </w:r>
        <w:r w:rsidR="005B0755">
          <w:rPr>
            <w:webHidden/>
          </w:rPr>
          <w:fldChar w:fldCharType="separate"/>
        </w:r>
        <w:r w:rsidR="004F6B56">
          <w:rPr>
            <w:webHidden/>
          </w:rPr>
          <w:t>9</w:t>
        </w:r>
        <w:r w:rsidR="005B0755">
          <w:rPr>
            <w:webHidden/>
          </w:rPr>
          <w:fldChar w:fldCharType="end"/>
        </w:r>
      </w:hyperlink>
    </w:p>
    <w:p w:rsidR="005B0755" w:rsidRDefault="008C7C24" w:rsidP="0098316F">
      <w:pPr>
        <w:pStyle w:val="TOC2"/>
        <w:tabs>
          <w:tab w:val="clear" w:pos="630"/>
          <w:tab w:val="left" w:pos="1080"/>
        </w:tabs>
        <w:ind w:left="630"/>
        <w:rPr>
          <w:rFonts w:asciiTheme="minorHAnsi" w:eastAsiaTheme="minorEastAsia" w:hAnsiTheme="minorHAnsi" w:cstheme="minorBidi"/>
          <w:sz w:val="22"/>
          <w:szCs w:val="22"/>
          <w:lang w:val="en-US"/>
        </w:rPr>
      </w:pPr>
      <w:hyperlink w:anchor="_Toc367187923" w:history="1">
        <w:r w:rsidR="005B0755" w:rsidRPr="00CF2B55">
          <w:rPr>
            <w:rStyle w:val="Hyperlink"/>
            <w:lang w:val="en-US"/>
          </w:rPr>
          <w:t>E.</w:t>
        </w:r>
        <w:r w:rsidR="005B0755">
          <w:rPr>
            <w:rFonts w:asciiTheme="minorHAnsi" w:eastAsiaTheme="minorEastAsia" w:hAnsiTheme="minorHAnsi" w:cstheme="minorBidi"/>
            <w:sz w:val="22"/>
            <w:szCs w:val="22"/>
            <w:lang w:val="en-US"/>
          </w:rPr>
          <w:tab/>
        </w:r>
        <w:r w:rsidR="005B0755" w:rsidRPr="00CF2B55">
          <w:rPr>
            <w:rStyle w:val="Hyperlink"/>
            <w:lang w:val="en-US"/>
          </w:rPr>
          <w:t>Roles and responsibilities</w:t>
        </w:r>
        <w:r w:rsidR="005B0755">
          <w:rPr>
            <w:webHidden/>
          </w:rPr>
          <w:tab/>
        </w:r>
        <w:r w:rsidR="005B0755">
          <w:rPr>
            <w:webHidden/>
          </w:rPr>
          <w:fldChar w:fldCharType="begin"/>
        </w:r>
        <w:r w:rsidR="005B0755">
          <w:rPr>
            <w:webHidden/>
          </w:rPr>
          <w:instrText xml:space="preserve"> PAGEREF _Toc367187923 \h </w:instrText>
        </w:r>
        <w:r w:rsidR="005B0755">
          <w:rPr>
            <w:webHidden/>
          </w:rPr>
        </w:r>
        <w:r w:rsidR="005B0755">
          <w:rPr>
            <w:webHidden/>
          </w:rPr>
          <w:fldChar w:fldCharType="separate"/>
        </w:r>
        <w:r w:rsidR="004F6B56">
          <w:rPr>
            <w:webHidden/>
          </w:rPr>
          <w:t>10</w:t>
        </w:r>
        <w:r w:rsidR="005B0755">
          <w:rPr>
            <w:webHidden/>
          </w:rPr>
          <w:fldChar w:fldCharType="end"/>
        </w:r>
      </w:hyperlink>
    </w:p>
    <w:p w:rsidR="005B0755" w:rsidRDefault="008C7C24" w:rsidP="0098316F">
      <w:pPr>
        <w:pStyle w:val="TOC1"/>
        <w:rPr>
          <w:rFonts w:asciiTheme="minorHAnsi" w:eastAsiaTheme="minorEastAsia" w:hAnsiTheme="minorHAnsi" w:cstheme="minorBidi"/>
          <w:sz w:val="22"/>
          <w:szCs w:val="22"/>
          <w:lang w:val="en-US"/>
        </w:rPr>
      </w:pPr>
      <w:hyperlink w:anchor="_Toc367187924" w:history="1">
        <w:r w:rsidR="005B0755" w:rsidRPr="00CF2B55">
          <w:rPr>
            <w:rStyle w:val="Hyperlink"/>
          </w:rPr>
          <w:t>IV.</w:t>
        </w:r>
        <w:r w:rsidR="005B0755">
          <w:rPr>
            <w:rFonts w:asciiTheme="minorHAnsi" w:eastAsiaTheme="minorEastAsia" w:hAnsiTheme="minorHAnsi" w:cstheme="minorBidi"/>
            <w:sz w:val="22"/>
            <w:szCs w:val="22"/>
            <w:lang w:val="en-US"/>
          </w:rPr>
          <w:tab/>
        </w:r>
        <w:r w:rsidR="005B0755" w:rsidRPr="00CF2B55">
          <w:rPr>
            <w:rStyle w:val="Hyperlink"/>
          </w:rPr>
          <w:t>The resource allocation system</w:t>
        </w:r>
        <w:r w:rsidR="005B0755">
          <w:rPr>
            <w:webHidden/>
          </w:rPr>
          <w:tab/>
        </w:r>
        <w:r w:rsidR="005B0755">
          <w:rPr>
            <w:webHidden/>
          </w:rPr>
          <w:fldChar w:fldCharType="begin"/>
        </w:r>
        <w:r w:rsidR="005B0755">
          <w:rPr>
            <w:webHidden/>
          </w:rPr>
          <w:instrText xml:space="preserve"> PAGEREF _Toc367187924 \h </w:instrText>
        </w:r>
        <w:r w:rsidR="005B0755">
          <w:rPr>
            <w:webHidden/>
          </w:rPr>
        </w:r>
        <w:r w:rsidR="005B0755">
          <w:rPr>
            <w:webHidden/>
          </w:rPr>
          <w:fldChar w:fldCharType="separate"/>
        </w:r>
        <w:r w:rsidR="004F6B56">
          <w:rPr>
            <w:webHidden/>
          </w:rPr>
          <w:t>10</w:t>
        </w:r>
        <w:r w:rsidR="005B0755">
          <w:rPr>
            <w:webHidden/>
          </w:rPr>
          <w:fldChar w:fldCharType="end"/>
        </w:r>
      </w:hyperlink>
    </w:p>
    <w:p w:rsidR="005B0755" w:rsidRPr="00212013" w:rsidRDefault="008C7C24" w:rsidP="00212013">
      <w:pPr>
        <w:pStyle w:val="TOC2"/>
        <w:tabs>
          <w:tab w:val="clear" w:pos="630"/>
          <w:tab w:val="left" w:pos="1080"/>
        </w:tabs>
        <w:ind w:left="630"/>
        <w:rPr>
          <w:rStyle w:val="Hyperlink"/>
        </w:rPr>
      </w:pPr>
      <w:hyperlink w:anchor="_Toc367187925" w:history="1">
        <w:r w:rsidR="005B0755" w:rsidRPr="00212013">
          <w:rPr>
            <w:rStyle w:val="Hyperlink"/>
            <w:lang w:val="en-US"/>
          </w:rPr>
          <w:t>A.</w:t>
        </w:r>
        <w:r w:rsidR="005B0755" w:rsidRPr="00212013">
          <w:rPr>
            <w:rStyle w:val="Hyperlink"/>
          </w:rPr>
          <w:tab/>
        </w:r>
        <w:r w:rsidR="005B0755" w:rsidRPr="00CF2B55">
          <w:rPr>
            <w:rStyle w:val="Hyperlink"/>
            <w:lang w:val="en-US"/>
          </w:rPr>
          <w:t>Background</w:t>
        </w:r>
        <w:r w:rsidR="005B0755" w:rsidRPr="00212013">
          <w:rPr>
            <w:rStyle w:val="Hyperlink"/>
            <w:webHidden/>
            <w:lang w:val="en-US"/>
          </w:rPr>
          <w:tab/>
        </w:r>
        <w:r w:rsidR="005B0755" w:rsidRPr="00212013">
          <w:rPr>
            <w:rStyle w:val="Hyperlink"/>
            <w:webHidden/>
            <w:lang w:val="en-US"/>
          </w:rPr>
          <w:fldChar w:fldCharType="begin"/>
        </w:r>
        <w:r w:rsidR="005B0755" w:rsidRPr="00212013">
          <w:rPr>
            <w:rStyle w:val="Hyperlink"/>
            <w:webHidden/>
            <w:lang w:val="en-US"/>
          </w:rPr>
          <w:instrText xml:space="preserve"> PAGEREF _Toc367187925 \h </w:instrText>
        </w:r>
        <w:r w:rsidR="005B0755" w:rsidRPr="00212013">
          <w:rPr>
            <w:rStyle w:val="Hyperlink"/>
            <w:webHidden/>
            <w:lang w:val="en-US"/>
          </w:rPr>
        </w:r>
        <w:r w:rsidR="005B0755" w:rsidRPr="00212013">
          <w:rPr>
            <w:rStyle w:val="Hyperlink"/>
            <w:webHidden/>
            <w:lang w:val="en-US"/>
          </w:rPr>
          <w:fldChar w:fldCharType="separate"/>
        </w:r>
        <w:r w:rsidR="004F6B56">
          <w:rPr>
            <w:rStyle w:val="Hyperlink"/>
            <w:webHidden/>
            <w:lang w:val="en-US"/>
          </w:rPr>
          <w:t>10</w:t>
        </w:r>
        <w:r w:rsidR="005B0755" w:rsidRPr="00212013">
          <w:rPr>
            <w:rStyle w:val="Hyperlink"/>
            <w:webHidden/>
            <w:lang w:val="en-US"/>
          </w:rPr>
          <w:fldChar w:fldCharType="end"/>
        </w:r>
      </w:hyperlink>
    </w:p>
    <w:p w:rsidR="005B0755" w:rsidRPr="00212013" w:rsidRDefault="008C7C24" w:rsidP="00212013">
      <w:pPr>
        <w:pStyle w:val="TOC2"/>
        <w:tabs>
          <w:tab w:val="clear" w:pos="630"/>
          <w:tab w:val="left" w:pos="1080"/>
        </w:tabs>
        <w:ind w:left="630"/>
        <w:rPr>
          <w:rStyle w:val="Hyperlink"/>
        </w:rPr>
      </w:pPr>
      <w:hyperlink w:anchor="_Toc367187926" w:history="1">
        <w:r w:rsidR="005B0755" w:rsidRPr="00212013">
          <w:rPr>
            <w:rStyle w:val="Hyperlink"/>
            <w:lang w:val="en-US"/>
          </w:rPr>
          <w:t>B.</w:t>
        </w:r>
        <w:r w:rsidR="005B0755" w:rsidRPr="00212013">
          <w:rPr>
            <w:rStyle w:val="Hyperlink"/>
          </w:rPr>
          <w:tab/>
        </w:r>
        <w:r w:rsidR="005B0755" w:rsidRPr="00CF2B55">
          <w:rPr>
            <w:rStyle w:val="Hyperlink"/>
            <w:lang w:val="en-US"/>
          </w:rPr>
          <w:t>Key challenges</w:t>
        </w:r>
        <w:r w:rsidR="005B0755" w:rsidRPr="00212013">
          <w:rPr>
            <w:rStyle w:val="Hyperlink"/>
            <w:webHidden/>
            <w:lang w:val="en-US"/>
          </w:rPr>
          <w:tab/>
        </w:r>
        <w:r w:rsidR="005B0755" w:rsidRPr="00212013">
          <w:rPr>
            <w:rStyle w:val="Hyperlink"/>
            <w:webHidden/>
            <w:lang w:val="en-US"/>
          </w:rPr>
          <w:fldChar w:fldCharType="begin"/>
        </w:r>
        <w:r w:rsidR="005B0755" w:rsidRPr="00212013">
          <w:rPr>
            <w:rStyle w:val="Hyperlink"/>
            <w:webHidden/>
            <w:lang w:val="en-US"/>
          </w:rPr>
          <w:instrText xml:space="preserve"> PAGEREF _Toc367187926 \h </w:instrText>
        </w:r>
        <w:r w:rsidR="005B0755" w:rsidRPr="00212013">
          <w:rPr>
            <w:rStyle w:val="Hyperlink"/>
            <w:webHidden/>
            <w:lang w:val="en-US"/>
          </w:rPr>
        </w:r>
        <w:r w:rsidR="005B0755" w:rsidRPr="00212013">
          <w:rPr>
            <w:rStyle w:val="Hyperlink"/>
            <w:webHidden/>
            <w:lang w:val="en-US"/>
          </w:rPr>
          <w:fldChar w:fldCharType="separate"/>
        </w:r>
        <w:r w:rsidR="004F6B56">
          <w:rPr>
            <w:rStyle w:val="Hyperlink"/>
            <w:webHidden/>
            <w:lang w:val="en-US"/>
          </w:rPr>
          <w:t>12</w:t>
        </w:r>
        <w:r w:rsidR="005B0755" w:rsidRPr="00212013">
          <w:rPr>
            <w:rStyle w:val="Hyperlink"/>
            <w:webHidden/>
            <w:lang w:val="en-US"/>
          </w:rPr>
          <w:fldChar w:fldCharType="end"/>
        </w:r>
      </w:hyperlink>
    </w:p>
    <w:p w:rsidR="005B0755" w:rsidRPr="00212013" w:rsidRDefault="008C7C24" w:rsidP="00212013">
      <w:pPr>
        <w:pStyle w:val="TOC2"/>
        <w:tabs>
          <w:tab w:val="clear" w:pos="630"/>
          <w:tab w:val="left" w:pos="1080"/>
        </w:tabs>
        <w:ind w:left="630"/>
        <w:rPr>
          <w:rStyle w:val="Hyperlink"/>
        </w:rPr>
      </w:pPr>
      <w:hyperlink w:anchor="_Toc367187927" w:history="1">
        <w:r w:rsidR="005B0755" w:rsidRPr="00212013">
          <w:rPr>
            <w:rStyle w:val="Hyperlink"/>
            <w:lang w:val="en-US"/>
          </w:rPr>
          <w:t>C.</w:t>
        </w:r>
        <w:r w:rsidR="005B0755" w:rsidRPr="00212013">
          <w:rPr>
            <w:rStyle w:val="Hyperlink"/>
          </w:rPr>
          <w:tab/>
        </w:r>
        <w:r w:rsidR="005B0755" w:rsidRPr="00CF2B55">
          <w:rPr>
            <w:rStyle w:val="Hyperlink"/>
            <w:lang w:val="en-US"/>
          </w:rPr>
          <w:t>Addressing the challenges</w:t>
        </w:r>
        <w:r w:rsidR="005B0755" w:rsidRPr="00212013">
          <w:rPr>
            <w:rStyle w:val="Hyperlink"/>
            <w:webHidden/>
            <w:lang w:val="en-US"/>
          </w:rPr>
          <w:tab/>
        </w:r>
        <w:r w:rsidR="005B0755" w:rsidRPr="00212013">
          <w:rPr>
            <w:rStyle w:val="Hyperlink"/>
            <w:webHidden/>
            <w:lang w:val="en-US"/>
          </w:rPr>
          <w:fldChar w:fldCharType="begin"/>
        </w:r>
        <w:r w:rsidR="005B0755" w:rsidRPr="00212013">
          <w:rPr>
            <w:rStyle w:val="Hyperlink"/>
            <w:webHidden/>
            <w:lang w:val="en-US"/>
          </w:rPr>
          <w:instrText xml:space="preserve"> PAGEREF _Toc367187927 \h </w:instrText>
        </w:r>
        <w:r w:rsidR="005B0755" w:rsidRPr="00212013">
          <w:rPr>
            <w:rStyle w:val="Hyperlink"/>
            <w:webHidden/>
            <w:lang w:val="en-US"/>
          </w:rPr>
        </w:r>
        <w:r w:rsidR="005B0755" w:rsidRPr="00212013">
          <w:rPr>
            <w:rStyle w:val="Hyperlink"/>
            <w:webHidden/>
            <w:lang w:val="en-US"/>
          </w:rPr>
          <w:fldChar w:fldCharType="separate"/>
        </w:r>
        <w:r w:rsidR="004F6B56">
          <w:rPr>
            <w:rStyle w:val="Hyperlink"/>
            <w:webHidden/>
            <w:lang w:val="en-US"/>
          </w:rPr>
          <w:t>16</w:t>
        </w:r>
        <w:r w:rsidR="005B0755" w:rsidRPr="00212013">
          <w:rPr>
            <w:rStyle w:val="Hyperlink"/>
            <w:webHidden/>
            <w:lang w:val="en-US"/>
          </w:rPr>
          <w:fldChar w:fldCharType="end"/>
        </w:r>
      </w:hyperlink>
    </w:p>
    <w:p w:rsidR="005B0755" w:rsidRDefault="008C7C24" w:rsidP="0098316F">
      <w:pPr>
        <w:pStyle w:val="TOC1"/>
        <w:rPr>
          <w:rFonts w:asciiTheme="minorHAnsi" w:eastAsiaTheme="minorEastAsia" w:hAnsiTheme="minorHAnsi" w:cstheme="minorBidi"/>
          <w:sz w:val="22"/>
          <w:szCs w:val="22"/>
          <w:lang w:val="en-US"/>
        </w:rPr>
      </w:pPr>
      <w:hyperlink w:anchor="_Toc367187928" w:history="1">
        <w:r w:rsidR="005B0755" w:rsidRPr="00CF2B55">
          <w:rPr>
            <w:rStyle w:val="Hyperlink"/>
          </w:rPr>
          <w:t>V.</w:t>
        </w:r>
        <w:r w:rsidR="005B0755">
          <w:rPr>
            <w:rFonts w:asciiTheme="minorHAnsi" w:eastAsiaTheme="minorEastAsia" w:hAnsiTheme="minorHAnsi" w:cstheme="minorBidi"/>
            <w:sz w:val="22"/>
            <w:szCs w:val="22"/>
            <w:lang w:val="en-US"/>
          </w:rPr>
          <w:tab/>
        </w:r>
        <w:r w:rsidR="005B0755" w:rsidRPr="00CF2B55">
          <w:rPr>
            <w:rStyle w:val="Hyperlink"/>
          </w:rPr>
          <w:t xml:space="preserve">Other mechanisms for allocating </w:t>
        </w:r>
        <w:r w:rsidR="005B0755" w:rsidRPr="00CF2B55">
          <w:rPr>
            <w:rStyle w:val="Hyperlink"/>
            <w:lang w:val="en-US"/>
          </w:rPr>
          <w:t xml:space="preserve">programmatic </w:t>
        </w:r>
        <w:r w:rsidR="005B0755" w:rsidRPr="00CF2B55">
          <w:rPr>
            <w:rStyle w:val="Hyperlink"/>
          </w:rPr>
          <w:t>resources</w:t>
        </w:r>
        <w:r w:rsidR="005B0755">
          <w:rPr>
            <w:webHidden/>
          </w:rPr>
          <w:tab/>
        </w:r>
        <w:r w:rsidR="005B0755">
          <w:rPr>
            <w:webHidden/>
          </w:rPr>
          <w:fldChar w:fldCharType="begin"/>
        </w:r>
        <w:r w:rsidR="005B0755">
          <w:rPr>
            <w:webHidden/>
          </w:rPr>
          <w:instrText xml:space="preserve"> PAGEREF _Toc367187928 \h </w:instrText>
        </w:r>
        <w:r w:rsidR="005B0755">
          <w:rPr>
            <w:webHidden/>
          </w:rPr>
        </w:r>
        <w:r w:rsidR="005B0755">
          <w:rPr>
            <w:webHidden/>
          </w:rPr>
          <w:fldChar w:fldCharType="separate"/>
        </w:r>
        <w:r w:rsidR="004F6B56">
          <w:rPr>
            <w:webHidden/>
          </w:rPr>
          <w:t>28</w:t>
        </w:r>
        <w:r w:rsidR="005B0755">
          <w:rPr>
            <w:webHidden/>
          </w:rPr>
          <w:fldChar w:fldCharType="end"/>
        </w:r>
      </w:hyperlink>
    </w:p>
    <w:p w:rsidR="005B0755" w:rsidRPr="00212013" w:rsidRDefault="008C7C24" w:rsidP="00212013">
      <w:pPr>
        <w:pStyle w:val="TOC2"/>
        <w:tabs>
          <w:tab w:val="clear" w:pos="630"/>
          <w:tab w:val="left" w:pos="1080"/>
        </w:tabs>
        <w:ind w:left="630"/>
        <w:rPr>
          <w:rStyle w:val="Hyperlink"/>
        </w:rPr>
      </w:pPr>
      <w:hyperlink w:anchor="_Toc367187929" w:history="1">
        <w:r w:rsidR="005B0755" w:rsidRPr="00212013">
          <w:rPr>
            <w:rStyle w:val="Hyperlink"/>
            <w:lang w:val="en-US"/>
          </w:rPr>
          <w:t>A.</w:t>
        </w:r>
        <w:r w:rsidR="005B0755" w:rsidRPr="00212013">
          <w:rPr>
            <w:rStyle w:val="Hyperlink"/>
          </w:rPr>
          <w:tab/>
        </w:r>
        <w:r w:rsidR="005B0755" w:rsidRPr="00212013">
          <w:rPr>
            <w:rStyle w:val="Hyperlink"/>
            <w:lang w:val="en-US"/>
          </w:rPr>
          <w:t xml:space="preserve">Emergency </w:t>
        </w:r>
        <w:r w:rsidR="005B0755" w:rsidRPr="00CF2B55">
          <w:rPr>
            <w:rStyle w:val="Hyperlink"/>
            <w:lang w:val="en-US"/>
          </w:rPr>
          <w:t>F</w:t>
        </w:r>
        <w:r w:rsidR="005B0755" w:rsidRPr="00212013">
          <w:rPr>
            <w:rStyle w:val="Hyperlink"/>
            <w:lang w:val="en-US"/>
          </w:rPr>
          <w:t>und</w:t>
        </w:r>
        <w:r w:rsidR="005B0755" w:rsidRPr="00212013">
          <w:rPr>
            <w:rStyle w:val="Hyperlink"/>
            <w:webHidden/>
            <w:lang w:val="en-US"/>
          </w:rPr>
          <w:tab/>
        </w:r>
        <w:r w:rsidR="005B0755" w:rsidRPr="00212013">
          <w:rPr>
            <w:rStyle w:val="Hyperlink"/>
            <w:webHidden/>
            <w:lang w:val="en-US"/>
          </w:rPr>
          <w:fldChar w:fldCharType="begin"/>
        </w:r>
        <w:r w:rsidR="005B0755" w:rsidRPr="00212013">
          <w:rPr>
            <w:rStyle w:val="Hyperlink"/>
            <w:webHidden/>
            <w:lang w:val="en-US"/>
          </w:rPr>
          <w:instrText xml:space="preserve"> PAGEREF _Toc367187929 \h </w:instrText>
        </w:r>
        <w:r w:rsidR="005B0755" w:rsidRPr="00212013">
          <w:rPr>
            <w:rStyle w:val="Hyperlink"/>
            <w:webHidden/>
            <w:lang w:val="en-US"/>
          </w:rPr>
        </w:r>
        <w:r w:rsidR="005B0755" w:rsidRPr="00212013">
          <w:rPr>
            <w:rStyle w:val="Hyperlink"/>
            <w:webHidden/>
            <w:lang w:val="en-US"/>
          </w:rPr>
          <w:fldChar w:fldCharType="separate"/>
        </w:r>
        <w:r w:rsidR="004F6B56">
          <w:rPr>
            <w:rStyle w:val="Hyperlink"/>
            <w:webHidden/>
            <w:lang w:val="en-US"/>
          </w:rPr>
          <w:t>28</w:t>
        </w:r>
        <w:r w:rsidR="005B0755" w:rsidRPr="00212013">
          <w:rPr>
            <w:rStyle w:val="Hyperlink"/>
            <w:webHidden/>
            <w:lang w:val="en-US"/>
          </w:rPr>
          <w:fldChar w:fldCharType="end"/>
        </w:r>
      </w:hyperlink>
    </w:p>
    <w:p w:rsidR="005B0755" w:rsidRPr="00212013" w:rsidRDefault="008C7C24" w:rsidP="00212013">
      <w:pPr>
        <w:pStyle w:val="TOC2"/>
        <w:tabs>
          <w:tab w:val="clear" w:pos="630"/>
          <w:tab w:val="left" w:pos="1080"/>
        </w:tabs>
        <w:ind w:left="630"/>
        <w:rPr>
          <w:rStyle w:val="Hyperlink"/>
        </w:rPr>
      </w:pPr>
      <w:hyperlink w:anchor="_Toc367187930" w:history="1">
        <w:r w:rsidR="005B0755" w:rsidRPr="00212013">
          <w:rPr>
            <w:rStyle w:val="Hyperlink"/>
            <w:lang w:val="en-US"/>
          </w:rPr>
          <w:t>B.</w:t>
        </w:r>
        <w:r w:rsidR="005B0755" w:rsidRPr="00212013">
          <w:rPr>
            <w:rStyle w:val="Hyperlink"/>
          </w:rPr>
          <w:tab/>
        </w:r>
        <w:r w:rsidR="005B0755" w:rsidRPr="00CF2B55">
          <w:rPr>
            <w:rStyle w:val="Hyperlink"/>
            <w:lang w:val="en-US"/>
          </w:rPr>
          <w:t>Opportunities F</w:t>
        </w:r>
        <w:r w:rsidR="005B0755" w:rsidRPr="00212013">
          <w:rPr>
            <w:rStyle w:val="Hyperlink"/>
            <w:lang w:val="en-US"/>
          </w:rPr>
          <w:t>und</w:t>
        </w:r>
        <w:r w:rsidR="005B0755" w:rsidRPr="00212013">
          <w:rPr>
            <w:rStyle w:val="Hyperlink"/>
            <w:webHidden/>
            <w:lang w:val="en-US"/>
          </w:rPr>
          <w:tab/>
        </w:r>
        <w:r w:rsidR="005B0755" w:rsidRPr="00212013">
          <w:rPr>
            <w:rStyle w:val="Hyperlink"/>
            <w:webHidden/>
            <w:lang w:val="en-US"/>
          </w:rPr>
          <w:fldChar w:fldCharType="begin"/>
        </w:r>
        <w:r w:rsidR="005B0755" w:rsidRPr="00212013">
          <w:rPr>
            <w:rStyle w:val="Hyperlink"/>
            <w:webHidden/>
            <w:lang w:val="en-US"/>
          </w:rPr>
          <w:instrText xml:space="preserve"> PAGEREF _Toc367187930 \h </w:instrText>
        </w:r>
        <w:r w:rsidR="005B0755" w:rsidRPr="00212013">
          <w:rPr>
            <w:rStyle w:val="Hyperlink"/>
            <w:webHidden/>
            <w:lang w:val="en-US"/>
          </w:rPr>
        </w:r>
        <w:r w:rsidR="005B0755" w:rsidRPr="00212013">
          <w:rPr>
            <w:rStyle w:val="Hyperlink"/>
            <w:webHidden/>
            <w:lang w:val="en-US"/>
          </w:rPr>
          <w:fldChar w:fldCharType="separate"/>
        </w:r>
        <w:r w:rsidR="004F6B56">
          <w:rPr>
            <w:rStyle w:val="Hyperlink"/>
            <w:webHidden/>
            <w:lang w:val="en-US"/>
          </w:rPr>
          <w:t>28</w:t>
        </w:r>
        <w:r w:rsidR="005B0755" w:rsidRPr="00212013">
          <w:rPr>
            <w:rStyle w:val="Hyperlink"/>
            <w:webHidden/>
            <w:lang w:val="en-US"/>
          </w:rPr>
          <w:fldChar w:fldCharType="end"/>
        </w:r>
      </w:hyperlink>
    </w:p>
    <w:p w:rsidR="005B0755" w:rsidRPr="00212013" w:rsidRDefault="008C7C24" w:rsidP="00212013">
      <w:pPr>
        <w:pStyle w:val="TOC2"/>
        <w:tabs>
          <w:tab w:val="clear" w:pos="630"/>
          <w:tab w:val="left" w:pos="1080"/>
        </w:tabs>
        <w:ind w:left="630"/>
        <w:rPr>
          <w:rStyle w:val="Hyperlink"/>
        </w:rPr>
      </w:pPr>
      <w:hyperlink w:anchor="_Toc367187931" w:history="1">
        <w:r w:rsidR="005B0755" w:rsidRPr="00212013">
          <w:rPr>
            <w:rStyle w:val="Hyperlink"/>
            <w:lang w:val="en-US"/>
          </w:rPr>
          <w:t>C.</w:t>
        </w:r>
        <w:r w:rsidR="005B0755" w:rsidRPr="00212013">
          <w:rPr>
            <w:rStyle w:val="Hyperlink"/>
          </w:rPr>
          <w:tab/>
        </w:r>
        <w:r w:rsidR="005B0755" w:rsidRPr="00CF2B55">
          <w:rPr>
            <w:rStyle w:val="Hyperlink"/>
            <w:lang w:val="en-US"/>
          </w:rPr>
          <w:t>Strengthening mechanisms to optimize resources across the organization</w:t>
        </w:r>
        <w:r w:rsidR="005B0755" w:rsidRPr="00212013">
          <w:rPr>
            <w:rStyle w:val="Hyperlink"/>
            <w:webHidden/>
            <w:lang w:val="en-US"/>
          </w:rPr>
          <w:tab/>
        </w:r>
        <w:r w:rsidR="005B0755" w:rsidRPr="00212013">
          <w:rPr>
            <w:rStyle w:val="Hyperlink"/>
            <w:webHidden/>
            <w:lang w:val="en-US"/>
          </w:rPr>
          <w:fldChar w:fldCharType="begin"/>
        </w:r>
        <w:r w:rsidR="005B0755" w:rsidRPr="00212013">
          <w:rPr>
            <w:rStyle w:val="Hyperlink"/>
            <w:webHidden/>
            <w:lang w:val="en-US"/>
          </w:rPr>
          <w:instrText xml:space="preserve"> PAGEREF _Toc367187931 \h </w:instrText>
        </w:r>
        <w:r w:rsidR="005B0755" w:rsidRPr="00212013">
          <w:rPr>
            <w:rStyle w:val="Hyperlink"/>
            <w:webHidden/>
            <w:lang w:val="en-US"/>
          </w:rPr>
        </w:r>
        <w:r w:rsidR="005B0755" w:rsidRPr="00212013">
          <w:rPr>
            <w:rStyle w:val="Hyperlink"/>
            <w:webHidden/>
            <w:lang w:val="en-US"/>
          </w:rPr>
          <w:fldChar w:fldCharType="separate"/>
        </w:r>
        <w:r w:rsidR="004F6B56">
          <w:rPr>
            <w:rStyle w:val="Hyperlink"/>
            <w:webHidden/>
            <w:lang w:val="en-US"/>
          </w:rPr>
          <w:t>29</w:t>
        </w:r>
        <w:r w:rsidR="005B0755" w:rsidRPr="00212013">
          <w:rPr>
            <w:rStyle w:val="Hyperlink"/>
            <w:webHidden/>
            <w:lang w:val="en-US"/>
          </w:rPr>
          <w:fldChar w:fldCharType="end"/>
        </w:r>
      </w:hyperlink>
    </w:p>
    <w:p w:rsidR="005B0755" w:rsidRDefault="008C7C24" w:rsidP="0098316F">
      <w:pPr>
        <w:pStyle w:val="TOC1"/>
        <w:rPr>
          <w:rFonts w:asciiTheme="minorHAnsi" w:eastAsiaTheme="minorEastAsia" w:hAnsiTheme="minorHAnsi" w:cstheme="minorBidi"/>
          <w:sz w:val="22"/>
          <w:szCs w:val="22"/>
          <w:lang w:val="en-US"/>
        </w:rPr>
      </w:pPr>
      <w:hyperlink w:anchor="_Toc367187932" w:history="1">
        <w:r w:rsidR="005B0755" w:rsidRPr="00CF2B55">
          <w:rPr>
            <w:rStyle w:val="Hyperlink"/>
          </w:rPr>
          <w:t>VI.</w:t>
        </w:r>
        <w:r w:rsidR="005B0755">
          <w:rPr>
            <w:rFonts w:asciiTheme="minorHAnsi" w:eastAsiaTheme="minorEastAsia" w:hAnsiTheme="minorHAnsi" w:cstheme="minorBidi"/>
            <w:sz w:val="22"/>
            <w:szCs w:val="22"/>
            <w:lang w:val="en-US"/>
          </w:rPr>
          <w:tab/>
        </w:r>
        <w:r w:rsidR="005B0755" w:rsidRPr="00CF2B55">
          <w:rPr>
            <w:rStyle w:val="Hyperlink"/>
            <w:lang w:val="en-US"/>
          </w:rPr>
          <w:t>Benefits of the new approaches</w:t>
        </w:r>
        <w:r w:rsidR="005B0755">
          <w:rPr>
            <w:webHidden/>
          </w:rPr>
          <w:tab/>
        </w:r>
        <w:r w:rsidR="005B0755">
          <w:rPr>
            <w:webHidden/>
          </w:rPr>
          <w:fldChar w:fldCharType="begin"/>
        </w:r>
        <w:r w:rsidR="005B0755">
          <w:rPr>
            <w:webHidden/>
          </w:rPr>
          <w:instrText xml:space="preserve"> PAGEREF _Toc367187932 \h </w:instrText>
        </w:r>
        <w:r w:rsidR="005B0755">
          <w:rPr>
            <w:webHidden/>
          </w:rPr>
        </w:r>
        <w:r w:rsidR="005B0755">
          <w:rPr>
            <w:webHidden/>
          </w:rPr>
          <w:fldChar w:fldCharType="separate"/>
        </w:r>
        <w:r w:rsidR="004F6B56">
          <w:rPr>
            <w:webHidden/>
          </w:rPr>
          <w:t>30</w:t>
        </w:r>
        <w:r w:rsidR="005B0755">
          <w:rPr>
            <w:webHidden/>
          </w:rPr>
          <w:fldChar w:fldCharType="end"/>
        </w:r>
      </w:hyperlink>
    </w:p>
    <w:p w:rsidR="005B0755" w:rsidRDefault="008C7C24">
      <w:pPr>
        <w:pStyle w:val="TOC1"/>
        <w:rPr>
          <w:rFonts w:asciiTheme="minorHAnsi" w:eastAsiaTheme="minorEastAsia" w:hAnsiTheme="minorHAnsi" w:cstheme="minorBidi"/>
          <w:sz w:val="22"/>
          <w:szCs w:val="22"/>
          <w:lang w:val="en-US"/>
        </w:rPr>
      </w:pPr>
      <w:hyperlink w:anchor="_Toc367187933" w:history="1">
        <w:r w:rsidR="005B0755" w:rsidRPr="00CF2B55">
          <w:rPr>
            <w:rStyle w:val="Hyperlink"/>
          </w:rPr>
          <w:t>Appendix: Classification of Countries/Territories</w:t>
        </w:r>
        <w:r w:rsidR="005B0755">
          <w:rPr>
            <w:webHidden/>
          </w:rPr>
          <w:tab/>
        </w:r>
        <w:r w:rsidR="005B0755">
          <w:rPr>
            <w:webHidden/>
          </w:rPr>
          <w:fldChar w:fldCharType="begin"/>
        </w:r>
        <w:r w:rsidR="005B0755">
          <w:rPr>
            <w:webHidden/>
          </w:rPr>
          <w:instrText xml:space="preserve"> PAGEREF _Toc367187933 \h </w:instrText>
        </w:r>
        <w:r w:rsidR="005B0755">
          <w:rPr>
            <w:webHidden/>
          </w:rPr>
        </w:r>
        <w:r w:rsidR="005B0755">
          <w:rPr>
            <w:webHidden/>
          </w:rPr>
          <w:fldChar w:fldCharType="separate"/>
        </w:r>
        <w:r w:rsidR="004F6B56">
          <w:rPr>
            <w:webHidden/>
          </w:rPr>
          <w:t>31</w:t>
        </w:r>
        <w:r w:rsidR="005B0755">
          <w:rPr>
            <w:webHidden/>
          </w:rPr>
          <w:fldChar w:fldCharType="end"/>
        </w:r>
      </w:hyperlink>
    </w:p>
    <w:p w:rsidR="00177EDF" w:rsidRPr="009176C2" w:rsidRDefault="00177EDF" w:rsidP="00177EDF">
      <w:r>
        <w:rPr>
          <w:noProof/>
        </w:rPr>
        <w:fldChar w:fldCharType="end"/>
      </w:r>
    </w:p>
    <w:p w:rsidR="00177EDF" w:rsidRPr="009176C2" w:rsidRDefault="00177EDF" w:rsidP="00177EDF">
      <w:pPr>
        <w:tabs>
          <w:tab w:val="left" w:pos="1080"/>
          <w:tab w:val="left" w:pos="1296"/>
          <w:tab w:val="left" w:pos="1728"/>
          <w:tab w:val="left" w:pos="2160"/>
          <w:tab w:val="right" w:leader="dot" w:pos="9360"/>
        </w:tabs>
        <w:ind w:left="540"/>
        <w:jc w:val="both"/>
        <w:rPr>
          <w:b/>
        </w:rPr>
      </w:pPr>
    </w:p>
    <w:p w:rsidR="00177EDF" w:rsidRPr="009176C2" w:rsidRDefault="00177EDF" w:rsidP="00177EDF">
      <w:pPr>
        <w:tabs>
          <w:tab w:val="left" w:pos="1080"/>
          <w:tab w:val="left" w:pos="1296"/>
          <w:tab w:val="left" w:pos="1728"/>
          <w:tab w:val="left" w:pos="2160"/>
          <w:tab w:val="right" w:leader="dot" w:pos="9360"/>
        </w:tabs>
        <w:ind w:left="540"/>
        <w:jc w:val="center"/>
        <w:rPr>
          <w:b/>
          <w:u w:val="single"/>
        </w:rPr>
      </w:pPr>
    </w:p>
    <w:p w:rsidR="00177EDF" w:rsidRPr="009E5D7B" w:rsidRDefault="00177EDF" w:rsidP="00177EDF">
      <w:pPr>
        <w:pStyle w:val="Heading1"/>
        <w:numPr>
          <w:ilvl w:val="0"/>
          <w:numId w:val="6"/>
        </w:numPr>
        <w:rPr>
          <w:lang w:val="en-GB"/>
        </w:rPr>
      </w:pPr>
      <w:r w:rsidRPr="009176C2">
        <w:rPr>
          <w:sz w:val="22"/>
          <w:szCs w:val="22"/>
        </w:rPr>
        <w:br w:type="page"/>
      </w:r>
      <w:bookmarkStart w:id="1" w:name="_Toc367187916"/>
      <w:r w:rsidRPr="009E5D7B">
        <w:rPr>
          <w:lang w:val="en-GB"/>
        </w:rPr>
        <w:lastRenderedPageBreak/>
        <w:t>Introduction</w:t>
      </w:r>
      <w:bookmarkEnd w:id="1"/>
    </w:p>
    <w:p w:rsidR="00177EDF" w:rsidRPr="009176C2" w:rsidRDefault="00177EDF" w:rsidP="00177EDF">
      <w:pPr>
        <w:tabs>
          <w:tab w:val="left" w:pos="475"/>
        </w:tabs>
      </w:pPr>
    </w:p>
    <w:p w:rsidR="00177EDF" w:rsidRDefault="00177EDF" w:rsidP="00177EDF">
      <w:pPr>
        <w:numPr>
          <w:ilvl w:val="0"/>
          <w:numId w:val="2"/>
        </w:numPr>
        <w:tabs>
          <w:tab w:val="left" w:pos="475"/>
        </w:tabs>
        <w:ind w:left="1080" w:right="720" w:firstLine="0"/>
        <w:jc w:val="both"/>
        <w:rPr>
          <w:color w:val="000000"/>
        </w:rPr>
      </w:pPr>
      <w:r>
        <w:rPr>
          <w:color w:val="000000"/>
        </w:rPr>
        <w:t>This annex to the strategic plan, 2014-2017, covers the funding arrangements of UNFPA. In particularly, four key elements are focused on:</w:t>
      </w:r>
    </w:p>
    <w:p w:rsidR="00177EDF" w:rsidRDefault="00177EDF" w:rsidP="00177EDF">
      <w:pPr>
        <w:tabs>
          <w:tab w:val="left" w:pos="475"/>
        </w:tabs>
        <w:ind w:left="1080" w:right="720"/>
        <w:jc w:val="both"/>
        <w:rPr>
          <w:color w:val="000000"/>
        </w:rPr>
      </w:pPr>
    </w:p>
    <w:p w:rsidR="00177EDF" w:rsidRDefault="00177EDF" w:rsidP="00177EDF">
      <w:pPr>
        <w:numPr>
          <w:ilvl w:val="0"/>
          <w:numId w:val="5"/>
        </w:numPr>
        <w:ind w:right="720"/>
        <w:jc w:val="both"/>
      </w:pPr>
      <w:r>
        <w:t>The architecture through which the organization allocates its resources to finance programmatic and management activities;</w:t>
      </w:r>
    </w:p>
    <w:p w:rsidR="00177EDF" w:rsidRDefault="00177EDF" w:rsidP="00177EDF">
      <w:pPr>
        <w:numPr>
          <w:ilvl w:val="0"/>
          <w:numId w:val="5"/>
        </w:numPr>
        <w:ind w:right="720"/>
        <w:jc w:val="both"/>
      </w:pPr>
      <w:r>
        <w:t>The financing for interventions at the global and regional levels (hitherto known as the global and regional programme [GRP]);</w:t>
      </w:r>
    </w:p>
    <w:p w:rsidR="00177EDF" w:rsidRDefault="00177EDF" w:rsidP="00177EDF">
      <w:pPr>
        <w:numPr>
          <w:ilvl w:val="0"/>
          <w:numId w:val="5"/>
        </w:numPr>
        <w:ind w:right="720"/>
        <w:jc w:val="both"/>
      </w:pPr>
      <w:r>
        <w:t xml:space="preserve">The resource allocation system (RAS), for allocating resources at the country level; </w:t>
      </w:r>
    </w:p>
    <w:p w:rsidR="00177EDF" w:rsidRDefault="00177EDF" w:rsidP="00177EDF">
      <w:pPr>
        <w:numPr>
          <w:ilvl w:val="0"/>
          <w:numId w:val="5"/>
        </w:numPr>
        <w:ind w:right="720"/>
        <w:jc w:val="both"/>
      </w:pPr>
      <w:r>
        <w:t>Other mechanisms for allocating programmatic resources, particularly the Emergency Fund and the Opportunities Fund.</w:t>
      </w:r>
    </w:p>
    <w:p w:rsidR="00177EDF" w:rsidRDefault="00177EDF" w:rsidP="00177EDF">
      <w:pPr>
        <w:tabs>
          <w:tab w:val="left" w:pos="475"/>
        </w:tabs>
        <w:ind w:left="1080" w:right="720"/>
        <w:jc w:val="both"/>
        <w:rPr>
          <w:color w:val="000000"/>
        </w:rPr>
      </w:pPr>
    </w:p>
    <w:p w:rsidR="00177EDF" w:rsidRPr="009176C2" w:rsidRDefault="00177EDF" w:rsidP="00177EDF">
      <w:pPr>
        <w:ind w:left="1080" w:right="720"/>
        <w:jc w:val="both"/>
        <w:rPr>
          <w:color w:val="000000"/>
        </w:rPr>
      </w:pPr>
    </w:p>
    <w:p w:rsidR="00177EDF" w:rsidRPr="009176C2" w:rsidRDefault="00177EDF" w:rsidP="00177EDF">
      <w:pPr>
        <w:pStyle w:val="Heading1"/>
        <w:numPr>
          <w:ilvl w:val="0"/>
          <w:numId w:val="6"/>
        </w:numPr>
        <w:rPr>
          <w:lang w:val="en-GB"/>
        </w:rPr>
      </w:pPr>
      <w:bookmarkStart w:id="2" w:name="_Toc367187917"/>
      <w:r>
        <w:rPr>
          <w:lang w:val="en-GB"/>
        </w:rPr>
        <w:t>Architecture</w:t>
      </w:r>
      <w:bookmarkEnd w:id="2"/>
    </w:p>
    <w:p w:rsidR="00177EDF" w:rsidRPr="009176C2" w:rsidRDefault="00177EDF" w:rsidP="00177EDF">
      <w:pPr>
        <w:ind w:left="1080" w:right="720"/>
        <w:jc w:val="both"/>
        <w:rPr>
          <w:szCs w:val="24"/>
        </w:rPr>
      </w:pPr>
    </w:p>
    <w:p w:rsidR="00177EDF" w:rsidRDefault="00177EDF" w:rsidP="00177EDF">
      <w:pPr>
        <w:numPr>
          <w:ilvl w:val="0"/>
          <w:numId w:val="2"/>
        </w:numPr>
        <w:ind w:left="1080" w:right="720" w:firstLine="0"/>
        <w:jc w:val="both"/>
      </w:pPr>
      <w:r>
        <w:t>UNFPA receives resources in two ways: regular and other (non-core) resources.  The former is the core financing for the organization, while the latter is intended to be used for particular projects or programmes. UNFPA has historically received the majority of its financing from regular resources, although the share of other resources has increased in recent years, reaching 54 per cent in 2012 (up from an average of 43 per cent over the preceding five years). If the experience of other UN agencies such as UNDP and UNICEF is any guide, this trend is likely to continue, so it is important that the organization analyse the consequences and be prepared for them.</w:t>
      </w:r>
    </w:p>
    <w:p w:rsidR="00177EDF" w:rsidRDefault="00177EDF" w:rsidP="00177EDF">
      <w:pPr>
        <w:ind w:left="1080" w:right="720"/>
        <w:jc w:val="both"/>
      </w:pPr>
    </w:p>
    <w:p w:rsidR="00177EDF" w:rsidRDefault="00177EDF" w:rsidP="00177EDF">
      <w:pPr>
        <w:numPr>
          <w:ilvl w:val="0"/>
          <w:numId w:val="2"/>
        </w:numPr>
        <w:ind w:left="1080" w:right="720" w:firstLine="0"/>
        <w:jc w:val="both"/>
      </w:pPr>
      <w:r>
        <w:t>Within the overarching categories of “regular” and “other” resources, there are several different ways in which the resources are used:</w:t>
      </w:r>
    </w:p>
    <w:p w:rsidR="00177EDF" w:rsidRDefault="00177EDF" w:rsidP="00177EDF">
      <w:pPr>
        <w:numPr>
          <w:ilvl w:val="0"/>
          <w:numId w:val="5"/>
        </w:numPr>
        <w:ind w:right="720"/>
        <w:jc w:val="both"/>
      </w:pPr>
      <w:r>
        <w:t>The resource allocation system: regular resources used for programmatic purposes at the country level (which are actually determined in the country programme documents);</w:t>
      </w:r>
    </w:p>
    <w:p w:rsidR="00177EDF" w:rsidRDefault="00177EDF" w:rsidP="00177EDF">
      <w:pPr>
        <w:numPr>
          <w:ilvl w:val="0"/>
          <w:numId w:val="5"/>
        </w:numPr>
        <w:ind w:right="720"/>
        <w:jc w:val="both"/>
      </w:pPr>
      <w:r>
        <w:t>The global and regional programme: regular resources used for programmatic purposes at the global and regional levels;</w:t>
      </w:r>
    </w:p>
    <w:p w:rsidR="00177EDF" w:rsidRDefault="00177EDF" w:rsidP="00177EDF">
      <w:pPr>
        <w:numPr>
          <w:ilvl w:val="0"/>
          <w:numId w:val="5"/>
        </w:numPr>
        <w:ind w:right="720"/>
        <w:jc w:val="both"/>
      </w:pPr>
      <w:r>
        <w:t>The institutional budget (which includes both a regular resources component and  other resources component): resources used for management and development effectiveness activities;</w:t>
      </w:r>
    </w:p>
    <w:p w:rsidR="00177EDF" w:rsidRDefault="00177EDF" w:rsidP="00177EDF">
      <w:pPr>
        <w:numPr>
          <w:ilvl w:val="0"/>
          <w:numId w:val="5"/>
        </w:numPr>
        <w:ind w:right="720"/>
        <w:jc w:val="both"/>
      </w:pPr>
      <w:r>
        <w:t xml:space="preserve">The thematic funds: the funding mechanisms for other resources that are used for specific purposes, such as the Global Programme to Enhance Reproductive Health Commodity Security and the Maternal Health Thematic Fund; </w:t>
      </w:r>
    </w:p>
    <w:p w:rsidR="00177EDF" w:rsidRDefault="00177EDF" w:rsidP="00177EDF">
      <w:pPr>
        <w:numPr>
          <w:ilvl w:val="0"/>
          <w:numId w:val="5"/>
        </w:numPr>
        <w:ind w:right="720"/>
        <w:jc w:val="both"/>
      </w:pPr>
      <w:r>
        <w:t>Other earmarked funds: resources that are generated through other means (such as from the Central Emergency Response Fund for humanitarian interventions or from governments for programming in their own countries) and that are used for specific purposes.</w:t>
      </w:r>
    </w:p>
    <w:p w:rsidR="00177EDF" w:rsidRDefault="00177EDF" w:rsidP="00177EDF">
      <w:pPr>
        <w:ind w:left="1080" w:right="720"/>
        <w:jc w:val="both"/>
      </w:pPr>
    </w:p>
    <w:p w:rsidR="00177EDF" w:rsidRDefault="00177EDF" w:rsidP="00177EDF">
      <w:pPr>
        <w:numPr>
          <w:ilvl w:val="0"/>
          <w:numId w:val="2"/>
        </w:numPr>
        <w:ind w:left="1080" w:right="720" w:firstLine="0"/>
        <w:jc w:val="both"/>
      </w:pPr>
      <w:r>
        <w:t>Traditionally, decision-making about the allocation of UNFPA regular resources has featured separate processes for the institutional budget, the global and regional programmes, and the resource allocation system, although some progress has been made in bringing these together in the development of the integrated budget, 2014-2017. Decisions about the allocation of thematic trust funds and other non-core resources are primarily through numerous different donor agreements, which are not always coordinated with each other or with the allocation of regular resources.</w:t>
      </w:r>
    </w:p>
    <w:p w:rsidR="00177EDF" w:rsidRDefault="00177EDF" w:rsidP="00177EDF">
      <w:pPr>
        <w:ind w:left="1080" w:right="720"/>
        <w:jc w:val="both"/>
      </w:pPr>
    </w:p>
    <w:p w:rsidR="00177EDF" w:rsidRDefault="00177EDF" w:rsidP="00177EDF">
      <w:pPr>
        <w:numPr>
          <w:ilvl w:val="0"/>
          <w:numId w:val="2"/>
        </w:numPr>
        <w:ind w:left="1080" w:right="720" w:firstLine="0"/>
        <w:jc w:val="both"/>
      </w:pPr>
      <w:r>
        <w:t xml:space="preserve">As a result of the siloed nature of decision-making about resources, each of these mechanisms currently has a separate governance structure, a separate set of allocation criteria, </w:t>
      </w:r>
      <w:r>
        <w:lastRenderedPageBreak/>
        <w:t>a separate process owner internally, and a separate process for budget preparations and monitoring.</w:t>
      </w:r>
    </w:p>
    <w:p w:rsidR="00177EDF" w:rsidRDefault="00177EDF" w:rsidP="00177EDF">
      <w:pPr>
        <w:ind w:left="1080" w:right="720"/>
        <w:jc w:val="both"/>
      </w:pPr>
    </w:p>
    <w:p w:rsidR="00177EDF" w:rsidRDefault="00177EDF" w:rsidP="00177EDF">
      <w:pPr>
        <w:numPr>
          <w:ilvl w:val="0"/>
          <w:numId w:val="2"/>
        </w:numPr>
        <w:ind w:left="1080" w:right="720" w:firstLine="0"/>
        <w:jc w:val="both"/>
      </w:pPr>
      <w:r>
        <w:t>This fragmentation has a number of consequences. Most importantly, having separate budgeting frameworks for different types of regular and other resources makes it impossible to have a globally coherent allocation of resources to strategic priorities. This impedes the ability of the organization to make optimal use of the total resources, lessening the Fund’s impact. The fragmentation makes it more difficult to track resources against results, thereby reducing accountability. Finally, the current architecture increases the transaction costs for country offices, which are forced to manage and report in siloes.</w:t>
      </w:r>
    </w:p>
    <w:p w:rsidR="00177EDF" w:rsidRDefault="00177EDF" w:rsidP="00177EDF">
      <w:pPr>
        <w:ind w:left="1080" w:right="720"/>
        <w:jc w:val="both"/>
      </w:pPr>
    </w:p>
    <w:p w:rsidR="00177EDF" w:rsidRDefault="00177EDF" w:rsidP="00177EDF">
      <w:pPr>
        <w:numPr>
          <w:ilvl w:val="0"/>
          <w:numId w:val="2"/>
        </w:numPr>
        <w:ind w:left="1080" w:right="720" w:firstLine="0"/>
        <w:jc w:val="both"/>
      </w:pPr>
      <w:r>
        <w:t>The integrated budget, 2014-2017, helps address some of these issues.  For example, for the first time budgetary requirements associated with the global and regional programme were gathered at the same time as requirements for the institutional budget, and a concerted effort was made to transfer non-programmatic elements of the global and regional programme into the institutional budget and vice versa.  However, the integrated budget cannot address all of the underlying causes of fragmentation.  Most importantly, although it can provide extensive details about regular resources, the unpredictable nature of other resources – which generally reflect shorter-term commitments by donors and so are more volatile – means that the integrated budget cannot contain as much information about other resources. Moreover, the governance mechanisms for other resources remain separate from those for regular resources.</w:t>
      </w:r>
    </w:p>
    <w:p w:rsidR="00177EDF" w:rsidRDefault="00177EDF" w:rsidP="00177EDF">
      <w:pPr>
        <w:ind w:left="1080" w:right="720"/>
        <w:jc w:val="both"/>
      </w:pPr>
    </w:p>
    <w:p w:rsidR="00177EDF" w:rsidRDefault="00177EDF" w:rsidP="00177EDF">
      <w:pPr>
        <w:numPr>
          <w:ilvl w:val="0"/>
          <w:numId w:val="2"/>
        </w:numPr>
        <w:ind w:left="1080" w:right="720" w:firstLine="0"/>
        <w:jc w:val="both"/>
      </w:pPr>
      <w:r>
        <w:t>To further address the challenge of fragmentation, UNFPA will move to a more unified funding architecture. Conceptually this is straightforward, but there are a number of very real operational and governance complexities that need to be addressed in a progressive manner so that existing programmes are not disrupted. Some aspects can be addressed in the short-term, such as by introducing more consistent criteria that can be used across the funding channels and by unifying the management of thematic funds.</w:t>
      </w:r>
    </w:p>
    <w:p w:rsidR="00177EDF" w:rsidRDefault="00177EDF" w:rsidP="00177EDF">
      <w:pPr>
        <w:ind w:left="1080" w:right="720"/>
        <w:jc w:val="both"/>
      </w:pPr>
    </w:p>
    <w:p w:rsidR="00177EDF" w:rsidRDefault="00177EDF" w:rsidP="00177EDF">
      <w:pPr>
        <w:numPr>
          <w:ilvl w:val="0"/>
          <w:numId w:val="2"/>
        </w:numPr>
        <w:ind w:left="1080" w:right="720" w:firstLine="0"/>
        <w:jc w:val="both"/>
      </w:pPr>
      <w:r>
        <w:t>Any more fundamental changes, though, would only be phased in over the course of the next strategic plan period of 2014-2017, as it will take time to develop and then implement a more unified system of decision-making that optimizes resources across the institution, irrespective of funding source.  Any changes requiring Executive Board approval would be introduced in the midterm review of the strategic plan, and the Executive Board would be engaged regularly in the process of developing them.</w:t>
      </w:r>
    </w:p>
    <w:p w:rsidR="00177EDF" w:rsidRDefault="00177EDF" w:rsidP="00177EDF">
      <w:pPr>
        <w:pStyle w:val="ListParagraph"/>
      </w:pPr>
    </w:p>
    <w:p w:rsidR="00177EDF" w:rsidRDefault="00177EDF" w:rsidP="00177EDF">
      <w:pPr>
        <w:pStyle w:val="ListParagraph"/>
      </w:pPr>
    </w:p>
    <w:p w:rsidR="00177EDF" w:rsidRPr="009176C2" w:rsidRDefault="00177EDF" w:rsidP="00177EDF">
      <w:pPr>
        <w:pStyle w:val="Heading1"/>
        <w:numPr>
          <w:ilvl w:val="0"/>
          <w:numId w:val="6"/>
        </w:numPr>
        <w:rPr>
          <w:lang w:val="en-GB"/>
        </w:rPr>
      </w:pPr>
      <w:bookmarkStart w:id="3" w:name="_Toc367187918"/>
      <w:r>
        <w:t xml:space="preserve">The financing for </w:t>
      </w:r>
      <w:r>
        <w:rPr>
          <w:lang w:val="en-US"/>
        </w:rPr>
        <w:t>interventions</w:t>
      </w:r>
      <w:r>
        <w:t xml:space="preserve"> at the global and regional levels</w:t>
      </w:r>
      <w:bookmarkEnd w:id="3"/>
    </w:p>
    <w:p w:rsidR="00177EDF" w:rsidRDefault="00177EDF" w:rsidP="00177EDF">
      <w:pPr>
        <w:ind w:left="1080" w:right="720"/>
        <w:jc w:val="both"/>
        <w:rPr>
          <w:lang w:val="en-US"/>
        </w:rPr>
      </w:pPr>
    </w:p>
    <w:p w:rsidR="00177EDF" w:rsidRPr="0061614E" w:rsidRDefault="00177EDF" w:rsidP="00177EDF">
      <w:pPr>
        <w:pStyle w:val="Heading2"/>
        <w:ind w:left="1080" w:hanging="605"/>
        <w:rPr>
          <w:lang w:val="en-US"/>
        </w:rPr>
      </w:pPr>
      <w:bookmarkStart w:id="4" w:name="_Toc367187919"/>
      <w:r w:rsidRPr="0061614E">
        <w:rPr>
          <w:lang w:val="en-US"/>
        </w:rPr>
        <w:t>Introduction</w:t>
      </w:r>
      <w:bookmarkEnd w:id="4"/>
    </w:p>
    <w:p w:rsidR="00177EDF" w:rsidRDefault="00177EDF" w:rsidP="00177EDF">
      <w:pPr>
        <w:ind w:left="1080" w:right="720"/>
        <w:jc w:val="both"/>
      </w:pPr>
    </w:p>
    <w:p w:rsidR="00177EDF" w:rsidRDefault="00177EDF" w:rsidP="00177EDF">
      <w:pPr>
        <w:numPr>
          <w:ilvl w:val="0"/>
          <w:numId w:val="2"/>
        </w:numPr>
        <w:ind w:left="1080" w:right="720" w:firstLine="0"/>
        <w:jc w:val="both"/>
      </w:pPr>
      <w:r w:rsidRPr="005C340D">
        <w:t xml:space="preserve">In 2007, the UNFPA Global and Regional Programme (GRP) for the period of 2008-2011 was defined in document DP/FPA/2007/19, approved by the Executive Board at its second regular session in 2007. </w:t>
      </w:r>
      <w:r>
        <w:t xml:space="preserve">A performance </w:t>
      </w:r>
      <w:r w:rsidRPr="00200F41">
        <w:t>audit of the GRP</w:t>
      </w:r>
      <w:r>
        <w:t xml:space="preserve"> covering the 2008-2011 period recently raised a number of issues that had previously been identified by UNFPA management and largely addressed following t</w:t>
      </w:r>
      <w:r w:rsidRPr="00200F41">
        <w:t xml:space="preserve">he midterm review of the </w:t>
      </w:r>
      <w:r>
        <w:t xml:space="preserve">current strategic plan. UNFPA has since built upon those reforms in preparing the strategic plan and integrated budget for 2014-2017 and in strengthening the framework for allocating regular resources to global and regional interventions going forward. The results are presented in this section, which both articulates the need for global and regional interventions and describes the specific types of activities that will optimally be funded through UNFPA regular resources over 2014-2017. The section further describes the robust and transparent mechanisms through which UNFPA will effectively manage and govern the resources it allocates to global and regional interventions as well as the oversight mechanisms it has put in place in order to maximize </w:t>
      </w:r>
      <w:r>
        <w:lastRenderedPageBreak/>
        <w:t>their potential impact.</w:t>
      </w:r>
      <w:r w:rsidRPr="004B590F">
        <w:t xml:space="preserve"> </w:t>
      </w:r>
      <w:r>
        <w:t xml:space="preserve">Although thematic trust funds also fund “global and regional interventions”, this </w:t>
      </w:r>
      <w:r w:rsidRPr="00465EE5">
        <w:t xml:space="preserve">paper will </w:t>
      </w:r>
      <w:r>
        <w:t>not deal with these initiatives, but rather focuses only on global and regional interventions funded by regular resources.</w:t>
      </w:r>
    </w:p>
    <w:p w:rsidR="00177EDF" w:rsidRDefault="00177EDF" w:rsidP="00177EDF">
      <w:pPr>
        <w:ind w:left="1080" w:right="720"/>
        <w:jc w:val="both"/>
      </w:pPr>
    </w:p>
    <w:p w:rsidR="00177EDF" w:rsidRDefault="00177EDF" w:rsidP="00177EDF">
      <w:pPr>
        <w:numPr>
          <w:ilvl w:val="0"/>
          <w:numId w:val="2"/>
        </w:numPr>
        <w:ind w:left="1080" w:right="720" w:firstLine="0"/>
        <w:jc w:val="both"/>
      </w:pPr>
      <w:r>
        <w:t xml:space="preserve">Since 2009 UNFPA had realized many of the important issues highlighted in the Performance Audit, such as (a) concerns regarding the management and oversight of the GRP; (b) overbudgeting of the GRP in total, but for the 'Global' portion in particular; </w:t>
      </w:r>
      <w:r>
        <w:br/>
        <w:t xml:space="preserve">(c) improper follow-up to the 2007 'Evaluation of the Intercountry Programme' and the 'Audit Report of Regional Projects at UNFPA'; (d) weaknesses in results-based management; and </w:t>
      </w:r>
      <w:r>
        <w:br/>
        <w:t>(e) areas for improvement in the GRP capacity-building efforts. Several of those issues have since been resolved – some prior to the performance audit – through a variety of initiatives, such as a revised GRP allocation process and criteria since 2011 putting emphasis on enhanced results-based management (RBM) practices and re-establishing GRP key fiscal indicators in the decision-making process, an overhaul of the respective programme policy framework, and enhanced RBM training options for GRP managers..</w:t>
      </w:r>
    </w:p>
    <w:p w:rsidR="00177EDF" w:rsidRDefault="00177EDF" w:rsidP="00177EDF">
      <w:pPr>
        <w:ind w:left="1080" w:right="720"/>
        <w:jc w:val="both"/>
      </w:pPr>
    </w:p>
    <w:p w:rsidR="00177EDF" w:rsidRDefault="00177EDF" w:rsidP="00177EDF">
      <w:pPr>
        <w:numPr>
          <w:ilvl w:val="0"/>
          <w:numId w:val="2"/>
        </w:numPr>
        <w:ind w:left="1080" w:right="720" w:firstLine="0"/>
        <w:jc w:val="both"/>
      </w:pPr>
      <w:r>
        <w:t>The organization will institutionalize and consolidate the GRP reforms launched in 2011 as part of the 2014-2017 strategic plan and integrated budget.  More specifically, this means enhancing the clarity on the mechanism for global and regional interventions overall, more robust processes for resource allocation, more transparency, reinforced control and oversight mechanisms, and a system ensuring continued compliance with the established parameters.  All this will ensure that the issues that were identified during the 2008-11 GRP will not reoccur in the future.  This will also be part of a longer-term implementation of the UNFPA vision of a unified funding architecture, which will realize the full potential of its funding arrangements by 2017.</w:t>
      </w:r>
    </w:p>
    <w:p w:rsidR="00177EDF" w:rsidRDefault="00177EDF" w:rsidP="00177EDF">
      <w:pPr>
        <w:ind w:left="1080" w:right="720"/>
        <w:jc w:val="both"/>
      </w:pPr>
    </w:p>
    <w:p w:rsidR="00177EDF" w:rsidRPr="0061614E" w:rsidRDefault="00177EDF" w:rsidP="00177EDF">
      <w:pPr>
        <w:pStyle w:val="Heading2"/>
        <w:ind w:left="1080" w:hanging="605"/>
        <w:rPr>
          <w:lang w:val="en-US"/>
        </w:rPr>
      </w:pPr>
      <w:bookmarkStart w:id="5" w:name="_Toc367187920"/>
      <w:r w:rsidRPr="0061614E">
        <w:rPr>
          <w:lang w:val="en-US"/>
        </w:rPr>
        <w:t xml:space="preserve">Global and </w:t>
      </w:r>
      <w:r>
        <w:rPr>
          <w:lang w:val="en-US"/>
        </w:rPr>
        <w:t>r</w:t>
      </w:r>
      <w:r w:rsidRPr="0061614E">
        <w:rPr>
          <w:lang w:val="en-US"/>
        </w:rPr>
        <w:t xml:space="preserve">egional </w:t>
      </w:r>
      <w:r>
        <w:rPr>
          <w:lang w:val="en-US"/>
        </w:rPr>
        <w:t>i</w:t>
      </w:r>
      <w:r w:rsidRPr="0061614E">
        <w:rPr>
          <w:lang w:val="en-US"/>
        </w:rPr>
        <w:t>nterventions</w:t>
      </w:r>
      <w:bookmarkEnd w:id="5"/>
    </w:p>
    <w:p w:rsidR="00177EDF" w:rsidRPr="0061614E" w:rsidRDefault="00177EDF" w:rsidP="00177EDF">
      <w:pPr>
        <w:pStyle w:val="Heading3"/>
        <w:numPr>
          <w:ilvl w:val="0"/>
          <w:numId w:val="0"/>
        </w:numPr>
        <w:ind w:left="1440"/>
      </w:pPr>
    </w:p>
    <w:p w:rsidR="00177EDF" w:rsidRPr="0061614E" w:rsidRDefault="00177EDF" w:rsidP="00177EDF">
      <w:pPr>
        <w:pStyle w:val="Heading3"/>
      </w:pPr>
      <w:r>
        <w:t xml:space="preserve">Purpose of </w:t>
      </w:r>
      <w:r>
        <w:rPr>
          <w:lang w:val="en-US"/>
        </w:rPr>
        <w:t>global and regional interventions</w:t>
      </w:r>
    </w:p>
    <w:p w:rsidR="00177EDF" w:rsidRDefault="00177EDF" w:rsidP="00177EDF">
      <w:pPr>
        <w:ind w:left="1080" w:right="720"/>
        <w:jc w:val="both"/>
      </w:pPr>
    </w:p>
    <w:p w:rsidR="00177EDF" w:rsidRPr="004B590F" w:rsidRDefault="00177EDF" w:rsidP="00177EDF">
      <w:pPr>
        <w:numPr>
          <w:ilvl w:val="0"/>
          <w:numId w:val="2"/>
        </w:numPr>
        <w:ind w:left="1080" w:right="720" w:firstLine="0"/>
        <w:jc w:val="both"/>
      </w:pPr>
      <w:r>
        <w:t>T</w:t>
      </w:r>
      <w:r w:rsidRPr="00A81ED7">
        <w:t xml:space="preserve">here seems to be a clear need for </w:t>
      </w:r>
      <w:r>
        <w:t xml:space="preserve">interventions </w:t>
      </w:r>
      <w:r w:rsidRPr="00A81ED7">
        <w:t xml:space="preserve">that complement efforts done through </w:t>
      </w:r>
      <w:r>
        <w:t>c</w:t>
      </w:r>
      <w:r w:rsidRPr="00A81ED7">
        <w:t xml:space="preserve">ountry </w:t>
      </w:r>
      <w:r>
        <w:t>p</w:t>
      </w:r>
      <w:r w:rsidRPr="00A81ED7">
        <w:t>rogrammes, both at a global and regional level. Gl</w:t>
      </w:r>
      <w:r>
        <w:t>obal and regional interventions are crucial for effectively and efficiently delivering on the strategic plan, 2014-2017, because</w:t>
      </w:r>
      <w:r w:rsidRPr="00465EE5">
        <w:t xml:space="preserve"> the </w:t>
      </w:r>
      <w:r>
        <w:t xml:space="preserve">realization of </w:t>
      </w:r>
      <w:r w:rsidRPr="00465EE5">
        <w:t xml:space="preserve">the </w:t>
      </w:r>
      <w:r>
        <w:t>International Conference on Population and Development (ICPD)</w:t>
      </w:r>
      <w:r w:rsidRPr="00465EE5">
        <w:t xml:space="preserve"> agenda at the country level is fuelled in significant part by global and regional leadership. Also, country programmes are strengthened by the transfer of know-how compiled and disseminated within and across regions. In addition, there are large economies of scope and scale in generating and building support for and knowledge about ICPD issues and solutions; and as obviously, population and development issues that cross national boundaries often benefit from collaboration across borders.</w:t>
      </w:r>
    </w:p>
    <w:p w:rsidR="00177EDF" w:rsidRPr="0061614E" w:rsidRDefault="00177EDF" w:rsidP="00177EDF">
      <w:pPr>
        <w:ind w:left="1080" w:right="720"/>
        <w:jc w:val="both"/>
        <w:rPr>
          <w:rFonts w:ascii="Cambria" w:hAnsi="Cambria"/>
          <w:b/>
          <w:spacing w:val="-2"/>
        </w:rPr>
      </w:pPr>
    </w:p>
    <w:p w:rsidR="00177EDF" w:rsidRPr="0061614E" w:rsidRDefault="00177EDF" w:rsidP="00177EDF">
      <w:pPr>
        <w:pStyle w:val="Heading3"/>
      </w:pPr>
      <w:r w:rsidRPr="0061614E">
        <w:t xml:space="preserve">Recent </w:t>
      </w:r>
      <w:r>
        <w:rPr>
          <w:lang w:val="en-US"/>
        </w:rPr>
        <w:t>examples</w:t>
      </w:r>
    </w:p>
    <w:p w:rsidR="00177EDF" w:rsidRDefault="00177EDF" w:rsidP="00177EDF">
      <w:pPr>
        <w:ind w:left="1080" w:right="720"/>
        <w:jc w:val="both"/>
      </w:pPr>
    </w:p>
    <w:p w:rsidR="00177EDF" w:rsidRDefault="00177EDF" w:rsidP="00177EDF">
      <w:pPr>
        <w:numPr>
          <w:ilvl w:val="0"/>
          <w:numId w:val="2"/>
        </w:numPr>
        <w:ind w:left="1080" w:right="720" w:firstLine="0"/>
        <w:jc w:val="both"/>
      </w:pPr>
      <w:r w:rsidRPr="00F928A1">
        <w:t>Global and regional interventions have lon</w:t>
      </w:r>
      <w:r>
        <w:t>g played a vital role in the</w:t>
      </w:r>
      <w:r w:rsidRPr="00F928A1">
        <w:t xml:space="preserve"> </w:t>
      </w:r>
      <w:r>
        <w:t xml:space="preserve">work of UNFPA to advance the ICPD agenda. A number of initiatives funded by the GRP since 2008—including </w:t>
      </w:r>
      <w:r w:rsidRPr="001279DA">
        <w:t xml:space="preserve">the annual </w:t>
      </w:r>
      <w:r w:rsidRPr="00465EE5">
        <w:t>State of World Population</w:t>
      </w:r>
      <w:r w:rsidRPr="001279DA">
        <w:t xml:space="preserve"> report</w:t>
      </w:r>
      <w:r>
        <w:t>,</w:t>
      </w:r>
      <w:r w:rsidRPr="001279DA">
        <w:t xml:space="preserve"> the </w:t>
      </w:r>
      <w:r w:rsidRPr="00AB421A">
        <w:t>Campaign to End Fistula</w:t>
      </w:r>
      <w:r w:rsidRPr="001279DA">
        <w:t xml:space="preserve">, </w:t>
      </w:r>
      <w:r>
        <w:t xml:space="preserve">and </w:t>
      </w:r>
      <w:r w:rsidRPr="00AB421A">
        <w:t>Women Deliver</w:t>
      </w:r>
      <w:r>
        <w:t xml:space="preserve"> conference, for instance</w:t>
      </w:r>
      <w:r w:rsidRPr="00FA32A3">
        <w:t>—are</w:t>
      </w:r>
      <w:r>
        <w:t xml:space="preserve"> recognized as having contributed significantly to the knowledge base underpinning global efforts to advance the ICPD agenda. They have likewise helped in heightening awareness, forging consensus, and building the momentum to move ICDP goals forward. Other global work funded by the GRP has helped strengthen UNFPA programming capacity, for example by institutionalizing evidence-based programming, strengthening results-based management, and revamping the organization’s structure around regional offices, in line with the UNFPA field-focused agenda. Regional offices have used GRP funding to build upon country-level interventions through initiatives such as the </w:t>
      </w:r>
      <w:r w:rsidRPr="00AB421A">
        <w:lastRenderedPageBreak/>
        <w:t>Campaign on Accelerated Reduction of Maternal, New Born and Child Mortality (CARMMA)</w:t>
      </w:r>
      <w:r w:rsidRPr="00465EE5">
        <w:t xml:space="preserve"> in Africa</w:t>
      </w:r>
      <w:r w:rsidRPr="00624288">
        <w:t xml:space="preserve">, </w:t>
      </w:r>
      <w:r>
        <w:t>and the Youth Peer Education Network (Y-PEER) in Eastern Europe and Central Asia, for example.</w:t>
      </w:r>
    </w:p>
    <w:p w:rsidR="00177EDF" w:rsidRPr="001279DA" w:rsidRDefault="00177EDF" w:rsidP="00177EDF">
      <w:pPr>
        <w:ind w:left="1080" w:right="720"/>
        <w:jc w:val="both"/>
      </w:pPr>
    </w:p>
    <w:p w:rsidR="00177EDF" w:rsidRPr="0061614E" w:rsidRDefault="00177EDF" w:rsidP="00177EDF">
      <w:pPr>
        <w:pStyle w:val="Heading3"/>
      </w:pPr>
      <w:r w:rsidRPr="0061614E">
        <w:t xml:space="preserve">Scope of </w:t>
      </w:r>
      <w:r>
        <w:rPr>
          <w:lang w:val="en-US"/>
        </w:rPr>
        <w:t>global and regional interventions</w:t>
      </w:r>
    </w:p>
    <w:p w:rsidR="00177EDF" w:rsidRDefault="00177EDF" w:rsidP="00177EDF">
      <w:pPr>
        <w:ind w:left="1080" w:right="720"/>
        <w:jc w:val="both"/>
      </w:pPr>
    </w:p>
    <w:p w:rsidR="00177EDF" w:rsidRDefault="00177EDF" w:rsidP="00177EDF">
      <w:pPr>
        <w:numPr>
          <w:ilvl w:val="0"/>
          <w:numId w:val="2"/>
        </w:numPr>
        <w:ind w:left="1080" w:right="720" w:firstLine="0"/>
        <w:jc w:val="both"/>
      </w:pPr>
      <w:r>
        <w:t>UNFPA experience with global and regional interventions demonstrates that the following types of programmatic activities best complement country programmes and help maximize institutional impact along the dimensions outlined above:</w:t>
      </w:r>
    </w:p>
    <w:p w:rsidR="00177EDF" w:rsidRPr="00186429" w:rsidRDefault="00177EDF" w:rsidP="00177EDF">
      <w:pPr>
        <w:numPr>
          <w:ilvl w:val="0"/>
          <w:numId w:val="5"/>
        </w:numPr>
        <w:tabs>
          <w:tab w:val="num" w:pos="720"/>
        </w:tabs>
        <w:ind w:right="720"/>
        <w:jc w:val="both"/>
      </w:pPr>
      <w:r w:rsidRPr="00186429">
        <w:t>Generation and sharing of knowledge/data</w:t>
      </w:r>
      <w:r>
        <w:t>;</w:t>
      </w:r>
    </w:p>
    <w:p w:rsidR="00177EDF" w:rsidRPr="00186429" w:rsidRDefault="00177EDF" w:rsidP="00177EDF">
      <w:pPr>
        <w:numPr>
          <w:ilvl w:val="0"/>
          <w:numId w:val="5"/>
        </w:numPr>
        <w:tabs>
          <w:tab w:val="num" w:pos="720"/>
        </w:tabs>
        <w:ind w:right="720"/>
        <w:jc w:val="both"/>
      </w:pPr>
      <w:r w:rsidRPr="00186429">
        <w:t>Advocacy</w:t>
      </w:r>
      <w:r>
        <w:t>;</w:t>
      </w:r>
    </w:p>
    <w:p w:rsidR="00177EDF" w:rsidRPr="00186429" w:rsidRDefault="00177EDF" w:rsidP="00177EDF">
      <w:pPr>
        <w:numPr>
          <w:ilvl w:val="0"/>
          <w:numId w:val="5"/>
        </w:numPr>
        <w:tabs>
          <w:tab w:val="num" w:pos="720"/>
        </w:tabs>
        <w:ind w:right="720"/>
        <w:jc w:val="both"/>
      </w:pPr>
      <w:r w:rsidRPr="00186429">
        <w:t>Intergovernmental policy dialogue</w:t>
      </w:r>
      <w:r>
        <w:t>;</w:t>
      </w:r>
    </w:p>
    <w:p w:rsidR="00177EDF" w:rsidRPr="00186429" w:rsidRDefault="00177EDF" w:rsidP="00177EDF">
      <w:pPr>
        <w:numPr>
          <w:ilvl w:val="0"/>
          <w:numId w:val="5"/>
        </w:numPr>
        <w:tabs>
          <w:tab w:val="num" w:pos="720"/>
        </w:tabs>
        <w:ind w:right="720"/>
        <w:jc w:val="both"/>
      </w:pPr>
      <w:r w:rsidRPr="00186429">
        <w:t>State-of-the-art technical knowledge</w:t>
      </w:r>
      <w:r>
        <w:t>;</w:t>
      </w:r>
    </w:p>
    <w:p w:rsidR="00177EDF" w:rsidRPr="00186429" w:rsidRDefault="00177EDF" w:rsidP="00177EDF">
      <w:pPr>
        <w:numPr>
          <w:ilvl w:val="0"/>
          <w:numId w:val="5"/>
        </w:numPr>
        <w:tabs>
          <w:tab w:val="num" w:pos="720"/>
        </w:tabs>
        <w:ind w:right="720"/>
        <w:jc w:val="both"/>
      </w:pPr>
      <w:r w:rsidRPr="00186429">
        <w:t>Standards and norms</w:t>
      </w:r>
      <w:r>
        <w:t>;</w:t>
      </w:r>
    </w:p>
    <w:p w:rsidR="00177EDF" w:rsidRPr="00186429" w:rsidRDefault="00177EDF" w:rsidP="00177EDF">
      <w:pPr>
        <w:numPr>
          <w:ilvl w:val="0"/>
          <w:numId w:val="5"/>
        </w:numPr>
        <w:tabs>
          <w:tab w:val="num" w:pos="720"/>
        </w:tabs>
        <w:ind w:right="720"/>
        <w:jc w:val="both"/>
      </w:pPr>
      <w:r>
        <w:t xml:space="preserve">Capacity development; </w:t>
      </w:r>
    </w:p>
    <w:p w:rsidR="00177EDF" w:rsidRPr="00186429" w:rsidRDefault="00177EDF" w:rsidP="00177EDF">
      <w:pPr>
        <w:numPr>
          <w:ilvl w:val="0"/>
          <w:numId w:val="5"/>
        </w:numPr>
        <w:tabs>
          <w:tab w:val="num" w:pos="720"/>
        </w:tabs>
        <w:ind w:right="720"/>
        <w:jc w:val="both"/>
      </w:pPr>
      <w:r w:rsidRPr="00186429">
        <w:t xml:space="preserve">Technical, operational and programmatic </w:t>
      </w:r>
      <w:r>
        <w:t>field support.</w:t>
      </w:r>
    </w:p>
    <w:p w:rsidR="00177EDF" w:rsidRDefault="00177EDF" w:rsidP="00177EDF">
      <w:pPr>
        <w:ind w:left="1080" w:right="720"/>
        <w:jc w:val="both"/>
      </w:pPr>
    </w:p>
    <w:p w:rsidR="00177EDF" w:rsidRDefault="00177EDF" w:rsidP="00177EDF">
      <w:pPr>
        <w:numPr>
          <w:ilvl w:val="0"/>
          <w:numId w:val="2"/>
        </w:numPr>
        <w:ind w:left="1080" w:right="720" w:firstLine="0"/>
        <w:jc w:val="both"/>
      </w:pPr>
      <w:r>
        <w:t>While these are generally the best types of activities to pursue at the global and regional levels to leverage its overall resource endowment to greatest effect, it is important to note that each intervention must be carefully designed and weighed according to the specific needs and outcomes to which it is expected to contribute in the context of the strategic plan.</w:t>
      </w:r>
    </w:p>
    <w:p w:rsidR="00177EDF" w:rsidRDefault="00177EDF" w:rsidP="00177EDF">
      <w:pPr>
        <w:ind w:left="1080" w:right="720"/>
        <w:jc w:val="both"/>
      </w:pPr>
    </w:p>
    <w:p w:rsidR="00177EDF" w:rsidRDefault="00177EDF" w:rsidP="00177EDF">
      <w:pPr>
        <w:numPr>
          <w:ilvl w:val="0"/>
          <w:numId w:val="2"/>
        </w:numPr>
        <w:ind w:left="1080" w:right="720" w:firstLine="0"/>
        <w:jc w:val="both"/>
      </w:pPr>
      <w:r>
        <w:t>It is important to note, however, that some global and regional interventions may be strictly considered by auditors as management or development effectiveness costs.</w:t>
      </w:r>
      <w:r w:rsidRPr="00465EE5">
        <w:rPr>
          <w:vertAlign w:val="superscript"/>
        </w:rPr>
        <w:footnoteReference w:id="1"/>
      </w:r>
      <w:r>
        <w:t xml:space="preserve"> The reality is that in some cases the lines between programmatic and development effectiveness costs are not entirely clear. </w:t>
      </w:r>
      <w:r w:rsidRPr="00D27C47">
        <w:t>In the process of developing the Integrated Budget for 2014-2017, UNFPA has closely scrutinized the classification of regular resources across programmatic and non-programmatic categories</w:t>
      </w:r>
      <w:r>
        <w:t xml:space="preserve"> and substantially shifted costs between them. The result is a budget in which uses of funds are much more closely mapped according to the appropriate programmatic, development effectiveness, or management cost categories. At the same time, there are demands upon the institution that emerge only after the quadrennial budget is developed, as may be mandated by the Executive Board, for instance. When the scope of the UNFPA global or regional responsibilities expands, it is sometimes necessary and appropriate for the institution to rely on additional regular resources for activities that may be considered by a strict interpretation of </w:t>
      </w:r>
      <w:r w:rsidRPr="00D27C47">
        <w:t>DP-FPA/2010/1-E/ICEF/2010/AB/L.10</w:t>
      </w:r>
      <w:r>
        <w:t xml:space="preserve"> as management or development effectiveness costs.  These activities should normally have been funded by the institutional budget, but since the institutional budget lacks the necessary flexibility during the budget cycle, the funding mechanism for global and regional interventions may still need to be used for this purpose.  Thus, it should be noted that there are still some perceived imperfections and more efforts are needed for the period to come.</w:t>
      </w:r>
    </w:p>
    <w:p w:rsidR="00177EDF" w:rsidRDefault="00177EDF" w:rsidP="00177EDF">
      <w:pPr>
        <w:ind w:left="1080" w:right="720"/>
        <w:jc w:val="both"/>
      </w:pPr>
    </w:p>
    <w:p w:rsidR="00177EDF" w:rsidRDefault="00177EDF" w:rsidP="00177EDF">
      <w:pPr>
        <w:numPr>
          <w:ilvl w:val="0"/>
          <w:numId w:val="2"/>
        </w:numPr>
        <w:ind w:left="1080" w:right="720" w:firstLine="0"/>
        <w:jc w:val="both"/>
      </w:pPr>
      <w:r>
        <w:t xml:space="preserve">The procedures outlined below have been established to ensure that all global and regional interventions are approved and closely tracked through systematic and transparent mechanisms. A fully </w:t>
      </w:r>
      <w:r w:rsidRPr="000E7528">
        <w:t xml:space="preserve"> transparent and robust resource allocation process with well-defined eligibility criteria</w:t>
      </w:r>
      <w:r>
        <w:t xml:space="preserve"> applied to all global and regional interventions, including those that emerge during the 2014-2017 period,</w:t>
      </w:r>
      <w:r w:rsidRPr="000E7528">
        <w:t xml:space="preserve"> will </w:t>
      </w:r>
      <w:r>
        <w:t>help to ensure that funds devoted to these purposes are not used simply as a supplement to cover core institutional administration costs.</w:t>
      </w:r>
    </w:p>
    <w:p w:rsidR="00177EDF" w:rsidRPr="002852C1" w:rsidRDefault="00177EDF" w:rsidP="00177EDF">
      <w:pPr>
        <w:ind w:left="1080" w:right="720"/>
        <w:jc w:val="both"/>
      </w:pPr>
    </w:p>
    <w:p w:rsidR="00177EDF" w:rsidRPr="0061614E" w:rsidRDefault="00177EDF" w:rsidP="00177EDF">
      <w:pPr>
        <w:pStyle w:val="Heading2"/>
        <w:ind w:left="1080" w:hanging="605"/>
        <w:rPr>
          <w:lang w:val="en-US"/>
        </w:rPr>
      </w:pPr>
      <w:bookmarkStart w:id="6" w:name="_Toc367187921"/>
      <w:r w:rsidRPr="0061614E">
        <w:rPr>
          <w:lang w:val="en-US"/>
        </w:rPr>
        <w:lastRenderedPageBreak/>
        <w:t xml:space="preserve">Allocating </w:t>
      </w:r>
      <w:r>
        <w:rPr>
          <w:lang w:val="en-US"/>
        </w:rPr>
        <w:t>r</w:t>
      </w:r>
      <w:r w:rsidRPr="0061614E">
        <w:rPr>
          <w:lang w:val="en-US"/>
        </w:rPr>
        <w:t>esources</w:t>
      </w:r>
      <w:bookmarkEnd w:id="6"/>
    </w:p>
    <w:p w:rsidR="00177EDF" w:rsidRPr="0061614E" w:rsidRDefault="00177EDF" w:rsidP="00177EDF">
      <w:pPr>
        <w:pStyle w:val="Heading3"/>
        <w:numPr>
          <w:ilvl w:val="0"/>
          <w:numId w:val="0"/>
        </w:numPr>
        <w:ind w:left="1440"/>
      </w:pPr>
    </w:p>
    <w:p w:rsidR="00177EDF" w:rsidRPr="0061614E" w:rsidRDefault="00177EDF" w:rsidP="00177EDF">
      <w:pPr>
        <w:pStyle w:val="Heading3"/>
        <w:numPr>
          <w:ilvl w:val="0"/>
          <w:numId w:val="22"/>
        </w:numPr>
        <w:ind w:left="1440"/>
      </w:pPr>
      <w:r w:rsidRPr="0061614E">
        <w:t xml:space="preserve">Principles </w:t>
      </w:r>
    </w:p>
    <w:p w:rsidR="00177EDF" w:rsidRDefault="00177EDF" w:rsidP="00177EDF">
      <w:pPr>
        <w:ind w:left="1080" w:right="720"/>
        <w:jc w:val="both"/>
      </w:pPr>
    </w:p>
    <w:p w:rsidR="00177EDF" w:rsidRPr="00913C17" w:rsidRDefault="00177EDF" w:rsidP="00177EDF">
      <w:pPr>
        <w:numPr>
          <w:ilvl w:val="0"/>
          <w:numId w:val="2"/>
        </w:numPr>
        <w:ind w:left="1080" w:right="720" w:firstLine="0"/>
        <w:jc w:val="both"/>
      </w:pPr>
      <w:r>
        <w:t>For the period of the strategic plan, 2014-2017, a</w:t>
      </w:r>
      <w:r w:rsidRPr="00913C17">
        <w:t>llocations for global and regional interventions will be based on</w:t>
      </w:r>
      <w:r>
        <w:t xml:space="preserve"> the following principles</w:t>
      </w:r>
      <w:r w:rsidRPr="00913C17">
        <w:t>:</w:t>
      </w:r>
    </w:p>
    <w:p w:rsidR="00177EDF" w:rsidRPr="00BD2688" w:rsidRDefault="00177EDF" w:rsidP="00177EDF">
      <w:pPr>
        <w:numPr>
          <w:ilvl w:val="0"/>
          <w:numId w:val="5"/>
        </w:numPr>
        <w:tabs>
          <w:tab w:val="num" w:pos="720"/>
        </w:tabs>
        <w:ind w:right="720"/>
        <w:jc w:val="both"/>
      </w:pPr>
      <w:r w:rsidRPr="00BD2688">
        <w:t>Compliance with the funding parameters agreed upon with the E</w:t>
      </w:r>
      <w:r>
        <w:t>xecutive Board;</w:t>
      </w:r>
    </w:p>
    <w:p w:rsidR="00177EDF" w:rsidRDefault="00177EDF" w:rsidP="00177EDF">
      <w:pPr>
        <w:numPr>
          <w:ilvl w:val="0"/>
          <w:numId w:val="5"/>
        </w:numPr>
        <w:tabs>
          <w:tab w:val="num" w:pos="720"/>
        </w:tabs>
        <w:ind w:right="720"/>
        <w:jc w:val="both"/>
      </w:pPr>
      <w:r>
        <w:t>Coherence with and</w:t>
      </w:r>
      <w:r w:rsidRPr="00BD2688">
        <w:t xml:space="preserve"> </w:t>
      </w:r>
      <w:r>
        <w:t xml:space="preserve">specific </w:t>
      </w:r>
      <w:r w:rsidRPr="00BD2688">
        <w:t>contribution</w:t>
      </w:r>
      <w:r>
        <w:t>s to the strategic plan,</w:t>
      </w:r>
      <w:r w:rsidRPr="00BD2688">
        <w:t xml:space="preserve"> 2014-2017</w:t>
      </w:r>
      <w:r>
        <w:t>,</w:t>
      </w:r>
      <w:r w:rsidRPr="00BD2688">
        <w:t xml:space="preserve"> outputs/results</w:t>
      </w:r>
      <w:r>
        <w:t>;</w:t>
      </w:r>
    </w:p>
    <w:p w:rsidR="00177EDF" w:rsidRPr="00913C17" w:rsidRDefault="00177EDF" w:rsidP="00177EDF">
      <w:pPr>
        <w:numPr>
          <w:ilvl w:val="0"/>
          <w:numId w:val="5"/>
        </w:numPr>
        <w:tabs>
          <w:tab w:val="num" w:pos="720"/>
        </w:tabs>
        <w:ind w:right="720"/>
        <w:jc w:val="both"/>
      </w:pPr>
      <w:r w:rsidRPr="00BD2688">
        <w:t>Transparent decision-making criteria and processes</w:t>
      </w:r>
      <w:r>
        <w:t>;</w:t>
      </w:r>
    </w:p>
    <w:p w:rsidR="00177EDF" w:rsidRPr="00913C17" w:rsidRDefault="00177EDF" w:rsidP="00177EDF">
      <w:pPr>
        <w:numPr>
          <w:ilvl w:val="0"/>
          <w:numId w:val="5"/>
        </w:numPr>
        <w:tabs>
          <w:tab w:val="num" w:pos="720"/>
        </w:tabs>
        <w:ind w:right="720"/>
        <w:jc w:val="both"/>
      </w:pPr>
      <w:r w:rsidRPr="00BD2688">
        <w:t>Robust and independent peer review/quality assurance mechanism</w:t>
      </w:r>
      <w:r>
        <w:t xml:space="preserve">; </w:t>
      </w:r>
    </w:p>
    <w:p w:rsidR="00177EDF" w:rsidRDefault="00177EDF" w:rsidP="00177EDF">
      <w:pPr>
        <w:numPr>
          <w:ilvl w:val="0"/>
          <w:numId w:val="5"/>
        </w:numPr>
        <w:tabs>
          <w:tab w:val="num" w:pos="720"/>
        </w:tabs>
        <w:ind w:right="720"/>
        <w:jc w:val="both"/>
      </w:pPr>
      <w:r>
        <w:t xml:space="preserve">Well-defined </w:t>
      </w:r>
      <w:r w:rsidRPr="00BD2688">
        <w:t>institutional roles and responsibilities</w:t>
      </w:r>
      <w:r>
        <w:t>.</w:t>
      </w:r>
    </w:p>
    <w:p w:rsidR="00177EDF" w:rsidRDefault="00177EDF" w:rsidP="00177EDF">
      <w:pPr>
        <w:ind w:left="1080" w:right="720"/>
        <w:jc w:val="both"/>
      </w:pPr>
    </w:p>
    <w:p w:rsidR="00177EDF" w:rsidRDefault="00177EDF" w:rsidP="00177EDF">
      <w:pPr>
        <w:numPr>
          <w:ilvl w:val="0"/>
          <w:numId w:val="2"/>
        </w:numPr>
        <w:ind w:left="1080" w:right="720" w:firstLine="0"/>
        <w:jc w:val="both"/>
      </w:pPr>
      <w:r>
        <w:t>It is important to note that all of UNFPA core funding for global and regional interventions over the 2014-2017 period will be allocated through a framework built squarely upon these principles, starting with the initial funding requests that were submitted as part of the Integrated Budget exercise and have been elaborated upon in detailed action plan proposals, which are available online for the information of all UNFPA staff and the Executive Board, as discussed below.</w:t>
      </w:r>
    </w:p>
    <w:p w:rsidR="00177EDF" w:rsidRDefault="00177EDF" w:rsidP="00177EDF">
      <w:pPr>
        <w:ind w:left="1080" w:right="720"/>
        <w:jc w:val="both"/>
      </w:pPr>
    </w:p>
    <w:p w:rsidR="00177EDF" w:rsidRPr="0061614E" w:rsidRDefault="00177EDF" w:rsidP="00177EDF">
      <w:pPr>
        <w:pStyle w:val="Heading3"/>
        <w:numPr>
          <w:ilvl w:val="0"/>
          <w:numId w:val="22"/>
        </w:numPr>
        <w:ind w:left="1440"/>
      </w:pPr>
      <w:r w:rsidRPr="0061614E">
        <w:t>Parameters</w:t>
      </w:r>
    </w:p>
    <w:p w:rsidR="00177EDF" w:rsidRDefault="00177EDF" w:rsidP="00177EDF">
      <w:pPr>
        <w:ind w:left="1080" w:right="720"/>
        <w:jc w:val="both"/>
      </w:pPr>
    </w:p>
    <w:p w:rsidR="00177EDF" w:rsidRPr="00492392" w:rsidRDefault="00177EDF" w:rsidP="00177EDF">
      <w:pPr>
        <w:numPr>
          <w:ilvl w:val="0"/>
          <w:numId w:val="2"/>
        </w:numPr>
        <w:ind w:left="1080" w:right="720" w:firstLine="0"/>
        <w:jc w:val="both"/>
      </w:pPr>
      <w:r>
        <w:t>The o</w:t>
      </w:r>
      <w:r w:rsidRPr="00492392">
        <w:t xml:space="preserve">verall </w:t>
      </w:r>
      <w:r>
        <w:t xml:space="preserve">resource </w:t>
      </w:r>
      <w:r w:rsidRPr="00492392">
        <w:t xml:space="preserve">ceiling </w:t>
      </w:r>
      <w:r>
        <w:t xml:space="preserve">for global and regional interventions is set at </w:t>
      </w:r>
      <w:r w:rsidR="005B0755">
        <w:t>$275 million</w:t>
      </w:r>
      <w:r>
        <w:t xml:space="preserve"> </w:t>
      </w:r>
      <w:r w:rsidR="005B0755">
        <w:t>from</w:t>
      </w:r>
      <w:r>
        <w:t xml:space="preserve"> regular resources based upon p</w:t>
      </w:r>
      <w:r w:rsidRPr="00492392">
        <w:t>ast experience</w:t>
      </w:r>
      <w:r>
        <w:t xml:space="preserve"> and</w:t>
      </w:r>
      <w:r w:rsidRPr="006307E7">
        <w:t xml:space="preserve"> </w:t>
      </w:r>
      <w:r>
        <w:t>the reapportionment of overhead costs, along with the knowledge of upcoming demands and UNFPA n</w:t>
      </w:r>
      <w:r w:rsidRPr="00492392">
        <w:t>eed for flexibility to respond to emerging needs and opportunities in rapidly changing environments</w:t>
      </w:r>
      <w:r>
        <w:t xml:space="preserve">. In line with the stipulations of the earlier GRP, 60 per cent of programmatic funds for global and regional interventions will be managed through regional offices, and the remaining 40 per cent will be managed by headquarters business units at the global level. </w:t>
      </w:r>
      <w:r w:rsidRPr="00465EE5">
        <w:t>These ratios will be strictly adhered to.</w:t>
      </w:r>
    </w:p>
    <w:p w:rsidR="00177EDF" w:rsidRDefault="00177EDF" w:rsidP="00177EDF">
      <w:pPr>
        <w:ind w:left="1080" w:right="720"/>
        <w:jc w:val="both"/>
      </w:pPr>
    </w:p>
    <w:p w:rsidR="00177EDF" w:rsidRDefault="00177EDF" w:rsidP="00177EDF">
      <w:pPr>
        <w:numPr>
          <w:ilvl w:val="0"/>
          <w:numId w:val="2"/>
        </w:numPr>
        <w:ind w:left="1080" w:right="720" w:firstLine="0"/>
        <w:jc w:val="both"/>
      </w:pPr>
      <w:r>
        <w:t>Initial a</w:t>
      </w:r>
      <w:r w:rsidRPr="00492392">
        <w:t xml:space="preserve">llocations between </w:t>
      </w:r>
      <w:r>
        <w:t xml:space="preserve">regions are based on a weighting factor that takes into account their levels of need based on the types of work that will be undertaken to address those needs as per the business model, including the </w:t>
      </w:r>
      <w:r w:rsidRPr="007E0CA9">
        <w:t>n</w:t>
      </w:r>
      <w:r>
        <w:t xml:space="preserve">eed for support to </w:t>
      </w:r>
      <w:r w:rsidRPr="007E0CA9">
        <w:t xml:space="preserve">countries </w:t>
      </w:r>
      <w:r>
        <w:t>in the region.  Specifically, the weights are as follows:</w:t>
      </w:r>
    </w:p>
    <w:p w:rsidR="00177EDF" w:rsidRPr="002E3925" w:rsidRDefault="00177EDF" w:rsidP="00177EDF">
      <w:pPr>
        <w:numPr>
          <w:ilvl w:val="0"/>
          <w:numId w:val="5"/>
        </w:numPr>
        <w:tabs>
          <w:tab w:val="num" w:pos="720"/>
        </w:tabs>
        <w:ind w:right="720"/>
        <w:jc w:val="both"/>
      </w:pPr>
      <w:r>
        <w:t>Equal baseline a</w:t>
      </w:r>
      <w:r w:rsidRPr="002E3925">
        <w:t>mount for all regions (25%)</w:t>
      </w:r>
      <w:r>
        <w:t>;</w:t>
      </w:r>
    </w:p>
    <w:p w:rsidR="00177EDF" w:rsidRPr="002E3925" w:rsidRDefault="00177EDF" w:rsidP="00177EDF">
      <w:pPr>
        <w:numPr>
          <w:ilvl w:val="0"/>
          <w:numId w:val="5"/>
        </w:numPr>
        <w:tabs>
          <w:tab w:val="num" w:pos="720"/>
        </w:tabs>
        <w:ind w:right="720"/>
        <w:jc w:val="both"/>
      </w:pPr>
      <w:r>
        <w:t>“Needs”</w:t>
      </w:r>
      <w:r w:rsidRPr="002E3925">
        <w:t xml:space="preserve"> score from the RAS</w:t>
      </w:r>
      <w:r w:rsidRPr="001D18CB">
        <w:rPr>
          <w:rStyle w:val="FootnoteReference"/>
          <w:vertAlign w:val="superscript"/>
        </w:rPr>
        <w:footnoteReference w:id="2"/>
      </w:r>
      <w:r w:rsidRPr="002E3925">
        <w:t xml:space="preserve"> for the countries of the region (25%)</w:t>
      </w:r>
      <w:r>
        <w:t>;</w:t>
      </w:r>
    </w:p>
    <w:p w:rsidR="00177EDF" w:rsidRPr="002E3925" w:rsidRDefault="00177EDF" w:rsidP="00177EDF">
      <w:pPr>
        <w:numPr>
          <w:ilvl w:val="0"/>
          <w:numId w:val="5"/>
        </w:numPr>
        <w:tabs>
          <w:tab w:val="num" w:pos="720"/>
        </w:tabs>
        <w:ind w:right="720"/>
        <w:jc w:val="both"/>
      </w:pPr>
      <w:r w:rsidRPr="002E3925">
        <w:t>Total C</w:t>
      </w:r>
      <w:r>
        <w:t xml:space="preserve">ountry </w:t>
      </w:r>
      <w:r w:rsidRPr="002E3925">
        <w:t>P</w:t>
      </w:r>
      <w:r>
        <w:t>rogramme</w:t>
      </w:r>
      <w:r w:rsidRPr="002E3925">
        <w:t xml:space="preserve"> amount (5%)</w:t>
      </w:r>
      <w:r>
        <w:t>;</w:t>
      </w:r>
    </w:p>
    <w:p w:rsidR="00177EDF" w:rsidRPr="002E3925" w:rsidRDefault="00177EDF" w:rsidP="00177EDF">
      <w:pPr>
        <w:numPr>
          <w:ilvl w:val="0"/>
          <w:numId w:val="5"/>
        </w:numPr>
        <w:tabs>
          <w:tab w:val="num" w:pos="720"/>
        </w:tabs>
        <w:ind w:right="720"/>
        <w:jc w:val="both"/>
      </w:pPr>
      <w:r w:rsidRPr="002E3925">
        <w:t>Number of countries (20%)</w:t>
      </w:r>
      <w:r>
        <w:t xml:space="preserve">; </w:t>
      </w:r>
    </w:p>
    <w:p w:rsidR="00177EDF" w:rsidRPr="002E3925" w:rsidRDefault="00177EDF" w:rsidP="00177EDF">
      <w:pPr>
        <w:numPr>
          <w:ilvl w:val="0"/>
          <w:numId w:val="5"/>
        </w:numPr>
        <w:tabs>
          <w:tab w:val="num" w:pos="720"/>
        </w:tabs>
        <w:ind w:right="720"/>
        <w:jc w:val="both"/>
      </w:pPr>
      <w:r w:rsidRPr="002E3925">
        <w:t xml:space="preserve">Number of countries </w:t>
      </w:r>
      <w:r>
        <w:t>that are in the pink quadrant in the RAS</w:t>
      </w:r>
      <w:r w:rsidRPr="001D18CB">
        <w:rPr>
          <w:rStyle w:val="FootnoteReference"/>
          <w:vertAlign w:val="superscript"/>
        </w:rPr>
        <w:footnoteReference w:id="3"/>
      </w:r>
      <w:r>
        <w:t xml:space="preserve"> </w:t>
      </w:r>
      <w:r w:rsidRPr="002E3925">
        <w:t>(25%)</w:t>
      </w:r>
      <w:r>
        <w:t>.</w:t>
      </w:r>
    </w:p>
    <w:p w:rsidR="00177EDF" w:rsidRDefault="00177EDF" w:rsidP="00177EDF">
      <w:pPr>
        <w:ind w:left="1080" w:right="720"/>
        <w:jc w:val="both"/>
      </w:pPr>
    </w:p>
    <w:p w:rsidR="00177EDF" w:rsidRDefault="00177EDF" w:rsidP="00177EDF">
      <w:pPr>
        <w:numPr>
          <w:ilvl w:val="0"/>
          <w:numId w:val="2"/>
        </w:numPr>
        <w:ind w:left="1080" w:right="720" w:firstLine="0"/>
        <w:jc w:val="both"/>
      </w:pPr>
      <w:r>
        <w:t>For headquarters</w:t>
      </w:r>
      <w:r w:rsidRPr="007E0CA9">
        <w:t xml:space="preserve"> units, </w:t>
      </w:r>
      <w:r>
        <w:t>initial distributions will be made based on historical expenditures and the needs and opportunities to contribute to the outcomes identified in the Integrated Results Framework (IRF), as per the detailed action plans submitted by each unit.</w:t>
      </w:r>
    </w:p>
    <w:p w:rsidR="00177EDF" w:rsidRPr="00465EE5" w:rsidRDefault="00177EDF" w:rsidP="00177EDF">
      <w:pPr>
        <w:ind w:left="1080" w:right="720"/>
        <w:jc w:val="both"/>
      </w:pPr>
    </w:p>
    <w:p w:rsidR="00177EDF" w:rsidRPr="0061614E" w:rsidRDefault="00177EDF" w:rsidP="00177EDF">
      <w:pPr>
        <w:pStyle w:val="Heading3"/>
        <w:numPr>
          <w:ilvl w:val="0"/>
          <w:numId w:val="22"/>
        </w:numPr>
        <w:ind w:left="1440"/>
      </w:pPr>
      <w:r w:rsidRPr="0061614E">
        <w:t>Process</w:t>
      </w:r>
    </w:p>
    <w:p w:rsidR="00177EDF" w:rsidRDefault="00177EDF" w:rsidP="00177EDF">
      <w:pPr>
        <w:ind w:left="1080" w:right="720"/>
        <w:jc w:val="both"/>
      </w:pPr>
    </w:p>
    <w:p w:rsidR="00177EDF" w:rsidRPr="007A0A58" w:rsidRDefault="00177EDF" w:rsidP="00177EDF">
      <w:pPr>
        <w:numPr>
          <w:ilvl w:val="0"/>
          <w:numId w:val="2"/>
        </w:numPr>
        <w:ind w:left="1080" w:right="720" w:firstLine="0"/>
        <w:jc w:val="both"/>
      </w:pPr>
      <w:r>
        <w:lastRenderedPageBreak/>
        <w:t xml:space="preserve">Allocating resources to global and regional interventions within the parameters defined above is a </w:t>
      </w:r>
      <w:r w:rsidRPr="00BE58C1">
        <w:t>straightforward</w:t>
      </w:r>
      <w:r>
        <w:t xml:space="preserve"> process that leverages an existing peer review mechanism managed by the Programme Review Committee (PRC) Secretariat, hosted by the Programme Division (PD), as well as involving the Division for Management Services (DMS), and the</w:t>
      </w:r>
      <w:r w:rsidRPr="00396E02">
        <w:t xml:space="preserve"> </w:t>
      </w:r>
      <w:r>
        <w:t>PRC itself (which is made up of the members of the Executive Committee (EC)</w:t>
      </w:r>
      <w:r w:rsidRPr="00BF1E4D">
        <w:t xml:space="preserve"> </w:t>
      </w:r>
      <w:r>
        <w:t>plus three Country Representatives selected based on the quality of the country programme documents), as per the diagram below.</w:t>
      </w:r>
      <w:r w:rsidRPr="007A0A58">
        <w:t xml:space="preserve"> </w:t>
      </w:r>
    </w:p>
    <w:p w:rsidR="00177EDF" w:rsidRDefault="00177EDF" w:rsidP="00177EDF">
      <w:pPr>
        <w:ind w:left="1080"/>
      </w:pPr>
      <w:r>
        <w:rPr>
          <w:noProof/>
          <w:lang w:val="en-US"/>
        </w:rPr>
        <w:drawing>
          <wp:inline distT="0" distB="0" distL="0" distR="0" wp14:anchorId="562B475A" wp14:editId="555D364A">
            <wp:extent cx="4761865" cy="1837690"/>
            <wp:effectExtent l="0" t="0" r="635"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1865" cy="1837690"/>
                    </a:xfrm>
                    <a:prstGeom prst="rect">
                      <a:avLst/>
                    </a:prstGeom>
                    <a:noFill/>
                    <a:ln>
                      <a:noFill/>
                    </a:ln>
                  </pic:spPr>
                </pic:pic>
              </a:graphicData>
            </a:graphic>
          </wp:inline>
        </w:drawing>
      </w:r>
    </w:p>
    <w:p w:rsidR="00177EDF" w:rsidRDefault="00177EDF" w:rsidP="00177EDF">
      <w:pPr>
        <w:ind w:left="1080"/>
      </w:pPr>
    </w:p>
    <w:p w:rsidR="00177EDF" w:rsidRDefault="00177EDF" w:rsidP="00177EDF">
      <w:pPr>
        <w:numPr>
          <w:ilvl w:val="0"/>
          <w:numId w:val="2"/>
        </w:numPr>
        <w:ind w:left="1080" w:right="720" w:firstLine="0"/>
        <w:jc w:val="both"/>
      </w:pPr>
      <w:r>
        <w:t>The p</w:t>
      </w:r>
      <w:r w:rsidRPr="007A0A58">
        <w:t xml:space="preserve">eer review </w:t>
      </w:r>
      <w:r>
        <w:t>mechanism</w:t>
      </w:r>
      <w:r w:rsidRPr="007A0A58">
        <w:t xml:space="preserve"> managed by </w:t>
      </w:r>
      <w:r>
        <w:t>the PRC s</w:t>
      </w:r>
      <w:r w:rsidRPr="007A0A58">
        <w:t xml:space="preserve">ecretariat is a </w:t>
      </w:r>
      <w:r>
        <w:t xml:space="preserve">tested and </w:t>
      </w:r>
      <w:r w:rsidRPr="007A0A58">
        <w:t xml:space="preserve">credible </w:t>
      </w:r>
      <w:r>
        <w:t xml:space="preserve">quality assurance mechanism that </w:t>
      </w:r>
      <w:r w:rsidRPr="007A0A58">
        <w:t>has helped</w:t>
      </w:r>
      <w:r>
        <w:t xml:space="preserve"> to significantly elevate the quality of UNFPA country programme documents. A t</w:t>
      </w:r>
      <w:r w:rsidRPr="007A0A58">
        <w:t xml:space="preserve">eam of two </w:t>
      </w:r>
      <w:r>
        <w:t xml:space="preserve">peer </w:t>
      </w:r>
      <w:r w:rsidRPr="007A0A58">
        <w:t xml:space="preserve">reviewers for each </w:t>
      </w:r>
      <w:r>
        <w:t>a</w:t>
      </w:r>
      <w:r w:rsidRPr="007A0A58">
        <w:t xml:space="preserve">ction </w:t>
      </w:r>
      <w:r>
        <w:t>p</w:t>
      </w:r>
      <w:r w:rsidRPr="007A0A58">
        <w:t xml:space="preserve">lan </w:t>
      </w:r>
      <w:r>
        <w:t>is drawn randomly from a roster of volunteers, which a</w:t>
      </w:r>
      <w:r w:rsidRPr="007A0A58">
        <w:t>ll senior UNFPA staff at the regional, sub-</w:t>
      </w:r>
      <w:r>
        <w:t xml:space="preserve">regional and headquarters levels have been invited to join. </w:t>
      </w:r>
      <w:r w:rsidRPr="007A0A58">
        <w:t xml:space="preserve">Reviewers assess </w:t>
      </w:r>
      <w:r>
        <w:t>programmatic</w:t>
      </w:r>
      <w:r w:rsidRPr="007A0A58">
        <w:t xml:space="preserve"> and fina</w:t>
      </w:r>
      <w:r>
        <w:t xml:space="preserve">ncial aspects of each proposal and their </w:t>
      </w:r>
      <w:r w:rsidRPr="007A0A58">
        <w:t xml:space="preserve">feedback </w:t>
      </w:r>
      <w:r>
        <w:t xml:space="preserve">is </w:t>
      </w:r>
      <w:r w:rsidRPr="007A0A58">
        <w:t>provided to</w:t>
      </w:r>
      <w:r>
        <w:t xml:space="preserve"> regional offices and headquarters units</w:t>
      </w:r>
      <w:r w:rsidRPr="007A0A58">
        <w:t xml:space="preserve"> for </w:t>
      </w:r>
      <w:r>
        <w:t>a</w:t>
      </w:r>
      <w:r w:rsidRPr="007A0A58">
        <w:t xml:space="preserve">ction </w:t>
      </w:r>
      <w:r>
        <w:t>p</w:t>
      </w:r>
      <w:r w:rsidRPr="007A0A58">
        <w:t>lan improvement</w:t>
      </w:r>
      <w:r>
        <w:t>. As outlined in the diagram above, the PRC/EC considers peer reviewer input and recommendations and makes final funding decisions on the proposed action plans.</w:t>
      </w:r>
    </w:p>
    <w:p w:rsidR="00177EDF" w:rsidRDefault="00177EDF" w:rsidP="00177EDF">
      <w:pPr>
        <w:ind w:left="1080" w:right="720"/>
        <w:jc w:val="both"/>
      </w:pPr>
    </w:p>
    <w:p w:rsidR="00177EDF" w:rsidRDefault="00177EDF" w:rsidP="00177EDF">
      <w:pPr>
        <w:pStyle w:val="Heading3"/>
        <w:numPr>
          <w:ilvl w:val="0"/>
          <w:numId w:val="22"/>
        </w:numPr>
        <w:ind w:left="1440"/>
        <w:rPr>
          <w:lang w:val="en-US"/>
        </w:rPr>
      </w:pPr>
      <w:r w:rsidRPr="0061614E">
        <w:t>Criteria</w:t>
      </w:r>
    </w:p>
    <w:p w:rsidR="00177EDF" w:rsidRPr="000B754C" w:rsidRDefault="00177EDF" w:rsidP="00177EDF">
      <w:pPr>
        <w:rPr>
          <w:lang w:val="en-US" w:eastAsia="x-none"/>
        </w:rPr>
      </w:pPr>
    </w:p>
    <w:p w:rsidR="00177EDF" w:rsidRPr="000A5CC9" w:rsidRDefault="00177EDF" w:rsidP="00177EDF">
      <w:pPr>
        <w:numPr>
          <w:ilvl w:val="0"/>
          <w:numId w:val="2"/>
        </w:numPr>
        <w:ind w:left="1080" w:right="720" w:firstLine="0"/>
        <w:jc w:val="both"/>
      </w:pPr>
      <w:r w:rsidRPr="000A5CC9">
        <w:t xml:space="preserve">Action </w:t>
      </w:r>
      <w:r>
        <w:t>p</w:t>
      </w:r>
      <w:r w:rsidRPr="000A5CC9">
        <w:t>lan proposals must detail:</w:t>
      </w:r>
    </w:p>
    <w:p w:rsidR="00177EDF" w:rsidRPr="000A5CC9" w:rsidRDefault="00177EDF" w:rsidP="00177EDF">
      <w:pPr>
        <w:numPr>
          <w:ilvl w:val="0"/>
          <w:numId w:val="5"/>
        </w:numPr>
        <w:tabs>
          <w:tab w:val="num" w:pos="720"/>
        </w:tabs>
        <w:ind w:right="720"/>
        <w:jc w:val="both"/>
      </w:pPr>
      <w:r>
        <w:t xml:space="preserve">The </w:t>
      </w:r>
      <w:r w:rsidRPr="000A5CC9">
        <w:t>Integrated Results Framework out</w:t>
      </w:r>
      <w:r>
        <w:t>put</w:t>
      </w:r>
      <w:r w:rsidRPr="000A5CC9">
        <w:t>s to which activities contribute</w:t>
      </w:r>
      <w:r>
        <w:t>;</w:t>
      </w:r>
    </w:p>
    <w:p w:rsidR="00177EDF" w:rsidRPr="000A5CC9" w:rsidRDefault="00177EDF" w:rsidP="00177EDF">
      <w:pPr>
        <w:numPr>
          <w:ilvl w:val="0"/>
          <w:numId w:val="5"/>
        </w:numPr>
        <w:tabs>
          <w:tab w:val="num" w:pos="720"/>
        </w:tabs>
        <w:ind w:right="720"/>
        <w:jc w:val="both"/>
      </w:pPr>
      <w:r w:rsidRPr="000A5CC9">
        <w:t xml:space="preserve">Output indicators, </w:t>
      </w:r>
      <w:r>
        <w:t xml:space="preserve">including </w:t>
      </w:r>
      <w:r w:rsidRPr="000A5CC9">
        <w:t>baseline</w:t>
      </w:r>
      <w:r>
        <w:t>s</w:t>
      </w:r>
      <w:r w:rsidRPr="000A5CC9">
        <w:t xml:space="preserve"> and targets</w:t>
      </w:r>
      <w:r>
        <w:t>;</w:t>
      </w:r>
    </w:p>
    <w:p w:rsidR="00177EDF" w:rsidRPr="000A5CC9" w:rsidRDefault="00177EDF" w:rsidP="00177EDF">
      <w:pPr>
        <w:numPr>
          <w:ilvl w:val="0"/>
          <w:numId w:val="5"/>
        </w:numPr>
        <w:tabs>
          <w:tab w:val="num" w:pos="720"/>
        </w:tabs>
        <w:ind w:right="720"/>
        <w:jc w:val="both"/>
      </w:pPr>
      <w:r w:rsidRPr="000A5CC9">
        <w:t>A</w:t>
      </w:r>
      <w:r>
        <w:t xml:space="preserve"> description of a</w:t>
      </w:r>
      <w:r w:rsidRPr="000A5CC9">
        <w:t>ctivities to be undertaken</w:t>
      </w:r>
      <w:r>
        <w:t>;</w:t>
      </w:r>
    </w:p>
    <w:p w:rsidR="00177EDF" w:rsidRPr="000A5CC9" w:rsidRDefault="00177EDF" w:rsidP="00177EDF">
      <w:pPr>
        <w:numPr>
          <w:ilvl w:val="0"/>
          <w:numId w:val="5"/>
        </w:numPr>
        <w:tabs>
          <w:tab w:val="num" w:pos="720"/>
        </w:tabs>
        <w:ind w:right="720"/>
        <w:jc w:val="both"/>
      </w:pPr>
      <w:r w:rsidRPr="000A5CC9">
        <w:t xml:space="preserve">Implementing </w:t>
      </w:r>
      <w:r>
        <w:t>p</w:t>
      </w:r>
      <w:r w:rsidRPr="000A5CC9">
        <w:t>artner</w:t>
      </w:r>
      <w:r>
        <w:t>(</w:t>
      </w:r>
      <w:r w:rsidRPr="000A5CC9">
        <w:t>s</w:t>
      </w:r>
      <w:r>
        <w:t xml:space="preserve">); </w:t>
      </w:r>
    </w:p>
    <w:p w:rsidR="00177EDF" w:rsidRPr="000A5CC9" w:rsidRDefault="00177EDF" w:rsidP="00177EDF">
      <w:pPr>
        <w:numPr>
          <w:ilvl w:val="0"/>
          <w:numId w:val="5"/>
        </w:numPr>
        <w:tabs>
          <w:tab w:val="num" w:pos="720"/>
        </w:tabs>
        <w:ind w:right="720"/>
        <w:jc w:val="both"/>
      </w:pPr>
      <w:r>
        <w:t>Required resource</w:t>
      </w:r>
      <w:r w:rsidRPr="000A5CC9">
        <w:t>s</w:t>
      </w:r>
      <w:r>
        <w:t>.</w:t>
      </w:r>
    </w:p>
    <w:p w:rsidR="00177EDF" w:rsidRPr="007A0A58" w:rsidRDefault="00177EDF" w:rsidP="00177EDF">
      <w:pPr>
        <w:ind w:left="1080" w:right="720"/>
        <w:jc w:val="both"/>
      </w:pPr>
    </w:p>
    <w:p w:rsidR="00177EDF" w:rsidRDefault="00177EDF" w:rsidP="00177EDF">
      <w:pPr>
        <w:numPr>
          <w:ilvl w:val="0"/>
          <w:numId w:val="2"/>
        </w:numPr>
        <w:ind w:left="1080" w:right="720" w:firstLine="0"/>
        <w:jc w:val="both"/>
      </w:pPr>
      <w:r>
        <w:t>The criteria that peer reviewers apply when providing feedback on a proposed action plan are as follows:</w:t>
      </w:r>
    </w:p>
    <w:p w:rsidR="00177EDF" w:rsidRPr="007A0A58" w:rsidRDefault="00177EDF" w:rsidP="00177EDF">
      <w:pPr>
        <w:ind w:left="1080" w:right="720"/>
        <w:jc w:val="both"/>
      </w:pPr>
    </w:p>
    <w:tbl>
      <w:tblPr>
        <w:tblW w:w="0" w:type="auto"/>
        <w:tblInd w:w="13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5850"/>
      </w:tblGrid>
      <w:tr w:rsidR="00177EDF" w:rsidRPr="001111C4" w:rsidTr="009B383D">
        <w:trPr>
          <w:cantSplit/>
        </w:trPr>
        <w:tc>
          <w:tcPr>
            <w:tcW w:w="1440" w:type="dxa"/>
            <w:shd w:val="clear" w:color="auto" w:fill="auto"/>
            <w:vAlign w:val="center"/>
          </w:tcPr>
          <w:p w:rsidR="00177EDF" w:rsidRPr="001111C4" w:rsidRDefault="00177EDF" w:rsidP="009B383D">
            <w:pPr>
              <w:spacing w:line="276" w:lineRule="auto"/>
              <w:rPr>
                <w:rFonts w:eastAsia="Calibri"/>
                <w:b/>
                <w:sz w:val="18"/>
              </w:rPr>
            </w:pPr>
            <w:r w:rsidRPr="001111C4">
              <w:rPr>
                <w:rFonts w:eastAsia="Calibri"/>
                <w:b/>
                <w:sz w:val="18"/>
              </w:rPr>
              <w:t>Review Dimensions</w:t>
            </w:r>
          </w:p>
        </w:tc>
        <w:tc>
          <w:tcPr>
            <w:tcW w:w="5850" w:type="dxa"/>
            <w:shd w:val="clear" w:color="auto" w:fill="auto"/>
            <w:vAlign w:val="center"/>
          </w:tcPr>
          <w:p w:rsidR="00177EDF" w:rsidRPr="001111C4" w:rsidRDefault="00177EDF" w:rsidP="009B383D">
            <w:pPr>
              <w:spacing w:line="276" w:lineRule="auto"/>
              <w:rPr>
                <w:rFonts w:eastAsia="Calibri"/>
                <w:b/>
                <w:sz w:val="18"/>
              </w:rPr>
            </w:pPr>
            <w:r w:rsidRPr="001111C4">
              <w:rPr>
                <w:rFonts w:eastAsia="Calibri"/>
                <w:b/>
                <w:sz w:val="18"/>
              </w:rPr>
              <w:t>Criteria</w:t>
            </w:r>
          </w:p>
        </w:tc>
      </w:tr>
      <w:tr w:rsidR="00177EDF" w:rsidRPr="001111C4" w:rsidTr="009B383D">
        <w:trPr>
          <w:cantSplit/>
        </w:trPr>
        <w:tc>
          <w:tcPr>
            <w:tcW w:w="1440" w:type="dxa"/>
            <w:shd w:val="clear" w:color="auto" w:fill="auto"/>
          </w:tcPr>
          <w:p w:rsidR="00177EDF" w:rsidRPr="001111C4" w:rsidRDefault="00177EDF" w:rsidP="009B383D">
            <w:pPr>
              <w:spacing w:line="276" w:lineRule="auto"/>
              <w:rPr>
                <w:rFonts w:eastAsia="Calibri"/>
                <w:sz w:val="18"/>
              </w:rPr>
            </w:pPr>
            <w:r>
              <w:rPr>
                <w:rFonts w:eastAsia="Calibri"/>
                <w:sz w:val="18"/>
              </w:rPr>
              <w:t>Strategic  a</w:t>
            </w:r>
            <w:r w:rsidRPr="001111C4">
              <w:rPr>
                <w:rFonts w:eastAsia="Calibri"/>
                <w:sz w:val="18"/>
              </w:rPr>
              <w:t>lignment</w:t>
            </w:r>
          </w:p>
        </w:tc>
        <w:tc>
          <w:tcPr>
            <w:tcW w:w="5850" w:type="dxa"/>
            <w:shd w:val="clear" w:color="auto" w:fill="auto"/>
          </w:tcPr>
          <w:p w:rsidR="00177EDF" w:rsidRPr="001111C4" w:rsidRDefault="00177EDF" w:rsidP="009B383D">
            <w:pPr>
              <w:pStyle w:val="ListParagraph"/>
              <w:numPr>
                <w:ilvl w:val="0"/>
                <w:numId w:val="20"/>
              </w:numPr>
              <w:spacing w:line="240" w:lineRule="auto"/>
              <w:ind w:left="342"/>
              <w:rPr>
                <w:sz w:val="18"/>
              </w:rPr>
            </w:pPr>
            <w:r w:rsidRPr="001111C4">
              <w:rPr>
                <w:sz w:val="18"/>
              </w:rPr>
              <w:t>Alignment with UNFPA strategic  direction</w:t>
            </w:r>
          </w:p>
          <w:p w:rsidR="00177EDF" w:rsidRPr="001111C4" w:rsidRDefault="00177EDF" w:rsidP="009B383D">
            <w:pPr>
              <w:pStyle w:val="ListParagraph"/>
              <w:numPr>
                <w:ilvl w:val="0"/>
                <w:numId w:val="20"/>
              </w:numPr>
              <w:spacing w:line="240" w:lineRule="auto"/>
              <w:ind w:left="342"/>
              <w:rPr>
                <w:sz w:val="18"/>
              </w:rPr>
            </w:pPr>
            <w:r>
              <w:rPr>
                <w:sz w:val="18"/>
              </w:rPr>
              <w:t>Human rights-</w:t>
            </w:r>
            <w:r w:rsidRPr="001111C4">
              <w:rPr>
                <w:sz w:val="18"/>
              </w:rPr>
              <w:t>based approaches</w:t>
            </w:r>
          </w:p>
          <w:p w:rsidR="00177EDF" w:rsidRPr="001111C4" w:rsidRDefault="00177EDF" w:rsidP="009B383D">
            <w:pPr>
              <w:pStyle w:val="ListParagraph"/>
              <w:numPr>
                <w:ilvl w:val="0"/>
                <w:numId w:val="20"/>
              </w:numPr>
              <w:spacing w:line="240" w:lineRule="auto"/>
              <w:ind w:left="342"/>
              <w:rPr>
                <w:sz w:val="18"/>
              </w:rPr>
            </w:pPr>
            <w:r w:rsidRPr="001111C4">
              <w:rPr>
                <w:sz w:val="18"/>
              </w:rPr>
              <w:t>Linkages/contribution to the Integrated Results Framework</w:t>
            </w:r>
          </w:p>
          <w:p w:rsidR="00177EDF" w:rsidRPr="001111C4" w:rsidRDefault="00177EDF" w:rsidP="009B383D">
            <w:pPr>
              <w:pStyle w:val="ListParagraph"/>
              <w:numPr>
                <w:ilvl w:val="0"/>
                <w:numId w:val="20"/>
              </w:numPr>
              <w:spacing w:line="240" w:lineRule="auto"/>
              <w:ind w:left="342"/>
              <w:rPr>
                <w:sz w:val="18"/>
              </w:rPr>
            </w:pPr>
            <w:r w:rsidRPr="001111C4">
              <w:rPr>
                <w:sz w:val="18"/>
              </w:rPr>
              <w:t>Prioritization and focus on priority outputs</w:t>
            </w:r>
          </w:p>
        </w:tc>
      </w:tr>
      <w:tr w:rsidR="00177EDF" w:rsidRPr="001111C4" w:rsidTr="009B383D">
        <w:trPr>
          <w:cantSplit/>
        </w:trPr>
        <w:tc>
          <w:tcPr>
            <w:tcW w:w="1440" w:type="dxa"/>
            <w:shd w:val="clear" w:color="auto" w:fill="auto"/>
          </w:tcPr>
          <w:p w:rsidR="00177EDF" w:rsidRPr="001111C4" w:rsidRDefault="00177EDF" w:rsidP="009B383D">
            <w:pPr>
              <w:spacing w:line="276" w:lineRule="auto"/>
              <w:rPr>
                <w:rFonts w:eastAsia="Calibri"/>
                <w:sz w:val="18"/>
              </w:rPr>
            </w:pPr>
            <w:r>
              <w:rPr>
                <w:rFonts w:eastAsia="Calibri"/>
                <w:sz w:val="18"/>
              </w:rPr>
              <w:t>Results-based m</w:t>
            </w:r>
            <w:r w:rsidRPr="001111C4">
              <w:rPr>
                <w:rFonts w:eastAsia="Calibri"/>
                <w:sz w:val="18"/>
              </w:rPr>
              <w:t>anagement</w:t>
            </w:r>
          </w:p>
        </w:tc>
        <w:tc>
          <w:tcPr>
            <w:tcW w:w="5850" w:type="dxa"/>
            <w:shd w:val="clear" w:color="auto" w:fill="auto"/>
          </w:tcPr>
          <w:p w:rsidR="00177EDF" w:rsidRPr="001111C4" w:rsidRDefault="00177EDF" w:rsidP="009B383D">
            <w:pPr>
              <w:pStyle w:val="ListParagraph"/>
              <w:numPr>
                <w:ilvl w:val="0"/>
                <w:numId w:val="20"/>
              </w:numPr>
              <w:spacing w:line="240" w:lineRule="auto"/>
              <w:ind w:left="342"/>
              <w:rPr>
                <w:sz w:val="18"/>
              </w:rPr>
            </w:pPr>
            <w:r w:rsidRPr="001111C4">
              <w:rPr>
                <w:sz w:val="18"/>
              </w:rPr>
              <w:t>Clear contributions/Linkages between outputs and outcomes</w:t>
            </w:r>
          </w:p>
          <w:p w:rsidR="00177EDF" w:rsidRPr="001111C4" w:rsidRDefault="00177EDF" w:rsidP="009B383D">
            <w:pPr>
              <w:pStyle w:val="ListParagraph"/>
              <w:numPr>
                <w:ilvl w:val="0"/>
                <w:numId w:val="20"/>
              </w:numPr>
              <w:spacing w:line="240" w:lineRule="auto"/>
              <w:ind w:left="342"/>
              <w:rPr>
                <w:sz w:val="18"/>
              </w:rPr>
            </w:pPr>
            <w:r w:rsidRPr="001111C4">
              <w:rPr>
                <w:sz w:val="18"/>
              </w:rPr>
              <w:t>Precise and measurable output indicators with baselines and targets</w:t>
            </w:r>
          </w:p>
        </w:tc>
      </w:tr>
      <w:tr w:rsidR="00177EDF" w:rsidRPr="001111C4" w:rsidTr="009B383D">
        <w:trPr>
          <w:cantSplit/>
        </w:trPr>
        <w:tc>
          <w:tcPr>
            <w:tcW w:w="1440" w:type="dxa"/>
            <w:shd w:val="clear" w:color="auto" w:fill="auto"/>
          </w:tcPr>
          <w:p w:rsidR="00177EDF" w:rsidRPr="001111C4" w:rsidRDefault="00177EDF" w:rsidP="009B383D">
            <w:pPr>
              <w:spacing w:line="276" w:lineRule="auto"/>
              <w:rPr>
                <w:rFonts w:eastAsia="Calibri"/>
                <w:sz w:val="18"/>
              </w:rPr>
            </w:pPr>
            <w:r>
              <w:rPr>
                <w:rFonts w:eastAsia="Calibri"/>
                <w:sz w:val="18"/>
              </w:rPr>
              <w:t>Using evidence and lessons l</w:t>
            </w:r>
            <w:r w:rsidRPr="001111C4">
              <w:rPr>
                <w:rFonts w:eastAsia="Calibri"/>
                <w:sz w:val="18"/>
              </w:rPr>
              <w:t>earned</w:t>
            </w:r>
          </w:p>
        </w:tc>
        <w:tc>
          <w:tcPr>
            <w:tcW w:w="5850" w:type="dxa"/>
            <w:shd w:val="clear" w:color="auto" w:fill="auto"/>
          </w:tcPr>
          <w:p w:rsidR="00177EDF" w:rsidRPr="001111C4" w:rsidRDefault="00177EDF" w:rsidP="009B383D">
            <w:pPr>
              <w:pStyle w:val="ListParagraph"/>
              <w:numPr>
                <w:ilvl w:val="0"/>
                <w:numId w:val="20"/>
              </w:numPr>
              <w:spacing w:line="240" w:lineRule="auto"/>
              <w:ind w:left="342"/>
              <w:rPr>
                <w:sz w:val="18"/>
              </w:rPr>
            </w:pPr>
            <w:r w:rsidRPr="001111C4">
              <w:rPr>
                <w:sz w:val="18"/>
              </w:rPr>
              <w:t>Justification based on evidence of gaps and needs</w:t>
            </w:r>
          </w:p>
          <w:p w:rsidR="00177EDF" w:rsidRPr="001111C4" w:rsidRDefault="00177EDF" w:rsidP="009B383D">
            <w:pPr>
              <w:pStyle w:val="ListParagraph"/>
              <w:numPr>
                <w:ilvl w:val="0"/>
                <w:numId w:val="20"/>
              </w:numPr>
              <w:spacing w:line="240" w:lineRule="auto"/>
              <w:ind w:left="342"/>
              <w:rPr>
                <w:sz w:val="18"/>
              </w:rPr>
            </w:pPr>
            <w:r w:rsidRPr="001111C4">
              <w:rPr>
                <w:sz w:val="18"/>
              </w:rPr>
              <w:t>Use of lessons learned from past GRP performance</w:t>
            </w:r>
          </w:p>
          <w:p w:rsidR="00177EDF" w:rsidRPr="001111C4" w:rsidRDefault="00177EDF" w:rsidP="009B383D">
            <w:pPr>
              <w:pStyle w:val="ListParagraph"/>
              <w:numPr>
                <w:ilvl w:val="0"/>
                <w:numId w:val="20"/>
              </w:numPr>
              <w:spacing w:line="240" w:lineRule="auto"/>
              <w:ind w:left="342"/>
              <w:rPr>
                <w:sz w:val="18"/>
              </w:rPr>
            </w:pPr>
            <w:r w:rsidRPr="001111C4">
              <w:rPr>
                <w:sz w:val="18"/>
              </w:rPr>
              <w:t>Monitoring mechanisms defined</w:t>
            </w:r>
          </w:p>
        </w:tc>
      </w:tr>
      <w:tr w:rsidR="00177EDF" w:rsidRPr="001111C4" w:rsidTr="009B383D">
        <w:trPr>
          <w:cantSplit/>
        </w:trPr>
        <w:tc>
          <w:tcPr>
            <w:tcW w:w="1440" w:type="dxa"/>
            <w:shd w:val="clear" w:color="auto" w:fill="auto"/>
          </w:tcPr>
          <w:p w:rsidR="00177EDF" w:rsidRPr="001111C4" w:rsidRDefault="00177EDF" w:rsidP="009B383D">
            <w:pPr>
              <w:spacing w:line="276" w:lineRule="auto"/>
              <w:rPr>
                <w:rFonts w:eastAsia="Calibri"/>
                <w:sz w:val="18"/>
              </w:rPr>
            </w:pPr>
            <w:r>
              <w:rPr>
                <w:rFonts w:eastAsia="Calibri"/>
                <w:sz w:val="18"/>
              </w:rPr>
              <w:lastRenderedPageBreak/>
              <w:t>Financial resources/ b</w:t>
            </w:r>
            <w:r w:rsidRPr="001111C4">
              <w:rPr>
                <w:rFonts w:eastAsia="Calibri"/>
                <w:sz w:val="18"/>
              </w:rPr>
              <w:t>udget</w:t>
            </w:r>
          </w:p>
        </w:tc>
        <w:tc>
          <w:tcPr>
            <w:tcW w:w="5850" w:type="dxa"/>
            <w:shd w:val="clear" w:color="auto" w:fill="auto"/>
          </w:tcPr>
          <w:p w:rsidR="00177EDF" w:rsidRPr="001111C4" w:rsidRDefault="00177EDF" w:rsidP="009B383D">
            <w:pPr>
              <w:pStyle w:val="ListParagraph"/>
              <w:numPr>
                <w:ilvl w:val="0"/>
                <w:numId w:val="20"/>
              </w:numPr>
              <w:spacing w:line="240" w:lineRule="auto"/>
              <w:ind w:left="342"/>
              <w:rPr>
                <w:sz w:val="18"/>
              </w:rPr>
            </w:pPr>
            <w:r w:rsidRPr="001111C4">
              <w:rPr>
                <w:sz w:val="18"/>
              </w:rPr>
              <w:t>Adequacy of resources for results</w:t>
            </w:r>
          </w:p>
          <w:p w:rsidR="00177EDF" w:rsidRPr="001111C4" w:rsidRDefault="00177EDF" w:rsidP="009B383D">
            <w:pPr>
              <w:pStyle w:val="ListParagraph"/>
              <w:numPr>
                <w:ilvl w:val="0"/>
                <w:numId w:val="20"/>
              </w:numPr>
              <w:spacing w:line="240" w:lineRule="auto"/>
              <w:ind w:left="342"/>
              <w:rPr>
                <w:sz w:val="18"/>
              </w:rPr>
            </w:pPr>
            <w:r w:rsidRPr="001111C4">
              <w:rPr>
                <w:sz w:val="18"/>
              </w:rPr>
              <w:t>Cost reasonableness</w:t>
            </w:r>
          </w:p>
          <w:p w:rsidR="00177EDF" w:rsidRPr="001111C4" w:rsidRDefault="00177EDF" w:rsidP="009B383D">
            <w:pPr>
              <w:pStyle w:val="ListParagraph"/>
              <w:numPr>
                <w:ilvl w:val="0"/>
                <w:numId w:val="20"/>
              </w:numPr>
              <w:spacing w:line="240" w:lineRule="auto"/>
              <w:ind w:left="342"/>
              <w:rPr>
                <w:sz w:val="18"/>
              </w:rPr>
            </w:pPr>
            <w:r w:rsidRPr="001111C4">
              <w:rPr>
                <w:sz w:val="18"/>
              </w:rPr>
              <w:t>Value for money</w:t>
            </w:r>
          </w:p>
        </w:tc>
      </w:tr>
    </w:tbl>
    <w:p w:rsidR="00177EDF" w:rsidRDefault="00177EDF" w:rsidP="00177EDF"/>
    <w:p w:rsidR="00177EDF" w:rsidRDefault="00177EDF" w:rsidP="00177EDF">
      <w:pPr>
        <w:numPr>
          <w:ilvl w:val="0"/>
          <w:numId w:val="2"/>
        </w:numPr>
        <w:ind w:left="1080" w:right="720" w:firstLine="0"/>
        <w:jc w:val="both"/>
      </w:pPr>
      <w:r>
        <w:t>A detailed list of these criteria is available online, along with the forms reviewers use to evaluate each action plan proposal. The focus of UNFPA efforts to improve the management and governance of regular resources destined to global and regional interventions is upon the transparency and consistency with which the above criteria are applied to each and every dollar of funding. The results of the first round of peer reviews for the 2014-2017 global and regional action plans proposals submitted by each regional office and headquarters unit, along with the detailed proposals, are also available online, at the address indicated below.</w:t>
      </w:r>
    </w:p>
    <w:p w:rsidR="00177EDF" w:rsidRDefault="00177EDF" w:rsidP="00177EDF">
      <w:pPr>
        <w:ind w:left="1080" w:right="720"/>
        <w:jc w:val="both"/>
      </w:pPr>
    </w:p>
    <w:p w:rsidR="00177EDF" w:rsidRPr="0061614E" w:rsidRDefault="00177EDF" w:rsidP="00177EDF">
      <w:pPr>
        <w:pStyle w:val="Heading2"/>
        <w:ind w:left="1080" w:hanging="605"/>
        <w:rPr>
          <w:lang w:val="en-US"/>
        </w:rPr>
      </w:pPr>
      <w:bookmarkStart w:id="7" w:name="_Toc367187922"/>
      <w:r>
        <w:rPr>
          <w:lang w:val="en-US"/>
        </w:rPr>
        <w:t>Achieving r</w:t>
      </w:r>
      <w:r w:rsidRPr="0061614E">
        <w:rPr>
          <w:lang w:val="en-US"/>
        </w:rPr>
        <w:t>esults</w:t>
      </w:r>
      <w:bookmarkEnd w:id="7"/>
    </w:p>
    <w:p w:rsidR="00177EDF" w:rsidRPr="00AD069E" w:rsidRDefault="00177EDF" w:rsidP="00177EDF">
      <w:pPr>
        <w:pStyle w:val="Heading3"/>
        <w:numPr>
          <w:ilvl w:val="0"/>
          <w:numId w:val="0"/>
        </w:numPr>
        <w:ind w:left="1440"/>
      </w:pPr>
    </w:p>
    <w:p w:rsidR="00177EDF" w:rsidRPr="0061614E" w:rsidRDefault="00177EDF" w:rsidP="00177EDF">
      <w:pPr>
        <w:pStyle w:val="Heading3"/>
        <w:numPr>
          <w:ilvl w:val="0"/>
          <w:numId w:val="23"/>
        </w:numPr>
        <w:ind w:left="1440"/>
      </w:pPr>
      <w:r>
        <w:t xml:space="preserve">Monitoring and </w:t>
      </w:r>
      <w:r>
        <w:rPr>
          <w:lang w:val="en-US"/>
        </w:rPr>
        <w:t>r</w:t>
      </w:r>
      <w:r w:rsidRPr="0061614E">
        <w:t>eporting</w:t>
      </w:r>
    </w:p>
    <w:p w:rsidR="00177EDF" w:rsidRDefault="00177EDF" w:rsidP="00177EDF">
      <w:pPr>
        <w:ind w:left="1080" w:right="720"/>
        <w:jc w:val="both"/>
      </w:pPr>
    </w:p>
    <w:p w:rsidR="00177EDF" w:rsidRDefault="00177EDF" w:rsidP="00177EDF">
      <w:pPr>
        <w:numPr>
          <w:ilvl w:val="0"/>
          <w:numId w:val="2"/>
        </w:numPr>
        <w:ind w:left="1080" w:right="720" w:firstLine="0"/>
        <w:jc w:val="both"/>
      </w:pPr>
      <w:r w:rsidRPr="00B44587">
        <w:t>Results-based management requires that performance indicators, baselines, and targets be set at the outset of any intervention</w:t>
      </w:r>
      <w:r>
        <w:t xml:space="preserve">, as they form the basis for monitoring and reporting on effectiveness. Output indicators for global and regional interventions are </w:t>
      </w:r>
      <w:r w:rsidRPr="00B44587">
        <w:t xml:space="preserve">a required component of </w:t>
      </w:r>
      <w:r>
        <w:t xml:space="preserve">the </w:t>
      </w:r>
      <w:r w:rsidRPr="00B44587">
        <w:t xml:space="preserve">global and regional </w:t>
      </w:r>
      <w:r>
        <w:t>a</w:t>
      </w:r>
      <w:r w:rsidRPr="00B44587">
        <w:t xml:space="preserve">ction </w:t>
      </w:r>
      <w:r>
        <w:t>p</w:t>
      </w:r>
      <w:r w:rsidRPr="00B44587">
        <w:t>lans</w:t>
      </w:r>
      <w:r>
        <w:t>, and are reviewed as part of the peer review process</w:t>
      </w:r>
      <w:r w:rsidRPr="00B44587">
        <w:t>. Similarly, the monitoring arrangements for global and regional results must be</w:t>
      </w:r>
      <w:r>
        <w:t xml:space="preserve"> identified in the action plan.</w:t>
      </w:r>
    </w:p>
    <w:p w:rsidR="00177EDF" w:rsidRDefault="00177EDF" w:rsidP="00177EDF">
      <w:pPr>
        <w:ind w:left="1080" w:right="720"/>
        <w:jc w:val="both"/>
      </w:pPr>
    </w:p>
    <w:p w:rsidR="00177EDF" w:rsidRDefault="00177EDF" w:rsidP="00177EDF">
      <w:pPr>
        <w:numPr>
          <w:ilvl w:val="0"/>
          <w:numId w:val="2"/>
        </w:numPr>
        <w:ind w:left="1080" w:right="720" w:firstLine="0"/>
        <w:jc w:val="both"/>
      </w:pPr>
      <w:r>
        <w:t xml:space="preserve">It is important to emphasize that additional changes to the way UNFPA monitors and reports on its effectiveness as an organization will be required, and the GPS is simply one step in that direction. In the context of developing a unified framework for resource planning and budgeting architecture, UNFPA must also develop mechanisms to monitor and report on all of its institutional activities in an integrated way, including both programmatic and non-programmatic functions. </w:t>
      </w:r>
    </w:p>
    <w:p w:rsidR="00177EDF" w:rsidRDefault="00177EDF" w:rsidP="00177EDF">
      <w:pPr>
        <w:ind w:left="1080" w:right="720"/>
        <w:jc w:val="both"/>
      </w:pPr>
    </w:p>
    <w:p w:rsidR="00177EDF" w:rsidRDefault="00177EDF" w:rsidP="00177EDF">
      <w:pPr>
        <w:numPr>
          <w:ilvl w:val="0"/>
          <w:numId w:val="2"/>
        </w:numPr>
        <w:ind w:left="1080" w:right="720" w:firstLine="0"/>
        <w:jc w:val="both"/>
      </w:pPr>
      <w:r>
        <w:t xml:space="preserve">In the meantime, regional offices and headquarters units will report to the Executive Committee periodically on progress against their approved action plans for global and regional interventions. To the extent possible, these progress reports will be based on the UNFPA existing reporting system. These progress reports will be supplemented by a midterm review of global and regional interventions – as part of the midterm review of the 2014-17 strategic plan. The Division for Management Services will continue to provide the </w:t>
      </w:r>
      <w:r w:rsidRPr="001D18CB">
        <w:t xml:space="preserve">Quarterly UNFPA Positions Statistics Overview as well as the quarterly </w:t>
      </w:r>
      <w:r>
        <w:t>u</w:t>
      </w:r>
      <w:r w:rsidRPr="001D18CB">
        <w:t>pdates it provides on implementation rates, resource balances, and audit findings and status. Th</w:t>
      </w:r>
      <w:r>
        <w:t>ese reports cover all of UNFPA</w:t>
      </w:r>
      <w:r w:rsidRPr="001D18CB">
        <w:t xml:space="preserve"> resources, including for global and regional interventions. </w:t>
      </w:r>
      <w:r>
        <w:t xml:space="preserve">In order to avoid fragmentation, </w:t>
      </w:r>
      <w:r w:rsidRPr="00B44587">
        <w:t xml:space="preserve">progress on global and regional interventions will be </w:t>
      </w:r>
      <w:r>
        <w:t>reported on the whole in the UNFPA regular annual report and the annual statistical and financial review.</w:t>
      </w:r>
    </w:p>
    <w:p w:rsidR="00177EDF" w:rsidRDefault="00177EDF" w:rsidP="00177EDF">
      <w:pPr>
        <w:ind w:left="1080" w:right="720"/>
        <w:jc w:val="both"/>
      </w:pPr>
    </w:p>
    <w:p w:rsidR="00177EDF" w:rsidRPr="0061614E" w:rsidRDefault="00177EDF" w:rsidP="00177EDF">
      <w:pPr>
        <w:pStyle w:val="Heading3"/>
        <w:numPr>
          <w:ilvl w:val="0"/>
          <w:numId w:val="23"/>
        </w:numPr>
        <w:ind w:left="1440"/>
      </w:pPr>
      <w:r w:rsidRPr="0061614E">
        <w:t>Evaluation</w:t>
      </w:r>
    </w:p>
    <w:p w:rsidR="00177EDF" w:rsidRDefault="00177EDF" w:rsidP="00177EDF">
      <w:pPr>
        <w:ind w:left="1080" w:right="720"/>
        <w:jc w:val="both"/>
      </w:pPr>
    </w:p>
    <w:p w:rsidR="00177EDF" w:rsidRDefault="00177EDF" w:rsidP="00177EDF">
      <w:pPr>
        <w:numPr>
          <w:ilvl w:val="0"/>
          <w:numId w:val="2"/>
        </w:numPr>
        <w:ind w:left="1080" w:right="720" w:firstLine="0"/>
        <w:jc w:val="both"/>
      </w:pPr>
      <w:r>
        <w:t>UNFPA has recently introduced a new evaluation policy</w:t>
      </w:r>
      <w:r w:rsidRPr="00950DDE">
        <w:t xml:space="preserve"> (</w:t>
      </w:r>
      <w:r w:rsidRPr="001D18CB">
        <w:t>DP/FPA/2013/5</w:t>
      </w:r>
      <w:r w:rsidRPr="00950DDE">
        <w:t>)</w:t>
      </w:r>
      <w:r>
        <w:t xml:space="preserve">, approved by the Board in June 2013, and is in the process of establishing a separate Evaluations Office that will report directly to the Executive Director. It is anticipated that by elevating the importance of the evaluation function, devoting more resources to it, and enhancing the institution’s capacity to deliver robust assessments of programmatic interventions, UNFPA will make considerable strides in understanding how it can be more effective and efficient in delivering impact. These insights will then be plowed back into future interventions.  </w:t>
      </w:r>
      <w:r w:rsidRPr="00B44587">
        <w:t>Global and regional interventions will be evaluated</w:t>
      </w:r>
      <w:r>
        <w:t xml:space="preserve"> </w:t>
      </w:r>
      <w:r w:rsidRPr="00B44587">
        <w:t>in the context of, and along with, all other programmatic interventions</w:t>
      </w:r>
      <w:r>
        <w:t>.</w:t>
      </w:r>
    </w:p>
    <w:p w:rsidR="00177EDF" w:rsidRPr="002239EB" w:rsidRDefault="00177EDF" w:rsidP="00177EDF">
      <w:pPr>
        <w:ind w:left="1080" w:right="720"/>
        <w:jc w:val="both"/>
      </w:pPr>
    </w:p>
    <w:p w:rsidR="00177EDF" w:rsidRDefault="00177EDF" w:rsidP="00177EDF">
      <w:pPr>
        <w:numPr>
          <w:ilvl w:val="0"/>
          <w:numId w:val="2"/>
        </w:numPr>
        <w:ind w:left="1080" w:right="720" w:firstLine="0"/>
        <w:jc w:val="both"/>
      </w:pPr>
      <w:r w:rsidRPr="00B44587">
        <w:lastRenderedPageBreak/>
        <w:t xml:space="preserve">Evaluation findings will </w:t>
      </w:r>
      <w:r>
        <w:t xml:space="preserve">then </w:t>
      </w:r>
      <w:r w:rsidRPr="00B44587">
        <w:t>be factored into the review criteria for future global and regional interventions</w:t>
      </w:r>
      <w:r>
        <w:t xml:space="preserve"> to enhance the quality of the action plans that ultimately receive funding and contribute to greater institutional impact</w:t>
      </w:r>
      <w:r w:rsidRPr="00B44587">
        <w:t xml:space="preserve">. </w:t>
      </w:r>
    </w:p>
    <w:p w:rsidR="00177EDF" w:rsidRPr="007A0A58" w:rsidRDefault="00177EDF" w:rsidP="00177EDF"/>
    <w:p w:rsidR="00177EDF" w:rsidRPr="00212013" w:rsidRDefault="00177EDF" w:rsidP="004F6B56"/>
    <w:p w:rsidR="00177EDF" w:rsidRPr="0061614E" w:rsidRDefault="00177EDF" w:rsidP="00177EDF">
      <w:pPr>
        <w:pStyle w:val="Heading2"/>
        <w:ind w:left="1080" w:hanging="605"/>
        <w:rPr>
          <w:lang w:val="en-US"/>
        </w:rPr>
      </w:pPr>
      <w:bookmarkStart w:id="8" w:name="_Toc367187923"/>
      <w:r>
        <w:rPr>
          <w:lang w:val="en-US"/>
        </w:rPr>
        <w:t>Roles and r</w:t>
      </w:r>
      <w:r w:rsidRPr="0061614E">
        <w:rPr>
          <w:lang w:val="en-US"/>
        </w:rPr>
        <w:t>esponsibilities</w:t>
      </w:r>
      <w:bookmarkEnd w:id="8"/>
    </w:p>
    <w:p w:rsidR="00177EDF" w:rsidRDefault="00177EDF" w:rsidP="00177EDF">
      <w:pPr>
        <w:ind w:left="1080" w:right="720"/>
        <w:jc w:val="both"/>
      </w:pPr>
    </w:p>
    <w:p w:rsidR="00177EDF" w:rsidRDefault="00177EDF" w:rsidP="00177EDF">
      <w:pPr>
        <w:numPr>
          <w:ilvl w:val="0"/>
          <w:numId w:val="2"/>
        </w:numPr>
        <w:ind w:left="1080" w:right="720" w:firstLine="0"/>
        <w:jc w:val="both"/>
      </w:pPr>
      <w:r>
        <w:t xml:space="preserve">Roles and responsibilities for the governance and management of global and regional interventions are defined in the following diagram. </w:t>
      </w:r>
    </w:p>
    <w:p w:rsidR="00177EDF" w:rsidRDefault="00177EDF" w:rsidP="00177EDF">
      <w:pPr>
        <w:ind w:left="720" w:right="720"/>
        <w:jc w:val="both"/>
      </w:pPr>
      <w:r>
        <w:rPr>
          <w:noProof/>
          <w:lang w:val="en-US"/>
        </w:rPr>
        <w:drawing>
          <wp:inline distT="0" distB="0" distL="0" distR="0" wp14:anchorId="73F8929E" wp14:editId="221D9A28">
            <wp:extent cx="5443220" cy="2760345"/>
            <wp:effectExtent l="0" t="0" r="5080" b="1905"/>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3220" cy="2760345"/>
                    </a:xfrm>
                    <a:prstGeom prst="rect">
                      <a:avLst/>
                    </a:prstGeom>
                    <a:noFill/>
                    <a:ln>
                      <a:noFill/>
                    </a:ln>
                  </pic:spPr>
                </pic:pic>
              </a:graphicData>
            </a:graphic>
          </wp:inline>
        </w:drawing>
      </w:r>
    </w:p>
    <w:p w:rsidR="00177EDF" w:rsidRDefault="00177EDF" w:rsidP="00177EDF">
      <w:pPr>
        <w:ind w:left="1080" w:right="720"/>
        <w:jc w:val="both"/>
      </w:pPr>
    </w:p>
    <w:p w:rsidR="00177EDF" w:rsidRDefault="00177EDF" w:rsidP="00177EDF">
      <w:pPr>
        <w:ind w:left="1080" w:right="720"/>
        <w:jc w:val="both"/>
      </w:pPr>
    </w:p>
    <w:p w:rsidR="00177EDF" w:rsidRPr="000075CF" w:rsidRDefault="00177EDF" w:rsidP="00177EDF">
      <w:pPr>
        <w:numPr>
          <w:ilvl w:val="0"/>
          <w:numId w:val="2"/>
        </w:numPr>
        <w:ind w:left="1080" w:right="720" w:firstLine="0"/>
        <w:jc w:val="both"/>
      </w:pPr>
      <w:r>
        <w:t>To provide for transparency and consistency, the following are posted online on a</w:t>
      </w:r>
      <w:r w:rsidR="002E5314">
        <w:t>n</w:t>
      </w:r>
      <w:r>
        <w:t xml:space="preserve"> </w:t>
      </w:r>
      <w:r w:rsidR="002E5314">
        <w:t xml:space="preserve">internal </w:t>
      </w:r>
      <w:r w:rsidRPr="000075CF">
        <w:t xml:space="preserve">dedicated </w:t>
      </w:r>
      <w:r>
        <w:t>webpage maintained by the PRC secretariat</w:t>
      </w:r>
      <w:r w:rsidRPr="000075CF">
        <w:t>:</w:t>
      </w:r>
    </w:p>
    <w:p w:rsidR="00177EDF" w:rsidRDefault="00177EDF" w:rsidP="00177EDF">
      <w:pPr>
        <w:numPr>
          <w:ilvl w:val="0"/>
          <w:numId w:val="5"/>
        </w:numPr>
        <w:tabs>
          <w:tab w:val="num" w:pos="720"/>
        </w:tabs>
        <w:ind w:right="720"/>
        <w:jc w:val="both"/>
      </w:pPr>
      <w:r w:rsidRPr="000075CF">
        <w:t>All policies, procedures &amp; timelines</w:t>
      </w:r>
      <w:r>
        <w:t>;</w:t>
      </w:r>
    </w:p>
    <w:p w:rsidR="00177EDF" w:rsidRDefault="00177EDF" w:rsidP="00177EDF">
      <w:pPr>
        <w:numPr>
          <w:ilvl w:val="0"/>
          <w:numId w:val="5"/>
        </w:numPr>
        <w:tabs>
          <w:tab w:val="num" w:pos="720"/>
        </w:tabs>
        <w:ind w:right="720"/>
        <w:jc w:val="both"/>
      </w:pPr>
      <w:r>
        <w:t>All action p</w:t>
      </w:r>
      <w:r w:rsidRPr="000075CF">
        <w:t>lan submissions and status</w:t>
      </w:r>
      <w:r>
        <w:t>;</w:t>
      </w:r>
    </w:p>
    <w:p w:rsidR="00177EDF" w:rsidRDefault="00177EDF" w:rsidP="00177EDF">
      <w:pPr>
        <w:numPr>
          <w:ilvl w:val="0"/>
          <w:numId w:val="5"/>
        </w:numPr>
        <w:tabs>
          <w:tab w:val="num" w:pos="720"/>
        </w:tabs>
        <w:ind w:right="720"/>
        <w:jc w:val="both"/>
      </w:pPr>
      <w:r w:rsidRPr="000075CF">
        <w:t xml:space="preserve">Summary recommendations of </w:t>
      </w:r>
      <w:r>
        <w:t>peer</w:t>
      </w:r>
      <w:r w:rsidRPr="000075CF">
        <w:t xml:space="preserve"> review</w:t>
      </w:r>
      <w:r>
        <w:t>er</w:t>
      </w:r>
      <w:r w:rsidRPr="000075CF">
        <w:t>s</w:t>
      </w:r>
      <w:r>
        <w:t xml:space="preserve">; </w:t>
      </w:r>
    </w:p>
    <w:p w:rsidR="00177EDF" w:rsidRPr="00602850" w:rsidRDefault="00177EDF" w:rsidP="00177EDF">
      <w:pPr>
        <w:numPr>
          <w:ilvl w:val="0"/>
          <w:numId w:val="5"/>
        </w:numPr>
        <w:tabs>
          <w:tab w:val="num" w:pos="720"/>
        </w:tabs>
        <w:ind w:right="720"/>
        <w:jc w:val="both"/>
      </w:pPr>
      <w:r>
        <w:t>PRC recommendations and Executive Committee funding decision.</w:t>
      </w:r>
    </w:p>
    <w:p w:rsidR="00177EDF" w:rsidRDefault="00177EDF" w:rsidP="00177EDF">
      <w:pPr>
        <w:ind w:left="1080" w:right="720"/>
        <w:jc w:val="both"/>
        <w:rPr>
          <w:lang w:val="en-US"/>
        </w:rPr>
      </w:pPr>
    </w:p>
    <w:p w:rsidR="00177EDF" w:rsidRPr="009176C2" w:rsidRDefault="00177EDF" w:rsidP="00177EDF">
      <w:pPr>
        <w:pStyle w:val="Heading1"/>
        <w:numPr>
          <w:ilvl w:val="0"/>
          <w:numId w:val="6"/>
        </w:numPr>
        <w:rPr>
          <w:lang w:val="en-GB"/>
        </w:rPr>
      </w:pPr>
      <w:bookmarkStart w:id="9" w:name="_Toc367187924"/>
      <w:r>
        <w:rPr>
          <w:lang w:val="en-GB"/>
        </w:rPr>
        <w:t>The resource allocation system</w:t>
      </w:r>
      <w:bookmarkEnd w:id="9"/>
    </w:p>
    <w:p w:rsidR="00177EDF" w:rsidRDefault="00177EDF" w:rsidP="00177EDF">
      <w:pPr>
        <w:ind w:left="1080" w:right="720"/>
        <w:jc w:val="both"/>
      </w:pPr>
    </w:p>
    <w:p w:rsidR="00177EDF" w:rsidRPr="00445095" w:rsidRDefault="00177EDF" w:rsidP="00177EDF">
      <w:pPr>
        <w:pStyle w:val="Heading2"/>
        <w:numPr>
          <w:ilvl w:val="0"/>
          <w:numId w:val="21"/>
        </w:numPr>
        <w:ind w:left="1080" w:hanging="605"/>
      </w:pPr>
      <w:bookmarkStart w:id="10" w:name="_Toc367187925"/>
      <w:r w:rsidRPr="0061614E">
        <w:rPr>
          <w:lang w:val="en-US"/>
        </w:rPr>
        <w:t>Background</w:t>
      </w:r>
      <w:bookmarkEnd w:id="10"/>
    </w:p>
    <w:p w:rsidR="00177EDF" w:rsidRDefault="00177EDF" w:rsidP="00177EDF">
      <w:pPr>
        <w:ind w:left="1080" w:right="720"/>
        <w:jc w:val="both"/>
        <w:rPr>
          <w:lang w:val="en-US"/>
        </w:rPr>
      </w:pPr>
    </w:p>
    <w:p w:rsidR="00177EDF" w:rsidRPr="00F84D3B" w:rsidRDefault="00177EDF" w:rsidP="00177EDF">
      <w:pPr>
        <w:numPr>
          <w:ilvl w:val="0"/>
          <w:numId w:val="2"/>
        </w:numPr>
        <w:ind w:left="1080" w:right="720" w:firstLine="0"/>
        <w:jc w:val="both"/>
        <w:rPr>
          <w:lang w:val="en-US"/>
        </w:rPr>
      </w:pPr>
      <w:r>
        <w:rPr>
          <w:lang w:val="en-US"/>
        </w:rPr>
        <w:t>The resource allocation system (RAS)</w:t>
      </w:r>
      <w:r w:rsidRPr="00F84D3B">
        <w:rPr>
          <w:lang w:val="en-US"/>
        </w:rPr>
        <w:t xml:space="preserve"> is one of the funding channels discussed above, and so </w:t>
      </w:r>
      <w:r>
        <w:rPr>
          <w:lang w:val="en-US"/>
        </w:rPr>
        <w:t xml:space="preserve">it is affected by some of the broader challenges described above. Additionally, </w:t>
      </w:r>
      <w:r w:rsidRPr="00F84D3B">
        <w:rPr>
          <w:lang w:val="en-US"/>
        </w:rPr>
        <w:t>as the share of regular resources declines and other resourc</w:t>
      </w:r>
      <w:r>
        <w:rPr>
          <w:lang w:val="en-US"/>
        </w:rPr>
        <w:t>es increases, it will become</w:t>
      </w:r>
      <w:r w:rsidRPr="00F84D3B">
        <w:rPr>
          <w:lang w:val="en-US"/>
        </w:rPr>
        <w:t xml:space="preserve"> increasingly important to manage the programme res</w:t>
      </w:r>
      <w:r>
        <w:rPr>
          <w:lang w:val="en-US"/>
        </w:rPr>
        <w:t>ources allocated through the RAS</w:t>
      </w:r>
      <w:r w:rsidRPr="00F84D3B">
        <w:rPr>
          <w:lang w:val="en-US"/>
        </w:rPr>
        <w:t xml:space="preserve"> in a manner that is harmonized with the programmatic parts of funding coming from other resources.</w:t>
      </w:r>
    </w:p>
    <w:p w:rsidR="00177EDF" w:rsidRPr="00F84D3B" w:rsidRDefault="00177EDF" w:rsidP="00177EDF">
      <w:pPr>
        <w:ind w:left="1080" w:right="720"/>
        <w:jc w:val="both"/>
        <w:rPr>
          <w:lang w:val="en-US"/>
        </w:rPr>
      </w:pPr>
    </w:p>
    <w:p w:rsidR="00177EDF" w:rsidRPr="00F84D3B" w:rsidRDefault="00177EDF" w:rsidP="00177EDF">
      <w:pPr>
        <w:numPr>
          <w:ilvl w:val="0"/>
          <w:numId w:val="2"/>
        </w:numPr>
        <w:ind w:left="1080" w:right="720" w:firstLine="0"/>
        <w:jc w:val="both"/>
        <w:rPr>
          <w:lang w:val="en-US"/>
        </w:rPr>
      </w:pPr>
      <w:r w:rsidRPr="00F84D3B">
        <w:rPr>
          <w:lang w:val="en-US"/>
        </w:rPr>
        <w:t xml:space="preserve">However, there are a number of pressing issues associated with the RAS that need to be addressed irrespective of the broader improvements to the funding architecture.  To understand the current challenges with the RAS it is necessary to examine the workings of the </w:t>
      </w:r>
      <w:r>
        <w:rPr>
          <w:lang w:val="en-US"/>
        </w:rPr>
        <w:t>s</w:t>
      </w:r>
      <w:r w:rsidRPr="00F84D3B">
        <w:rPr>
          <w:lang w:val="en-US"/>
        </w:rPr>
        <w:t>ystem carefully.</w:t>
      </w:r>
    </w:p>
    <w:p w:rsidR="00177EDF" w:rsidRPr="00F84D3B" w:rsidRDefault="00177EDF" w:rsidP="00177EDF">
      <w:pPr>
        <w:ind w:left="1080" w:right="720"/>
        <w:jc w:val="both"/>
        <w:rPr>
          <w:lang w:val="en-US"/>
        </w:rPr>
      </w:pPr>
    </w:p>
    <w:p w:rsidR="00177EDF" w:rsidRPr="00F84D3B" w:rsidRDefault="00177EDF" w:rsidP="00177EDF">
      <w:pPr>
        <w:numPr>
          <w:ilvl w:val="0"/>
          <w:numId w:val="2"/>
        </w:numPr>
        <w:ind w:left="1080" w:right="720" w:firstLine="0"/>
        <w:jc w:val="both"/>
        <w:rPr>
          <w:lang w:val="en-US"/>
        </w:rPr>
      </w:pPr>
      <w:r w:rsidRPr="00F84D3B">
        <w:rPr>
          <w:lang w:val="en-US"/>
        </w:rPr>
        <w:lastRenderedPageBreak/>
        <w:t>The current framework was introduced in 1996, and reviewed and refined by th</w:t>
      </w:r>
      <w:r>
        <w:rPr>
          <w:lang w:val="en-US"/>
        </w:rPr>
        <w:t>e Executive Board in 2000, 2005</w:t>
      </w:r>
      <w:r w:rsidRPr="00F84D3B">
        <w:rPr>
          <w:lang w:val="en-US"/>
        </w:rPr>
        <w:t xml:space="preserve"> and 2007.  The most recent update to the RAS is detailed in DP/FPA/2007/18 and was approved by the Executive Board t</w:t>
      </w:r>
      <w:r>
        <w:rPr>
          <w:lang w:val="en-US"/>
        </w:rPr>
        <w:t>hrough d</w:t>
      </w:r>
      <w:r w:rsidRPr="00F84D3B">
        <w:rPr>
          <w:lang w:val="en-US"/>
        </w:rPr>
        <w:t>ecision 2007/42.</w:t>
      </w:r>
    </w:p>
    <w:p w:rsidR="00177EDF" w:rsidRPr="00F84D3B" w:rsidRDefault="00177EDF" w:rsidP="00177EDF">
      <w:pPr>
        <w:ind w:left="1080" w:right="720"/>
        <w:jc w:val="both"/>
        <w:rPr>
          <w:lang w:val="en-US"/>
        </w:rPr>
      </w:pPr>
    </w:p>
    <w:p w:rsidR="00177EDF" w:rsidRPr="00F84D3B" w:rsidRDefault="00177EDF" w:rsidP="00177EDF">
      <w:pPr>
        <w:numPr>
          <w:ilvl w:val="0"/>
          <w:numId w:val="2"/>
        </w:numPr>
        <w:ind w:left="1080" w:right="720" w:firstLine="0"/>
        <w:jc w:val="both"/>
        <w:rPr>
          <w:lang w:val="en-US"/>
        </w:rPr>
      </w:pPr>
      <w:r w:rsidRPr="00F84D3B">
        <w:rPr>
          <w:lang w:val="en-US"/>
        </w:rPr>
        <w:t>The paper DP/FPA/2007/18 states a set of guiding principles for the RAS:</w:t>
      </w:r>
    </w:p>
    <w:p w:rsidR="00177EDF" w:rsidRPr="00F84D3B" w:rsidRDefault="00177EDF" w:rsidP="00177EDF">
      <w:pPr>
        <w:numPr>
          <w:ilvl w:val="0"/>
          <w:numId w:val="5"/>
        </w:numPr>
        <w:tabs>
          <w:tab w:val="num" w:pos="720"/>
        </w:tabs>
        <w:ind w:right="720"/>
        <w:jc w:val="both"/>
      </w:pPr>
      <w:r w:rsidRPr="00F84D3B">
        <w:t>“Adherence to the principles of the ICPD Programme of Action;</w:t>
      </w:r>
    </w:p>
    <w:p w:rsidR="00177EDF" w:rsidRPr="00F84D3B" w:rsidRDefault="00177EDF" w:rsidP="00177EDF">
      <w:pPr>
        <w:numPr>
          <w:ilvl w:val="0"/>
          <w:numId w:val="5"/>
        </w:numPr>
        <w:tabs>
          <w:tab w:val="num" w:pos="720"/>
        </w:tabs>
        <w:ind w:right="720"/>
        <w:jc w:val="both"/>
      </w:pPr>
      <w:r w:rsidRPr="00F84D3B">
        <w:t>“Financial assistance focused on countries with the lowest level of achievement with regard to the ICPD agenda, as reflected in the UNFPA strategic plan goals on population and development, reproductive health and gender;</w:t>
      </w:r>
    </w:p>
    <w:p w:rsidR="00177EDF" w:rsidRPr="00F84D3B" w:rsidRDefault="00177EDF" w:rsidP="00177EDF">
      <w:pPr>
        <w:numPr>
          <w:ilvl w:val="0"/>
          <w:numId w:val="5"/>
        </w:numPr>
        <w:tabs>
          <w:tab w:val="num" w:pos="720"/>
        </w:tabs>
        <w:ind w:right="720"/>
        <w:jc w:val="both"/>
      </w:pPr>
      <w:r w:rsidRPr="00F84D3B">
        <w:t>“The phasing out or limiting of financial assistance to countries that are close to attaining, or that have already surpassed the ICPD goals;</w:t>
      </w:r>
    </w:p>
    <w:p w:rsidR="00177EDF" w:rsidRPr="00F84D3B" w:rsidRDefault="00177EDF" w:rsidP="00177EDF">
      <w:pPr>
        <w:numPr>
          <w:ilvl w:val="0"/>
          <w:numId w:val="5"/>
        </w:numPr>
        <w:tabs>
          <w:tab w:val="num" w:pos="720"/>
        </w:tabs>
        <w:ind w:right="720"/>
        <w:jc w:val="both"/>
      </w:pPr>
      <w:r w:rsidRPr="00F84D3B">
        <w:t>“Special attention to low-income countries, the LDCs, sub-Saharan Africa and countries in emergencies, transition and recovery;</w:t>
      </w:r>
    </w:p>
    <w:p w:rsidR="00177EDF" w:rsidRPr="00F84D3B" w:rsidRDefault="00177EDF" w:rsidP="00177EDF">
      <w:pPr>
        <w:numPr>
          <w:ilvl w:val="0"/>
          <w:numId w:val="5"/>
        </w:numPr>
        <w:tabs>
          <w:tab w:val="num" w:pos="720"/>
        </w:tabs>
        <w:ind w:right="720"/>
        <w:jc w:val="both"/>
      </w:pPr>
      <w:r w:rsidRPr="00F84D3B">
        <w:t xml:space="preserve">“The promotion of national capacity-building through South-South cooperation; </w:t>
      </w:r>
    </w:p>
    <w:p w:rsidR="00177EDF" w:rsidRPr="00F84D3B" w:rsidRDefault="00177EDF" w:rsidP="00177EDF">
      <w:pPr>
        <w:numPr>
          <w:ilvl w:val="0"/>
          <w:numId w:val="5"/>
        </w:numPr>
        <w:tabs>
          <w:tab w:val="num" w:pos="720"/>
        </w:tabs>
        <w:ind w:right="720"/>
        <w:jc w:val="both"/>
      </w:pPr>
      <w:r w:rsidRPr="00F84D3B">
        <w:t>“The provision of technical assistance to all countries requesting it.”</w:t>
      </w:r>
    </w:p>
    <w:p w:rsidR="00177EDF" w:rsidRPr="00F84D3B" w:rsidRDefault="00177EDF" w:rsidP="00177EDF">
      <w:pPr>
        <w:ind w:left="1080" w:right="720"/>
        <w:jc w:val="both"/>
        <w:rPr>
          <w:lang w:val="en-US"/>
        </w:rPr>
      </w:pPr>
    </w:p>
    <w:p w:rsidR="00177EDF" w:rsidRPr="00F84D3B" w:rsidRDefault="00177EDF" w:rsidP="00177EDF">
      <w:pPr>
        <w:numPr>
          <w:ilvl w:val="0"/>
          <w:numId w:val="2"/>
        </w:numPr>
        <w:ind w:left="1080" w:right="720" w:firstLine="0"/>
        <w:jc w:val="both"/>
        <w:rPr>
          <w:lang w:val="en-US"/>
        </w:rPr>
      </w:pPr>
      <w:r w:rsidRPr="00F84D3B">
        <w:rPr>
          <w:lang w:val="en-US"/>
        </w:rPr>
        <w:t xml:space="preserve">These principles are intended to be operationalized in part through a series of indicators that relate to progress on the </w:t>
      </w:r>
      <w:r>
        <w:rPr>
          <w:lang w:val="en-US"/>
        </w:rPr>
        <w:t>ICPD agenda, as seen in t</w:t>
      </w:r>
      <w:r w:rsidRPr="00F84D3B">
        <w:rPr>
          <w:lang w:val="en-US"/>
        </w:rPr>
        <w:t>able 1.</w:t>
      </w:r>
    </w:p>
    <w:p w:rsidR="00177EDF" w:rsidRPr="00F84D3B" w:rsidRDefault="00177EDF" w:rsidP="00177EDF">
      <w:pPr>
        <w:ind w:left="1080" w:right="720"/>
        <w:jc w:val="both"/>
        <w:rPr>
          <w:lang w:val="en-US"/>
        </w:rPr>
      </w:pPr>
    </w:p>
    <w:p w:rsidR="00177EDF" w:rsidRPr="00F84D3B" w:rsidRDefault="00177EDF" w:rsidP="00177EDF">
      <w:pPr>
        <w:ind w:left="1080" w:right="720"/>
        <w:jc w:val="both"/>
        <w:rPr>
          <w:b/>
          <w:lang w:val="en-US"/>
        </w:rPr>
      </w:pPr>
      <w:r>
        <w:rPr>
          <w:b/>
          <w:lang w:val="en-US"/>
        </w:rPr>
        <w:t>Table 1: Resource allocation system</w:t>
      </w:r>
      <w:r w:rsidRPr="00F84D3B">
        <w:rPr>
          <w:b/>
          <w:lang w:val="en-US"/>
        </w:rPr>
        <w:t xml:space="preserve"> </w:t>
      </w:r>
      <w:r>
        <w:rPr>
          <w:b/>
          <w:lang w:val="en-US"/>
        </w:rPr>
        <w:t>c</w:t>
      </w:r>
      <w:r w:rsidRPr="00F84D3B">
        <w:rPr>
          <w:b/>
          <w:lang w:val="en-US"/>
        </w:rPr>
        <w:t>riteria</w:t>
      </w:r>
    </w:p>
    <w:tbl>
      <w:tblPr>
        <w:tblW w:w="0" w:type="auto"/>
        <w:tblInd w:w="13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90"/>
        <w:gridCol w:w="1890"/>
      </w:tblGrid>
      <w:tr w:rsidR="00177EDF" w:rsidRPr="00DF6B08" w:rsidTr="009B383D">
        <w:tc>
          <w:tcPr>
            <w:tcW w:w="5490" w:type="dxa"/>
            <w:shd w:val="clear" w:color="auto" w:fill="auto"/>
          </w:tcPr>
          <w:p w:rsidR="00177EDF" w:rsidRPr="00DF6B08" w:rsidRDefault="00177EDF" w:rsidP="009B383D">
            <w:pPr>
              <w:ind w:right="720"/>
              <w:jc w:val="both"/>
              <w:rPr>
                <w:rFonts w:eastAsia="Calibri"/>
                <w:b/>
                <w:sz w:val="18"/>
                <w:lang w:val="en-US"/>
              </w:rPr>
            </w:pPr>
            <w:r w:rsidRPr="00DF6B08">
              <w:rPr>
                <w:rFonts w:eastAsia="Calibri"/>
                <w:b/>
                <w:sz w:val="18"/>
                <w:lang w:val="en-US"/>
              </w:rPr>
              <w:t>Criteria</w:t>
            </w:r>
          </w:p>
        </w:tc>
        <w:tc>
          <w:tcPr>
            <w:tcW w:w="1890" w:type="dxa"/>
            <w:shd w:val="clear" w:color="auto" w:fill="auto"/>
          </w:tcPr>
          <w:p w:rsidR="00177EDF" w:rsidRPr="00DF6B08" w:rsidRDefault="00177EDF" w:rsidP="009B383D">
            <w:pPr>
              <w:ind w:left="16"/>
              <w:jc w:val="both"/>
              <w:rPr>
                <w:rFonts w:eastAsia="Calibri"/>
                <w:b/>
                <w:sz w:val="18"/>
                <w:lang w:val="en-US"/>
              </w:rPr>
            </w:pPr>
            <w:r w:rsidRPr="00DF6B08">
              <w:rPr>
                <w:rFonts w:eastAsia="Calibri"/>
                <w:b/>
                <w:sz w:val="18"/>
                <w:lang w:val="en-US"/>
              </w:rPr>
              <w:t>Threshold</w:t>
            </w:r>
          </w:p>
        </w:tc>
      </w:tr>
      <w:tr w:rsidR="00177EDF" w:rsidRPr="00DF6B08" w:rsidTr="009B383D">
        <w:tc>
          <w:tcPr>
            <w:tcW w:w="5490" w:type="dxa"/>
            <w:shd w:val="clear" w:color="auto" w:fill="auto"/>
          </w:tcPr>
          <w:p w:rsidR="00177EDF" w:rsidRPr="00DF6B08" w:rsidRDefault="00177EDF" w:rsidP="009B383D">
            <w:pPr>
              <w:numPr>
                <w:ilvl w:val="0"/>
                <w:numId w:val="7"/>
              </w:numPr>
              <w:ind w:left="432" w:right="720"/>
              <w:jc w:val="both"/>
              <w:rPr>
                <w:rFonts w:eastAsia="Calibri"/>
                <w:sz w:val="18"/>
                <w:lang w:val="en-US"/>
              </w:rPr>
            </w:pPr>
            <w:r w:rsidRPr="00DF6B08">
              <w:rPr>
                <w:rFonts w:eastAsia="Calibri"/>
                <w:sz w:val="18"/>
                <w:lang w:val="en-US"/>
              </w:rPr>
              <w:t>Proportion of births attended by skilled health personnel</w:t>
            </w:r>
          </w:p>
        </w:tc>
        <w:tc>
          <w:tcPr>
            <w:tcW w:w="1890" w:type="dxa"/>
            <w:shd w:val="clear" w:color="auto" w:fill="auto"/>
            <w:vAlign w:val="center"/>
          </w:tcPr>
          <w:p w:rsidR="00177EDF" w:rsidRPr="00DF6B08" w:rsidRDefault="00177EDF" w:rsidP="009B383D">
            <w:pPr>
              <w:ind w:left="16"/>
              <w:jc w:val="both"/>
              <w:rPr>
                <w:rFonts w:eastAsia="Calibri"/>
                <w:sz w:val="18"/>
                <w:lang w:val="en-US"/>
              </w:rPr>
            </w:pPr>
            <w:r w:rsidRPr="00DF6B08">
              <w:rPr>
                <w:rFonts w:eastAsia="Calibri"/>
                <w:sz w:val="18"/>
                <w:u w:val="single"/>
              </w:rPr>
              <w:t>&gt;</w:t>
            </w:r>
            <w:r w:rsidRPr="00DF6B08">
              <w:rPr>
                <w:rFonts w:eastAsia="Calibri"/>
                <w:sz w:val="18"/>
              </w:rPr>
              <w:t xml:space="preserve"> 60%</w:t>
            </w:r>
          </w:p>
        </w:tc>
      </w:tr>
      <w:tr w:rsidR="00177EDF" w:rsidRPr="00DF6B08" w:rsidTr="009B383D">
        <w:tc>
          <w:tcPr>
            <w:tcW w:w="5490" w:type="dxa"/>
            <w:shd w:val="clear" w:color="auto" w:fill="auto"/>
            <w:vAlign w:val="center"/>
          </w:tcPr>
          <w:p w:rsidR="00177EDF" w:rsidRPr="00DF6B08" w:rsidRDefault="00177EDF" w:rsidP="009B383D">
            <w:pPr>
              <w:numPr>
                <w:ilvl w:val="0"/>
                <w:numId w:val="7"/>
              </w:numPr>
              <w:ind w:left="432" w:right="720"/>
              <w:jc w:val="both"/>
              <w:rPr>
                <w:rFonts w:eastAsia="Calibri"/>
                <w:sz w:val="18"/>
                <w:lang w:val="en-US"/>
              </w:rPr>
            </w:pPr>
            <w:r w:rsidRPr="00DF6B08">
              <w:rPr>
                <w:rFonts w:eastAsia="Calibri"/>
                <w:sz w:val="18"/>
              </w:rPr>
              <w:t>Contraceptive prevalence rate (modern methods only)</w:t>
            </w:r>
          </w:p>
        </w:tc>
        <w:tc>
          <w:tcPr>
            <w:tcW w:w="1890" w:type="dxa"/>
            <w:shd w:val="clear" w:color="auto" w:fill="auto"/>
            <w:vAlign w:val="center"/>
          </w:tcPr>
          <w:p w:rsidR="00177EDF" w:rsidRPr="00DF6B08" w:rsidRDefault="00177EDF" w:rsidP="009B383D">
            <w:pPr>
              <w:ind w:left="16"/>
              <w:jc w:val="both"/>
              <w:rPr>
                <w:rFonts w:eastAsia="Calibri"/>
                <w:sz w:val="18"/>
                <w:lang w:val="en-US"/>
              </w:rPr>
            </w:pPr>
            <w:r w:rsidRPr="00DF6B08">
              <w:rPr>
                <w:rFonts w:eastAsia="Calibri"/>
                <w:sz w:val="18"/>
                <w:u w:val="single"/>
              </w:rPr>
              <w:t>&gt;</w:t>
            </w:r>
            <w:r w:rsidRPr="00DF6B08">
              <w:rPr>
                <w:rFonts w:eastAsia="Calibri"/>
                <w:sz w:val="18"/>
              </w:rPr>
              <w:t xml:space="preserve"> 25%</w:t>
            </w:r>
          </w:p>
        </w:tc>
      </w:tr>
      <w:tr w:rsidR="00177EDF" w:rsidRPr="00DF6B08" w:rsidTr="009B383D">
        <w:tc>
          <w:tcPr>
            <w:tcW w:w="5490" w:type="dxa"/>
            <w:shd w:val="clear" w:color="auto" w:fill="auto"/>
            <w:vAlign w:val="center"/>
          </w:tcPr>
          <w:p w:rsidR="00177EDF" w:rsidRPr="00DF6B08" w:rsidRDefault="00177EDF" w:rsidP="009B383D">
            <w:pPr>
              <w:numPr>
                <w:ilvl w:val="0"/>
                <w:numId w:val="7"/>
              </w:numPr>
              <w:ind w:left="432" w:right="720"/>
              <w:jc w:val="both"/>
              <w:rPr>
                <w:rFonts w:eastAsia="Calibri"/>
                <w:sz w:val="18"/>
                <w:lang w:val="en-US"/>
              </w:rPr>
            </w:pPr>
            <w:r w:rsidRPr="00DF6B08">
              <w:rPr>
                <w:rFonts w:eastAsia="Calibri"/>
                <w:sz w:val="18"/>
              </w:rPr>
              <w:t>Adult HIV prevalence</w:t>
            </w:r>
          </w:p>
        </w:tc>
        <w:tc>
          <w:tcPr>
            <w:tcW w:w="1890" w:type="dxa"/>
            <w:shd w:val="clear" w:color="auto" w:fill="auto"/>
            <w:vAlign w:val="center"/>
          </w:tcPr>
          <w:p w:rsidR="00177EDF" w:rsidRPr="00DF6B08" w:rsidRDefault="00177EDF" w:rsidP="009B383D">
            <w:pPr>
              <w:ind w:left="16"/>
              <w:jc w:val="both"/>
              <w:rPr>
                <w:rFonts w:eastAsia="Calibri"/>
                <w:sz w:val="18"/>
                <w:lang w:val="en-US"/>
              </w:rPr>
            </w:pPr>
            <w:r w:rsidRPr="00DF6B08">
              <w:rPr>
                <w:rFonts w:eastAsia="Calibri"/>
                <w:sz w:val="18"/>
                <w:u w:val="single"/>
              </w:rPr>
              <w:t>&lt;</w:t>
            </w:r>
            <w:r w:rsidRPr="00DF6B08">
              <w:rPr>
                <w:rFonts w:eastAsia="Calibri"/>
                <w:sz w:val="18"/>
              </w:rPr>
              <w:t xml:space="preserve"> 5%</w:t>
            </w:r>
          </w:p>
        </w:tc>
      </w:tr>
      <w:tr w:rsidR="00177EDF" w:rsidRPr="00DF6B08" w:rsidTr="009B383D">
        <w:tc>
          <w:tcPr>
            <w:tcW w:w="5490" w:type="dxa"/>
            <w:shd w:val="clear" w:color="auto" w:fill="auto"/>
            <w:vAlign w:val="center"/>
          </w:tcPr>
          <w:p w:rsidR="00177EDF" w:rsidRPr="00DF6B08" w:rsidRDefault="00177EDF" w:rsidP="009B383D">
            <w:pPr>
              <w:numPr>
                <w:ilvl w:val="0"/>
                <w:numId w:val="7"/>
              </w:numPr>
              <w:ind w:left="432" w:right="720"/>
              <w:jc w:val="both"/>
              <w:rPr>
                <w:rFonts w:eastAsia="Calibri"/>
                <w:sz w:val="18"/>
                <w:lang w:val="en-US"/>
              </w:rPr>
            </w:pPr>
            <w:r w:rsidRPr="00DF6B08">
              <w:rPr>
                <w:rFonts w:eastAsia="Calibri"/>
                <w:sz w:val="18"/>
              </w:rPr>
              <w:t>Adolescent fertility rate</w:t>
            </w:r>
          </w:p>
        </w:tc>
        <w:tc>
          <w:tcPr>
            <w:tcW w:w="1890" w:type="dxa"/>
            <w:shd w:val="clear" w:color="auto" w:fill="auto"/>
            <w:vAlign w:val="center"/>
          </w:tcPr>
          <w:p w:rsidR="00177EDF" w:rsidRPr="00DF6B08" w:rsidRDefault="00177EDF" w:rsidP="009B383D">
            <w:pPr>
              <w:ind w:left="16"/>
              <w:jc w:val="both"/>
              <w:rPr>
                <w:rFonts w:eastAsia="Calibri"/>
                <w:sz w:val="18"/>
                <w:lang w:val="en-US"/>
              </w:rPr>
            </w:pPr>
            <w:r w:rsidRPr="00DF6B08">
              <w:rPr>
                <w:rFonts w:eastAsia="Calibri"/>
                <w:sz w:val="18"/>
                <w:u w:val="single"/>
              </w:rPr>
              <w:t>&lt;</w:t>
            </w:r>
            <w:r w:rsidRPr="00DF6B08">
              <w:rPr>
                <w:rFonts w:eastAsia="Calibri"/>
                <w:sz w:val="18"/>
              </w:rPr>
              <w:t xml:space="preserve"> 65/1000</w:t>
            </w:r>
          </w:p>
        </w:tc>
      </w:tr>
      <w:tr w:rsidR="00177EDF" w:rsidRPr="00DF6B08" w:rsidTr="009B383D">
        <w:tc>
          <w:tcPr>
            <w:tcW w:w="5490" w:type="dxa"/>
            <w:shd w:val="clear" w:color="auto" w:fill="auto"/>
            <w:vAlign w:val="center"/>
          </w:tcPr>
          <w:p w:rsidR="00177EDF" w:rsidRPr="00DF6B08" w:rsidRDefault="00177EDF" w:rsidP="009B383D">
            <w:pPr>
              <w:numPr>
                <w:ilvl w:val="0"/>
                <w:numId w:val="7"/>
              </w:numPr>
              <w:ind w:left="432" w:right="720"/>
              <w:jc w:val="both"/>
              <w:rPr>
                <w:rFonts w:eastAsia="Calibri"/>
                <w:sz w:val="18"/>
                <w:lang w:val="en-US"/>
              </w:rPr>
            </w:pPr>
            <w:r w:rsidRPr="00DF6B08">
              <w:rPr>
                <w:rFonts w:eastAsia="Calibri"/>
                <w:sz w:val="18"/>
              </w:rPr>
              <w:t>Under-five mortality rate</w:t>
            </w:r>
          </w:p>
        </w:tc>
        <w:tc>
          <w:tcPr>
            <w:tcW w:w="1890" w:type="dxa"/>
            <w:shd w:val="clear" w:color="auto" w:fill="auto"/>
            <w:vAlign w:val="center"/>
          </w:tcPr>
          <w:p w:rsidR="00177EDF" w:rsidRPr="00DF6B08" w:rsidRDefault="00177EDF" w:rsidP="009B383D">
            <w:pPr>
              <w:ind w:left="16"/>
              <w:jc w:val="both"/>
              <w:rPr>
                <w:rFonts w:eastAsia="Calibri"/>
                <w:sz w:val="18"/>
                <w:lang w:val="en-US"/>
              </w:rPr>
            </w:pPr>
            <w:r w:rsidRPr="00DF6B08">
              <w:rPr>
                <w:rFonts w:eastAsia="Calibri"/>
                <w:sz w:val="18"/>
                <w:u w:val="single"/>
              </w:rPr>
              <w:t>&lt;</w:t>
            </w:r>
            <w:r w:rsidRPr="00DF6B08">
              <w:rPr>
                <w:rFonts w:eastAsia="Calibri"/>
                <w:sz w:val="18"/>
              </w:rPr>
              <w:t xml:space="preserve"> 60/1000</w:t>
            </w:r>
          </w:p>
        </w:tc>
      </w:tr>
      <w:tr w:rsidR="00177EDF" w:rsidRPr="00DF6B08" w:rsidTr="009B383D">
        <w:tc>
          <w:tcPr>
            <w:tcW w:w="5490" w:type="dxa"/>
            <w:shd w:val="clear" w:color="auto" w:fill="auto"/>
            <w:vAlign w:val="center"/>
          </w:tcPr>
          <w:p w:rsidR="00177EDF" w:rsidRPr="00DF6B08" w:rsidRDefault="00177EDF" w:rsidP="009B383D">
            <w:pPr>
              <w:numPr>
                <w:ilvl w:val="0"/>
                <w:numId w:val="7"/>
              </w:numPr>
              <w:ind w:left="432" w:right="720"/>
              <w:jc w:val="both"/>
              <w:rPr>
                <w:rFonts w:eastAsia="Calibri"/>
                <w:sz w:val="18"/>
                <w:lang w:val="en-US"/>
              </w:rPr>
            </w:pPr>
            <w:r w:rsidRPr="00DF6B08">
              <w:rPr>
                <w:rFonts w:eastAsia="Calibri"/>
                <w:sz w:val="18"/>
              </w:rPr>
              <w:t>Maternal mortality ratio</w:t>
            </w:r>
          </w:p>
        </w:tc>
        <w:tc>
          <w:tcPr>
            <w:tcW w:w="1890" w:type="dxa"/>
            <w:shd w:val="clear" w:color="auto" w:fill="auto"/>
            <w:vAlign w:val="center"/>
          </w:tcPr>
          <w:p w:rsidR="00177EDF" w:rsidRPr="00DF6B08" w:rsidRDefault="00177EDF" w:rsidP="009B383D">
            <w:pPr>
              <w:ind w:left="16"/>
              <w:jc w:val="both"/>
              <w:rPr>
                <w:rFonts w:eastAsia="Calibri"/>
                <w:sz w:val="18"/>
                <w:lang w:val="en-US"/>
              </w:rPr>
            </w:pPr>
            <w:r w:rsidRPr="00DF6B08">
              <w:rPr>
                <w:rFonts w:eastAsia="Calibri"/>
                <w:sz w:val="18"/>
                <w:u w:val="single"/>
              </w:rPr>
              <w:t>&lt;</w:t>
            </w:r>
            <w:r w:rsidRPr="00DF6B08">
              <w:rPr>
                <w:rFonts w:eastAsia="Calibri"/>
                <w:sz w:val="18"/>
              </w:rPr>
              <w:t xml:space="preserve"> 100/100,000</w:t>
            </w:r>
          </w:p>
        </w:tc>
      </w:tr>
      <w:tr w:rsidR="00177EDF" w:rsidRPr="00DF6B08" w:rsidTr="009B383D">
        <w:tc>
          <w:tcPr>
            <w:tcW w:w="5490" w:type="dxa"/>
            <w:shd w:val="clear" w:color="auto" w:fill="auto"/>
            <w:vAlign w:val="center"/>
          </w:tcPr>
          <w:p w:rsidR="00177EDF" w:rsidRPr="00DF6B08" w:rsidRDefault="00177EDF" w:rsidP="009B383D">
            <w:pPr>
              <w:numPr>
                <w:ilvl w:val="0"/>
                <w:numId w:val="7"/>
              </w:numPr>
              <w:ind w:left="432" w:right="720"/>
              <w:jc w:val="both"/>
              <w:rPr>
                <w:rFonts w:eastAsia="Calibri"/>
                <w:sz w:val="18"/>
                <w:lang w:val="en-US"/>
              </w:rPr>
            </w:pPr>
            <w:r>
              <w:rPr>
                <w:rFonts w:eastAsia="Calibri"/>
                <w:sz w:val="18"/>
              </w:rPr>
              <w:t>Literacy rate among 15–24 year-</w:t>
            </w:r>
            <w:r w:rsidRPr="00DF6B08">
              <w:rPr>
                <w:rFonts w:eastAsia="Calibri"/>
                <w:sz w:val="18"/>
              </w:rPr>
              <w:t>old females</w:t>
            </w:r>
          </w:p>
        </w:tc>
        <w:tc>
          <w:tcPr>
            <w:tcW w:w="1890" w:type="dxa"/>
            <w:shd w:val="clear" w:color="auto" w:fill="auto"/>
            <w:vAlign w:val="center"/>
          </w:tcPr>
          <w:p w:rsidR="00177EDF" w:rsidRPr="00DF6B08" w:rsidRDefault="00177EDF" w:rsidP="009B383D">
            <w:pPr>
              <w:ind w:left="16"/>
              <w:jc w:val="both"/>
              <w:rPr>
                <w:rFonts w:eastAsia="Calibri"/>
                <w:sz w:val="18"/>
                <w:lang w:val="en-US"/>
              </w:rPr>
            </w:pPr>
            <w:r w:rsidRPr="00DF6B08">
              <w:rPr>
                <w:rFonts w:eastAsia="Calibri"/>
                <w:sz w:val="18"/>
                <w:u w:val="single"/>
              </w:rPr>
              <w:t>&gt;</w:t>
            </w:r>
            <w:r w:rsidRPr="00DF6B08">
              <w:rPr>
                <w:rFonts w:eastAsia="Calibri"/>
                <w:sz w:val="18"/>
              </w:rPr>
              <w:t xml:space="preserve"> 80%</w:t>
            </w:r>
          </w:p>
        </w:tc>
      </w:tr>
      <w:tr w:rsidR="00177EDF" w:rsidRPr="00DF6B08" w:rsidTr="009B383D">
        <w:tc>
          <w:tcPr>
            <w:tcW w:w="5490" w:type="dxa"/>
            <w:shd w:val="clear" w:color="auto" w:fill="auto"/>
            <w:vAlign w:val="center"/>
          </w:tcPr>
          <w:p w:rsidR="00177EDF" w:rsidRPr="00DF6B08" w:rsidRDefault="00177EDF" w:rsidP="009B383D">
            <w:pPr>
              <w:numPr>
                <w:ilvl w:val="0"/>
                <w:numId w:val="7"/>
              </w:numPr>
              <w:ind w:left="432" w:right="720"/>
              <w:jc w:val="both"/>
              <w:rPr>
                <w:rFonts w:eastAsia="Calibri"/>
                <w:sz w:val="18"/>
              </w:rPr>
            </w:pPr>
            <w:r w:rsidRPr="00DF6B08">
              <w:rPr>
                <w:rFonts w:eastAsia="Calibri"/>
                <w:sz w:val="18"/>
              </w:rPr>
              <w:t>Proportion of population aged 10-24 years</w:t>
            </w:r>
          </w:p>
        </w:tc>
        <w:tc>
          <w:tcPr>
            <w:tcW w:w="1890" w:type="dxa"/>
            <w:shd w:val="clear" w:color="auto" w:fill="auto"/>
            <w:vAlign w:val="center"/>
          </w:tcPr>
          <w:p w:rsidR="00177EDF" w:rsidRPr="00DF6B08" w:rsidRDefault="00177EDF" w:rsidP="009B383D">
            <w:pPr>
              <w:ind w:left="16"/>
              <w:jc w:val="both"/>
              <w:rPr>
                <w:rFonts w:eastAsia="Calibri"/>
                <w:sz w:val="18"/>
                <w:lang w:val="en-US"/>
              </w:rPr>
            </w:pPr>
            <w:r w:rsidRPr="00DF6B08">
              <w:rPr>
                <w:rFonts w:eastAsia="Calibri"/>
                <w:sz w:val="18"/>
                <w:u w:val="single"/>
              </w:rPr>
              <w:t>&lt;</w:t>
            </w:r>
            <w:r w:rsidRPr="00DF6B08">
              <w:rPr>
                <w:rFonts w:eastAsia="Calibri"/>
                <w:sz w:val="18"/>
              </w:rPr>
              <w:t xml:space="preserve"> 33%</w:t>
            </w:r>
          </w:p>
        </w:tc>
      </w:tr>
    </w:tbl>
    <w:p w:rsidR="00177EDF" w:rsidRPr="00F84D3B" w:rsidRDefault="00177EDF" w:rsidP="00177EDF">
      <w:pPr>
        <w:ind w:left="1080" w:right="720"/>
        <w:jc w:val="both"/>
        <w:rPr>
          <w:lang w:val="en-US"/>
        </w:rPr>
      </w:pPr>
    </w:p>
    <w:p w:rsidR="00177EDF" w:rsidRDefault="00177EDF" w:rsidP="00177EDF">
      <w:pPr>
        <w:numPr>
          <w:ilvl w:val="0"/>
          <w:numId w:val="2"/>
        </w:numPr>
        <w:ind w:left="1080" w:right="720" w:firstLine="0"/>
        <w:jc w:val="both"/>
        <w:rPr>
          <w:lang w:val="en-US"/>
        </w:rPr>
      </w:pPr>
      <w:r w:rsidRPr="00F84D3B">
        <w:rPr>
          <w:lang w:val="en-US"/>
        </w:rPr>
        <w:t>The status of each programme country is assessed using these indicators, and then countries are categorized into three groups, as shown in Table 2, which also includes the distribution of countries, people, and regular resources by group.</w:t>
      </w:r>
    </w:p>
    <w:p w:rsidR="00DA690A" w:rsidRPr="00F84D3B" w:rsidRDefault="00DA690A" w:rsidP="00DA690A">
      <w:pPr>
        <w:ind w:left="1080" w:right="720"/>
        <w:jc w:val="both"/>
        <w:rPr>
          <w:lang w:val="en-US"/>
        </w:rPr>
      </w:pPr>
    </w:p>
    <w:p w:rsidR="00177EDF" w:rsidRPr="00F84D3B" w:rsidRDefault="00177EDF" w:rsidP="00DA690A">
      <w:pPr>
        <w:ind w:left="1080"/>
        <w:rPr>
          <w:b/>
          <w:lang w:val="en-US"/>
        </w:rPr>
      </w:pPr>
      <w:r>
        <w:rPr>
          <w:b/>
          <w:lang w:val="en-US"/>
        </w:rPr>
        <w:t>Table 2: Resource allocation system g</w:t>
      </w:r>
      <w:r w:rsidRPr="00F84D3B">
        <w:rPr>
          <w:b/>
          <w:lang w:val="en-US"/>
        </w:rPr>
        <w:t>roups</w:t>
      </w:r>
    </w:p>
    <w:tbl>
      <w:tblPr>
        <w:tblW w:w="7380" w:type="dxa"/>
        <w:tblInd w:w="13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45"/>
        <w:gridCol w:w="1845"/>
        <w:gridCol w:w="1845"/>
        <w:gridCol w:w="1845"/>
      </w:tblGrid>
      <w:tr w:rsidR="00177EDF" w:rsidRPr="00DF6B08" w:rsidTr="009B383D">
        <w:trPr>
          <w:trHeight w:val="125"/>
        </w:trPr>
        <w:tc>
          <w:tcPr>
            <w:tcW w:w="1845" w:type="dxa"/>
            <w:shd w:val="clear" w:color="auto" w:fill="auto"/>
            <w:hideMark/>
          </w:tcPr>
          <w:p w:rsidR="00177EDF" w:rsidRPr="00DF6B08" w:rsidRDefault="00177EDF" w:rsidP="009B383D">
            <w:pPr>
              <w:rPr>
                <w:rFonts w:eastAsia="Calibri"/>
                <w:b/>
                <w:sz w:val="18"/>
                <w:lang w:val="en-US"/>
              </w:rPr>
            </w:pPr>
          </w:p>
        </w:tc>
        <w:tc>
          <w:tcPr>
            <w:tcW w:w="1845" w:type="dxa"/>
            <w:shd w:val="clear" w:color="auto" w:fill="auto"/>
            <w:hideMark/>
          </w:tcPr>
          <w:p w:rsidR="00177EDF" w:rsidRPr="00DF6B08" w:rsidRDefault="00177EDF" w:rsidP="009B383D">
            <w:pPr>
              <w:ind w:left="13"/>
              <w:rPr>
                <w:rFonts w:eastAsia="Calibri"/>
                <w:b/>
                <w:sz w:val="18"/>
                <w:lang w:val="en-US"/>
              </w:rPr>
            </w:pPr>
            <w:r w:rsidRPr="00DF6B08">
              <w:rPr>
                <w:rFonts w:eastAsia="Calibri"/>
                <w:b/>
                <w:bCs/>
                <w:sz w:val="18"/>
                <w:lang w:val="en-US"/>
              </w:rPr>
              <w:t>Group A</w:t>
            </w:r>
          </w:p>
        </w:tc>
        <w:tc>
          <w:tcPr>
            <w:tcW w:w="1845" w:type="dxa"/>
            <w:shd w:val="clear" w:color="auto" w:fill="auto"/>
            <w:hideMark/>
          </w:tcPr>
          <w:p w:rsidR="00177EDF" w:rsidRPr="00DF6B08" w:rsidRDefault="00177EDF" w:rsidP="009B383D">
            <w:pPr>
              <w:ind w:left="-20"/>
              <w:rPr>
                <w:rFonts w:eastAsia="Calibri"/>
                <w:b/>
                <w:sz w:val="18"/>
                <w:lang w:val="en-US"/>
              </w:rPr>
            </w:pPr>
            <w:r w:rsidRPr="00DF6B08">
              <w:rPr>
                <w:rFonts w:eastAsia="Calibri"/>
                <w:b/>
                <w:bCs/>
                <w:sz w:val="18"/>
                <w:lang w:val="en-US"/>
              </w:rPr>
              <w:t>Group B</w:t>
            </w:r>
          </w:p>
        </w:tc>
        <w:tc>
          <w:tcPr>
            <w:tcW w:w="1845" w:type="dxa"/>
            <w:shd w:val="clear" w:color="auto" w:fill="auto"/>
            <w:hideMark/>
          </w:tcPr>
          <w:p w:rsidR="00177EDF" w:rsidRPr="00DF6B08" w:rsidRDefault="00177EDF" w:rsidP="009B383D">
            <w:pPr>
              <w:ind w:left="5"/>
              <w:rPr>
                <w:rFonts w:eastAsia="Calibri"/>
                <w:b/>
                <w:sz w:val="18"/>
                <w:lang w:val="en-US"/>
              </w:rPr>
            </w:pPr>
            <w:r w:rsidRPr="00DF6B08">
              <w:rPr>
                <w:rFonts w:eastAsia="Calibri"/>
                <w:b/>
                <w:bCs/>
                <w:sz w:val="18"/>
                <w:lang w:val="en-US"/>
              </w:rPr>
              <w:t>Group C</w:t>
            </w:r>
          </w:p>
        </w:tc>
      </w:tr>
      <w:tr w:rsidR="00177EDF" w:rsidRPr="00DF6B08" w:rsidTr="009B383D">
        <w:trPr>
          <w:trHeight w:val="332"/>
        </w:trPr>
        <w:tc>
          <w:tcPr>
            <w:tcW w:w="1845" w:type="dxa"/>
            <w:shd w:val="clear" w:color="auto" w:fill="auto"/>
            <w:hideMark/>
          </w:tcPr>
          <w:p w:rsidR="00177EDF" w:rsidRPr="00DF6B08" w:rsidRDefault="00177EDF" w:rsidP="009B383D">
            <w:pPr>
              <w:rPr>
                <w:rFonts w:eastAsia="Calibri"/>
                <w:b/>
                <w:sz w:val="18"/>
                <w:lang w:val="en-US"/>
              </w:rPr>
            </w:pPr>
            <w:r w:rsidRPr="00DF6B08">
              <w:rPr>
                <w:rFonts w:eastAsia="Calibri"/>
                <w:b/>
                <w:bCs/>
                <w:sz w:val="18"/>
                <w:lang w:val="en-US"/>
              </w:rPr>
              <w:t>Criteria</w:t>
            </w:r>
          </w:p>
        </w:tc>
        <w:tc>
          <w:tcPr>
            <w:tcW w:w="1845" w:type="dxa"/>
            <w:shd w:val="clear" w:color="auto" w:fill="auto"/>
            <w:hideMark/>
          </w:tcPr>
          <w:p w:rsidR="00177EDF" w:rsidRPr="00DF6B08" w:rsidRDefault="00177EDF" w:rsidP="009B383D">
            <w:pPr>
              <w:numPr>
                <w:ilvl w:val="0"/>
                <w:numId w:val="8"/>
              </w:numPr>
              <w:ind w:left="207" w:hanging="180"/>
              <w:rPr>
                <w:rFonts w:eastAsia="Calibri"/>
                <w:sz w:val="18"/>
                <w:lang w:val="en-US"/>
              </w:rPr>
            </w:pPr>
            <w:r w:rsidRPr="00DF6B08">
              <w:rPr>
                <w:rFonts w:eastAsia="Calibri"/>
                <w:sz w:val="18"/>
                <w:lang w:val="en-US"/>
              </w:rPr>
              <w:t xml:space="preserve">Meet up to </w:t>
            </w:r>
            <w:r w:rsidRPr="00DF6B08">
              <w:rPr>
                <w:rFonts w:eastAsia="Calibri"/>
                <w:bCs/>
                <w:sz w:val="18"/>
                <w:lang w:val="en-US"/>
              </w:rPr>
              <w:t>4</w:t>
            </w:r>
            <w:r w:rsidRPr="00DF6B08">
              <w:rPr>
                <w:rFonts w:eastAsia="Calibri"/>
                <w:sz w:val="18"/>
                <w:lang w:val="en-US"/>
              </w:rPr>
              <w:t xml:space="preserve"> thresholds</w:t>
            </w:r>
          </w:p>
          <w:p w:rsidR="00177EDF" w:rsidRPr="00DF6B08" w:rsidRDefault="00177EDF" w:rsidP="009B383D">
            <w:pPr>
              <w:numPr>
                <w:ilvl w:val="0"/>
                <w:numId w:val="8"/>
              </w:numPr>
              <w:ind w:left="207" w:hanging="180"/>
              <w:rPr>
                <w:rFonts w:eastAsia="Calibri"/>
                <w:sz w:val="18"/>
                <w:lang w:val="en-US"/>
              </w:rPr>
            </w:pPr>
            <w:r w:rsidRPr="00DF6B08">
              <w:rPr>
                <w:rFonts w:eastAsia="Calibri"/>
                <w:sz w:val="18"/>
                <w:lang w:val="en-US"/>
              </w:rPr>
              <w:t xml:space="preserve">All </w:t>
            </w:r>
            <w:r>
              <w:rPr>
                <w:rFonts w:eastAsia="Calibri"/>
                <w:bCs/>
                <w:sz w:val="18"/>
                <w:lang w:val="en-US"/>
              </w:rPr>
              <w:t>least developed countries</w:t>
            </w:r>
          </w:p>
        </w:tc>
        <w:tc>
          <w:tcPr>
            <w:tcW w:w="1845" w:type="dxa"/>
            <w:shd w:val="clear" w:color="auto" w:fill="auto"/>
            <w:hideMark/>
          </w:tcPr>
          <w:p w:rsidR="00177EDF" w:rsidRPr="00DF6B08" w:rsidRDefault="00177EDF" w:rsidP="009B383D">
            <w:pPr>
              <w:ind w:left="-20"/>
              <w:rPr>
                <w:rFonts w:eastAsia="Calibri"/>
                <w:sz w:val="18"/>
                <w:lang w:val="en-US"/>
              </w:rPr>
            </w:pPr>
            <w:r w:rsidRPr="00DF6B08">
              <w:rPr>
                <w:rFonts w:eastAsia="Calibri"/>
                <w:sz w:val="18"/>
                <w:lang w:val="en-US"/>
              </w:rPr>
              <w:t xml:space="preserve">Meet </w:t>
            </w:r>
            <w:r w:rsidRPr="00DF6B08">
              <w:rPr>
                <w:rFonts w:eastAsia="Calibri"/>
                <w:bCs/>
                <w:sz w:val="18"/>
                <w:lang w:val="en-US"/>
              </w:rPr>
              <w:t xml:space="preserve">5-7 </w:t>
            </w:r>
            <w:r w:rsidRPr="00DF6B08">
              <w:rPr>
                <w:rFonts w:eastAsia="Calibri"/>
                <w:sz w:val="18"/>
                <w:lang w:val="en-US"/>
              </w:rPr>
              <w:t>thresholds</w:t>
            </w:r>
          </w:p>
        </w:tc>
        <w:tc>
          <w:tcPr>
            <w:tcW w:w="1845" w:type="dxa"/>
            <w:shd w:val="clear" w:color="auto" w:fill="auto"/>
            <w:hideMark/>
          </w:tcPr>
          <w:p w:rsidR="00177EDF" w:rsidRPr="00DF6B08" w:rsidRDefault="00177EDF" w:rsidP="009B383D">
            <w:pPr>
              <w:ind w:left="5"/>
              <w:rPr>
                <w:rFonts w:eastAsia="Calibri"/>
                <w:sz w:val="18"/>
                <w:lang w:val="en-US"/>
              </w:rPr>
            </w:pPr>
            <w:r w:rsidRPr="00DF6B08">
              <w:rPr>
                <w:rFonts w:eastAsia="Calibri"/>
                <w:sz w:val="18"/>
                <w:lang w:val="en-US"/>
              </w:rPr>
              <w:t xml:space="preserve">Meet all </w:t>
            </w:r>
            <w:r w:rsidRPr="00DF6B08">
              <w:rPr>
                <w:rFonts w:eastAsia="Calibri"/>
                <w:bCs/>
                <w:sz w:val="18"/>
                <w:lang w:val="en-US"/>
              </w:rPr>
              <w:t>8</w:t>
            </w:r>
            <w:r w:rsidRPr="00DF6B08">
              <w:rPr>
                <w:rFonts w:eastAsia="Calibri"/>
                <w:sz w:val="18"/>
                <w:lang w:val="en-US"/>
              </w:rPr>
              <w:t xml:space="preserve"> thresholds</w:t>
            </w:r>
          </w:p>
        </w:tc>
      </w:tr>
      <w:tr w:rsidR="00177EDF" w:rsidRPr="00DF6B08" w:rsidTr="009B383D">
        <w:trPr>
          <w:trHeight w:val="107"/>
        </w:trPr>
        <w:tc>
          <w:tcPr>
            <w:tcW w:w="1845" w:type="dxa"/>
            <w:shd w:val="clear" w:color="auto" w:fill="auto"/>
            <w:hideMark/>
          </w:tcPr>
          <w:p w:rsidR="00177EDF" w:rsidRPr="00DF6B08" w:rsidRDefault="00177EDF" w:rsidP="009B383D">
            <w:pPr>
              <w:rPr>
                <w:rFonts w:eastAsia="Calibri"/>
                <w:b/>
                <w:sz w:val="18"/>
                <w:lang w:val="en-US"/>
              </w:rPr>
            </w:pPr>
            <w:r w:rsidRPr="00DF6B08">
              <w:rPr>
                <w:rFonts w:eastAsia="Calibri"/>
                <w:b/>
                <w:bCs/>
                <w:sz w:val="18"/>
                <w:lang w:val="en-US"/>
              </w:rPr>
              <w:t>Number of countries</w:t>
            </w:r>
          </w:p>
        </w:tc>
        <w:tc>
          <w:tcPr>
            <w:tcW w:w="1845" w:type="dxa"/>
            <w:shd w:val="clear" w:color="auto" w:fill="auto"/>
            <w:hideMark/>
          </w:tcPr>
          <w:p w:rsidR="00177EDF" w:rsidRPr="00DF6B08" w:rsidRDefault="00177EDF" w:rsidP="009B383D">
            <w:pPr>
              <w:ind w:left="13"/>
              <w:rPr>
                <w:rFonts w:eastAsia="Calibri"/>
                <w:sz w:val="18"/>
                <w:lang w:val="en-US"/>
              </w:rPr>
            </w:pPr>
            <w:r w:rsidRPr="00DF6B08">
              <w:rPr>
                <w:rFonts w:eastAsia="Calibri"/>
                <w:sz w:val="18"/>
                <w:lang w:val="en-US"/>
              </w:rPr>
              <w:t>66</w:t>
            </w:r>
          </w:p>
        </w:tc>
        <w:tc>
          <w:tcPr>
            <w:tcW w:w="1845" w:type="dxa"/>
            <w:shd w:val="clear" w:color="auto" w:fill="auto"/>
            <w:hideMark/>
          </w:tcPr>
          <w:p w:rsidR="00177EDF" w:rsidRPr="00DF6B08" w:rsidRDefault="00177EDF" w:rsidP="009B383D">
            <w:pPr>
              <w:ind w:left="-20"/>
              <w:rPr>
                <w:rFonts w:eastAsia="Calibri"/>
                <w:sz w:val="18"/>
                <w:lang w:val="en-US"/>
              </w:rPr>
            </w:pPr>
            <w:r w:rsidRPr="00DF6B08">
              <w:rPr>
                <w:rFonts w:eastAsia="Calibri"/>
                <w:sz w:val="18"/>
                <w:lang w:val="en-US"/>
              </w:rPr>
              <w:t>41</w:t>
            </w:r>
          </w:p>
        </w:tc>
        <w:tc>
          <w:tcPr>
            <w:tcW w:w="1845" w:type="dxa"/>
            <w:shd w:val="clear" w:color="auto" w:fill="auto"/>
            <w:hideMark/>
          </w:tcPr>
          <w:p w:rsidR="00177EDF" w:rsidRPr="00DF6B08" w:rsidRDefault="00177EDF" w:rsidP="009B383D">
            <w:pPr>
              <w:ind w:left="5"/>
              <w:rPr>
                <w:rFonts w:eastAsia="Calibri"/>
                <w:sz w:val="18"/>
                <w:lang w:val="en-US"/>
              </w:rPr>
            </w:pPr>
            <w:r w:rsidRPr="00DF6B08">
              <w:rPr>
                <w:rFonts w:eastAsia="Calibri"/>
                <w:sz w:val="18"/>
                <w:lang w:val="en-US"/>
              </w:rPr>
              <w:t>26</w:t>
            </w:r>
          </w:p>
        </w:tc>
      </w:tr>
      <w:tr w:rsidR="00177EDF" w:rsidRPr="00DF6B08" w:rsidTr="009B383D">
        <w:trPr>
          <w:trHeight w:val="170"/>
        </w:trPr>
        <w:tc>
          <w:tcPr>
            <w:tcW w:w="1845" w:type="dxa"/>
            <w:shd w:val="clear" w:color="auto" w:fill="auto"/>
            <w:hideMark/>
          </w:tcPr>
          <w:p w:rsidR="00177EDF" w:rsidRPr="00DF6B08" w:rsidRDefault="00177EDF" w:rsidP="009B383D">
            <w:pPr>
              <w:rPr>
                <w:rFonts w:eastAsia="Calibri"/>
                <w:b/>
                <w:sz w:val="18"/>
                <w:lang w:val="en-US"/>
              </w:rPr>
            </w:pPr>
            <w:r w:rsidRPr="00DF6B08">
              <w:rPr>
                <w:rFonts w:eastAsia="Calibri"/>
                <w:b/>
                <w:bCs/>
                <w:sz w:val="18"/>
                <w:lang w:val="en-US"/>
              </w:rPr>
              <w:t>Share of population</w:t>
            </w:r>
          </w:p>
        </w:tc>
        <w:tc>
          <w:tcPr>
            <w:tcW w:w="1845" w:type="dxa"/>
            <w:shd w:val="clear" w:color="auto" w:fill="auto"/>
            <w:hideMark/>
          </w:tcPr>
          <w:p w:rsidR="00177EDF" w:rsidRPr="00DF6B08" w:rsidRDefault="00177EDF" w:rsidP="009B383D">
            <w:pPr>
              <w:ind w:left="13"/>
              <w:rPr>
                <w:rFonts w:eastAsia="Calibri"/>
                <w:sz w:val="18"/>
                <w:lang w:val="en-US"/>
              </w:rPr>
            </w:pPr>
            <w:r w:rsidRPr="00DF6B08">
              <w:rPr>
                <w:rFonts w:eastAsia="Calibri"/>
                <w:sz w:val="18"/>
                <w:lang w:val="en-US"/>
              </w:rPr>
              <w:t>43%</w:t>
            </w:r>
          </w:p>
        </w:tc>
        <w:tc>
          <w:tcPr>
            <w:tcW w:w="1845" w:type="dxa"/>
            <w:shd w:val="clear" w:color="auto" w:fill="auto"/>
            <w:hideMark/>
          </w:tcPr>
          <w:p w:rsidR="00177EDF" w:rsidRPr="00DF6B08" w:rsidRDefault="00177EDF" w:rsidP="009B383D">
            <w:pPr>
              <w:ind w:left="-20"/>
              <w:rPr>
                <w:rFonts w:eastAsia="Calibri"/>
                <w:sz w:val="18"/>
                <w:lang w:val="en-US"/>
              </w:rPr>
            </w:pPr>
            <w:r w:rsidRPr="00DF6B08">
              <w:rPr>
                <w:rFonts w:eastAsia="Calibri"/>
                <w:sz w:val="18"/>
                <w:lang w:val="en-US"/>
              </w:rPr>
              <w:t>21%</w:t>
            </w:r>
          </w:p>
        </w:tc>
        <w:tc>
          <w:tcPr>
            <w:tcW w:w="1845" w:type="dxa"/>
            <w:shd w:val="clear" w:color="auto" w:fill="auto"/>
            <w:hideMark/>
          </w:tcPr>
          <w:p w:rsidR="00177EDF" w:rsidRPr="00DF6B08" w:rsidRDefault="00177EDF" w:rsidP="009B383D">
            <w:pPr>
              <w:ind w:left="5"/>
              <w:rPr>
                <w:rFonts w:eastAsia="Calibri"/>
                <w:sz w:val="18"/>
                <w:lang w:val="en-US"/>
              </w:rPr>
            </w:pPr>
            <w:r w:rsidRPr="00DF6B08">
              <w:rPr>
                <w:rFonts w:eastAsia="Calibri"/>
                <w:sz w:val="18"/>
                <w:lang w:val="en-US"/>
              </w:rPr>
              <w:t>35%</w:t>
            </w:r>
          </w:p>
        </w:tc>
      </w:tr>
      <w:tr w:rsidR="00177EDF" w:rsidRPr="00DF6B08" w:rsidTr="009B383D">
        <w:trPr>
          <w:trHeight w:val="287"/>
        </w:trPr>
        <w:tc>
          <w:tcPr>
            <w:tcW w:w="1845" w:type="dxa"/>
            <w:shd w:val="clear" w:color="auto" w:fill="auto"/>
            <w:hideMark/>
          </w:tcPr>
          <w:p w:rsidR="00177EDF" w:rsidRPr="00DF6B08" w:rsidRDefault="00177EDF" w:rsidP="009B383D">
            <w:pPr>
              <w:rPr>
                <w:rFonts w:eastAsia="Calibri"/>
                <w:b/>
                <w:sz w:val="18"/>
                <w:lang w:val="en-US"/>
              </w:rPr>
            </w:pPr>
            <w:r w:rsidRPr="00DF6B08">
              <w:rPr>
                <w:rFonts w:eastAsia="Calibri"/>
                <w:b/>
                <w:bCs/>
                <w:sz w:val="18"/>
                <w:lang w:val="en-US"/>
              </w:rPr>
              <w:t>Share of regular resources</w:t>
            </w:r>
          </w:p>
        </w:tc>
        <w:tc>
          <w:tcPr>
            <w:tcW w:w="1845" w:type="dxa"/>
            <w:shd w:val="clear" w:color="auto" w:fill="auto"/>
            <w:hideMark/>
          </w:tcPr>
          <w:p w:rsidR="00177EDF" w:rsidRPr="00DF6B08" w:rsidRDefault="00177EDF" w:rsidP="009B383D">
            <w:pPr>
              <w:ind w:left="13"/>
              <w:rPr>
                <w:rFonts w:eastAsia="Calibri"/>
                <w:sz w:val="18"/>
                <w:lang w:val="en-US"/>
              </w:rPr>
            </w:pPr>
            <w:r w:rsidRPr="00DF6B08">
              <w:rPr>
                <w:rFonts w:eastAsia="Calibri"/>
                <w:sz w:val="18"/>
                <w:lang w:val="en-US"/>
              </w:rPr>
              <w:t>71 – 73%</w:t>
            </w:r>
          </w:p>
        </w:tc>
        <w:tc>
          <w:tcPr>
            <w:tcW w:w="1845" w:type="dxa"/>
            <w:shd w:val="clear" w:color="auto" w:fill="auto"/>
            <w:hideMark/>
          </w:tcPr>
          <w:p w:rsidR="00177EDF" w:rsidRPr="00DF6B08" w:rsidRDefault="00177EDF" w:rsidP="009B383D">
            <w:pPr>
              <w:ind w:left="-20"/>
              <w:rPr>
                <w:rFonts w:eastAsia="Calibri"/>
                <w:sz w:val="18"/>
                <w:lang w:val="en-US"/>
              </w:rPr>
            </w:pPr>
            <w:r w:rsidRPr="00DF6B08">
              <w:rPr>
                <w:rFonts w:eastAsia="Calibri"/>
                <w:sz w:val="18"/>
                <w:lang w:val="en-US"/>
              </w:rPr>
              <w:t>21 – 22%</w:t>
            </w:r>
          </w:p>
        </w:tc>
        <w:tc>
          <w:tcPr>
            <w:tcW w:w="1845" w:type="dxa"/>
            <w:shd w:val="clear" w:color="auto" w:fill="auto"/>
            <w:hideMark/>
          </w:tcPr>
          <w:p w:rsidR="00177EDF" w:rsidRPr="00DF6B08" w:rsidRDefault="00177EDF" w:rsidP="009B383D">
            <w:pPr>
              <w:ind w:left="5"/>
              <w:rPr>
                <w:rFonts w:eastAsia="Calibri"/>
                <w:sz w:val="18"/>
                <w:lang w:val="en-US"/>
              </w:rPr>
            </w:pPr>
            <w:r w:rsidRPr="00DF6B08">
              <w:rPr>
                <w:rFonts w:eastAsia="Calibri"/>
                <w:sz w:val="18"/>
                <w:lang w:val="en-US"/>
              </w:rPr>
              <w:t>6 – 7%</w:t>
            </w:r>
          </w:p>
        </w:tc>
      </w:tr>
    </w:tbl>
    <w:p w:rsidR="00177EDF" w:rsidRPr="00F84D3B" w:rsidRDefault="00177EDF" w:rsidP="00177EDF">
      <w:pPr>
        <w:ind w:left="1080" w:right="720"/>
        <w:jc w:val="both"/>
        <w:rPr>
          <w:lang w:val="en-US"/>
        </w:rPr>
      </w:pPr>
    </w:p>
    <w:p w:rsidR="00177EDF" w:rsidRPr="00F84D3B" w:rsidRDefault="00177EDF" w:rsidP="00177EDF">
      <w:pPr>
        <w:numPr>
          <w:ilvl w:val="0"/>
          <w:numId w:val="2"/>
        </w:numPr>
        <w:ind w:left="1080" w:right="720" w:firstLine="0"/>
        <w:jc w:val="both"/>
        <w:rPr>
          <w:lang w:val="en-US"/>
        </w:rPr>
      </w:pPr>
      <w:r w:rsidRPr="00F84D3B">
        <w:rPr>
          <w:lang w:val="en-US"/>
        </w:rPr>
        <w:t>It is important to note that the categorization system is binary (i.e., thresholds either are met or are not met) and that each indicator has the same weight.  The RAS cycle and indic</w:t>
      </w:r>
      <w:r>
        <w:rPr>
          <w:lang w:val="en-US"/>
        </w:rPr>
        <w:t>ators were harmonized with the strategic plan, with the use of the s</w:t>
      </w:r>
      <w:r w:rsidRPr="00F84D3B">
        <w:rPr>
          <w:lang w:val="en-US"/>
        </w:rPr>
        <w:t>yste</w:t>
      </w:r>
      <w:r>
        <w:rPr>
          <w:lang w:val="en-US"/>
        </w:rPr>
        <w:t>m prolonged when the 2008-2011 strategic p</w:t>
      </w:r>
      <w:r w:rsidRPr="00F84D3B">
        <w:rPr>
          <w:lang w:val="en-US"/>
        </w:rPr>
        <w:t>lan was extended to 2013.</w:t>
      </w:r>
    </w:p>
    <w:p w:rsidR="00177EDF" w:rsidRPr="00F84D3B" w:rsidRDefault="00177EDF" w:rsidP="00177EDF">
      <w:pPr>
        <w:ind w:left="1080" w:right="720"/>
        <w:jc w:val="both"/>
        <w:rPr>
          <w:lang w:val="en-US"/>
        </w:rPr>
      </w:pPr>
    </w:p>
    <w:p w:rsidR="00177EDF" w:rsidRPr="00F84D3B" w:rsidRDefault="00177EDF" w:rsidP="00177EDF">
      <w:pPr>
        <w:numPr>
          <w:ilvl w:val="0"/>
          <w:numId w:val="2"/>
        </w:numPr>
        <w:ind w:left="1080" w:right="720" w:firstLine="0"/>
        <w:jc w:val="both"/>
        <w:rPr>
          <w:lang w:val="en-US"/>
        </w:rPr>
      </w:pPr>
      <w:r w:rsidRPr="00F84D3B">
        <w:rPr>
          <w:lang w:val="en-US"/>
        </w:rPr>
        <w:t>The specific allocations for each country are not made through the RAS itself.  Rather, the Exe</w:t>
      </w:r>
      <w:r>
        <w:rPr>
          <w:lang w:val="en-US"/>
        </w:rPr>
        <w:t>cutive Board has recognized in d</w:t>
      </w:r>
      <w:r w:rsidRPr="00F84D3B">
        <w:rPr>
          <w:lang w:val="en-US"/>
        </w:rPr>
        <w:t xml:space="preserve">ecision 2007/42 that “the distribution of resources to individual countries… be made in a flexible manner”.  </w:t>
      </w:r>
      <w:r>
        <w:rPr>
          <w:lang w:val="en-US"/>
        </w:rPr>
        <w:t>The RAS is complemented by a resource distribution s</w:t>
      </w:r>
      <w:r w:rsidRPr="00F84D3B">
        <w:rPr>
          <w:lang w:val="en-US"/>
        </w:rPr>
        <w:t xml:space="preserve">ystem (RDS) that provides guidance in a flexible manner on the annual planning figures for countries.  </w:t>
      </w:r>
      <w:r>
        <w:rPr>
          <w:lang w:val="en-US"/>
        </w:rPr>
        <w:t xml:space="preserve">However, </w:t>
      </w:r>
      <w:r w:rsidRPr="00F84D3B">
        <w:rPr>
          <w:lang w:val="en-US"/>
        </w:rPr>
        <w:t xml:space="preserve">while overall allocations are made in compliance </w:t>
      </w:r>
      <w:r w:rsidRPr="00F84D3B">
        <w:rPr>
          <w:lang w:val="en-US"/>
        </w:rPr>
        <w:lastRenderedPageBreak/>
        <w:t>with the parameters described above, individual country</w:t>
      </w:r>
      <w:r>
        <w:rPr>
          <w:lang w:val="en-US"/>
        </w:rPr>
        <w:t xml:space="preserve"> allocations are made based on country programme d</w:t>
      </w:r>
      <w:r w:rsidRPr="00F84D3B">
        <w:rPr>
          <w:lang w:val="en-US"/>
        </w:rPr>
        <w:t>ocuments that are reviewed separately by the Executive Board.</w:t>
      </w:r>
    </w:p>
    <w:p w:rsidR="00177EDF" w:rsidRDefault="00177EDF" w:rsidP="00177EDF">
      <w:pPr>
        <w:ind w:left="1080" w:right="720"/>
        <w:jc w:val="both"/>
        <w:rPr>
          <w:lang w:val="en-US"/>
        </w:rPr>
      </w:pPr>
    </w:p>
    <w:p w:rsidR="00177EDF" w:rsidRPr="00445095" w:rsidRDefault="00177EDF" w:rsidP="00177EDF">
      <w:pPr>
        <w:pStyle w:val="Heading2"/>
        <w:ind w:left="1080" w:hanging="605"/>
      </w:pPr>
      <w:bookmarkStart w:id="11" w:name="_Toc367187926"/>
      <w:r>
        <w:rPr>
          <w:lang w:val="en-US"/>
        </w:rPr>
        <w:t>Key challenges</w:t>
      </w:r>
      <w:bookmarkEnd w:id="11"/>
    </w:p>
    <w:p w:rsidR="00177EDF" w:rsidRPr="00F84D3B" w:rsidRDefault="00177EDF" w:rsidP="00177EDF">
      <w:pPr>
        <w:ind w:left="1080" w:right="720"/>
        <w:jc w:val="both"/>
        <w:rPr>
          <w:lang w:val="en-US"/>
        </w:rPr>
      </w:pPr>
    </w:p>
    <w:p w:rsidR="00177EDF" w:rsidRPr="00F84D3B" w:rsidRDefault="00177EDF" w:rsidP="00177EDF">
      <w:pPr>
        <w:numPr>
          <w:ilvl w:val="0"/>
          <w:numId w:val="2"/>
        </w:numPr>
        <w:ind w:left="1080" w:right="720" w:firstLine="0"/>
        <w:jc w:val="both"/>
        <w:rPr>
          <w:lang w:val="en-US"/>
        </w:rPr>
      </w:pPr>
      <w:r w:rsidRPr="00F84D3B">
        <w:rPr>
          <w:lang w:val="en-US"/>
        </w:rPr>
        <w:t>There are a number of key challenges associated with the RAS:</w:t>
      </w:r>
    </w:p>
    <w:p w:rsidR="00177EDF" w:rsidRPr="00F84D3B" w:rsidRDefault="00177EDF" w:rsidP="00177EDF">
      <w:pPr>
        <w:numPr>
          <w:ilvl w:val="0"/>
          <w:numId w:val="9"/>
        </w:numPr>
        <w:ind w:right="720"/>
        <w:jc w:val="both"/>
        <w:rPr>
          <w:lang w:val="en-US"/>
        </w:rPr>
      </w:pPr>
      <w:r w:rsidRPr="00F84D3B">
        <w:rPr>
          <w:lang w:val="en-US"/>
        </w:rPr>
        <w:t>The indicators were developed prior to the current strategi</w:t>
      </w:r>
      <w:r>
        <w:rPr>
          <w:lang w:val="en-US"/>
        </w:rPr>
        <w:t>c direction set out in the midterm review of the strategic p</w:t>
      </w:r>
      <w:r w:rsidRPr="00F84D3B">
        <w:rPr>
          <w:lang w:val="en-US"/>
        </w:rPr>
        <w:t>lan, and do not completely align with the strategic direction;</w:t>
      </w:r>
    </w:p>
    <w:p w:rsidR="00177EDF" w:rsidRPr="00F84D3B" w:rsidRDefault="00177EDF" w:rsidP="00177EDF">
      <w:pPr>
        <w:numPr>
          <w:ilvl w:val="0"/>
          <w:numId w:val="9"/>
        </w:numPr>
        <w:ind w:right="720"/>
        <w:jc w:val="both"/>
        <w:rPr>
          <w:lang w:val="en-US"/>
        </w:rPr>
      </w:pPr>
      <w:r w:rsidRPr="00F84D3B">
        <w:rPr>
          <w:lang w:val="en-US"/>
        </w:rPr>
        <w:t>The current resource allocation does not adequately focus on needs, which is particularly problematic for an organization that has a universal mandate and bases its work on human rights principles, including respect for each and every life;</w:t>
      </w:r>
    </w:p>
    <w:p w:rsidR="00177EDF" w:rsidRPr="00F84D3B" w:rsidRDefault="00177EDF" w:rsidP="00177EDF">
      <w:pPr>
        <w:numPr>
          <w:ilvl w:val="0"/>
          <w:numId w:val="9"/>
        </w:numPr>
        <w:ind w:right="720"/>
        <w:jc w:val="both"/>
        <w:rPr>
          <w:lang w:val="en-US"/>
        </w:rPr>
      </w:pPr>
      <w:r w:rsidRPr="00F84D3B">
        <w:rPr>
          <w:lang w:val="en-US"/>
        </w:rPr>
        <w:t>The allocation of resources is not aligned to the types of interventions to be delivered by UNFPA;</w:t>
      </w:r>
    </w:p>
    <w:p w:rsidR="00177EDF" w:rsidRPr="00F84D3B" w:rsidRDefault="00177EDF" w:rsidP="00177EDF">
      <w:pPr>
        <w:numPr>
          <w:ilvl w:val="0"/>
          <w:numId w:val="9"/>
        </w:numPr>
        <w:ind w:right="720"/>
        <w:jc w:val="both"/>
        <w:rPr>
          <w:lang w:val="en-US"/>
        </w:rPr>
      </w:pPr>
      <w:r w:rsidRPr="00F84D3B">
        <w:rPr>
          <w:lang w:val="en-US"/>
        </w:rPr>
        <w:t>The current system does not allocate resources in a way that optimizes impact, such as by rewarding performance;</w:t>
      </w:r>
    </w:p>
    <w:p w:rsidR="00177EDF" w:rsidRPr="00F84D3B" w:rsidRDefault="00177EDF" w:rsidP="00177EDF">
      <w:pPr>
        <w:numPr>
          <w:ilvl w:val="0"/>
          <w:numId w:val="9"/>
        </w:numPr>
        <w:ind w:right="720"/>
        <w:jc w:val="both"/>
        <w:rPr>
          <w:lang w:val="en-US"/>
        </w:rPr>
      </w:pPr>
      <w:r w:rsidRPr="00F84D3B">
        <w:rPr>
          <w:lang w:val="en-US"/>
        </w:rPr>
        <w:t>The current system is not well suited to responding to humanitarian crises;</w:t>
      </w:r>
    </w:p>
    <w:p w:rsidR="00177EDF" w:rsidRPr="00F84D3B" w:rsidRDefault="00177EDF" w:rsidP="00177EDF">
      <w:pPr>
        <w:numPr>
          <w:ilvl w:val="0"/>
          <w:numId w:val="9"/>
        </w:numPr>
        <w:ind w:right="720"/>
        <w:jc w:val="both"/>
        <w:rPr>
          <w:lang w:val="en-US"/>
        </w:rPr>
      </w:pPr>
      <w:r w:rsidRPr="00F84D3B">
        <w:rPr>
          <w:lang w:val="en-US"/>
        </w:rPr>
        <w:t>If the current system is used unchanged except for updating the data for the eight indicators, the resulting breakdown of countries and people would prove challenging to implement.</w:t>
      </w:r>
    </w:p>
    <w:p w:rsidR="00177EDF" w:rsidRPr="00F84D3B" w:rsidRDefault="00177EDF" w:rsidP="00177EDF">
      <w:pPr>
        <w:ind w:left="1080" w:right="720"/>
        <w:jc w:val="both"/>
        <w:rPr>
          <w:lang w:val="en-US"/>
        </w:rPr>
      </w:pPr>
    </w:p>
    <w:p w:rsidR="00177EDF" w:rsidRPr="00F84D3B" w:rsidRDefault="00177EDF" w:rsidP="00177EDF">
      <w:pPr>
        <w:numPr>
          <w:ilvl w:val="0"/>
          <w:numId w:val="2"/>
        </w:numPr>
        <w:ind w:left="1080" w:right="720" w:firstLine="0"/>
        <w:jc w:val="both"/>
        <w:rPr>
          <w:lang w:val="en-US"/>
        </w:rPr>
      </w:pPr>
      <w:r w:rsidRPr="00F84D3B">
        <w:rPr>
          <w:lang w:val="en-US"/>
        </w:rPr>
        <w:t>Each of these issues requires a separate discussion.</w:t>
      </w:r>
    </w:p>
    <w:p w:rsidR="00177EDF" w:rsidRPr="00F84D3B" w:rsidRDefault="00177EDF" w:rsidP="00177EDF">
      <w:pPr>
        <w:ind w:left="1080" w:right="720"/>
        <w:jc w:val="both"/>
        <w:rPr>
          <w:lang w:val="en-US"/>
        </w:rPr>
      </w:pPr>
    </w:p>
    <w:p w:rsidR="00177EDF" w:rsidRPr="00F84D3B" w:rsidRDefault="00177EDF" w:rsidP="00177EDF">
      <w:pPr>
        <w:pStyle w:val="Heading3"/>
        <w:numPr>
          <w:ilvl w:val="0"/>
          <w:numId w:val="24"/>
        </w:numPr>
        <w:ind w:left="1440"/>
      </w:pPr>
      <w:r w:rsidRPr="00F84D3B">
        <w:t xml:space="preserve">Indicators </w:t>
      </w:r>
      <w:r w:rsidRPr="0061614E">
        <w:rPr>
          <w:lang w:val="en-US"/>
        </w:rPr>
        <w:t xml:space="preserve">not fully aligned </w:t>
      </w:r>
      <w:r w:rsidRPr="00F84D3B">
        <w:t>with the current strategic direction</w:t>
      </w:r>
    </w:p>
    <w:p w:rsidR="00177EDF" w:rsidRDefault="00177EDF" w:rsidP="00177EDF">
      <w:pPr>
        <w:ind w:left="1080" w:right="720"/>
        <w:jc w:val="both"/>
        <w:rPr>
          <w:lang w:val="en-US"/>
        </w:rPr>
      </w:pPr>
    </w:p>
    <w:p w:rsidR="00177EDF" w:rsidRPr="00F84D3B" w:rsidRDefault="00177EDF" w:rsidP="00177EDF">
      <w:pPr>
        <w:numPr>
          <w:ilvl w:val="0"/>
          <w:numId w:val="2"/>
        </w:numPr>
        <w:ind w:left="1080" w:right="720" w:firstLine="0"/>
        <w:jc w:val="both"/>
        <w:rPr>
          <w:lang w:val="en-US"/>
        </w:rPr>
      </w:pPr>
      <w:r w:rsidRPr="00F84D3B">
        <w:rPr>
          <w:lang w:val="en-US"/>
        </w:rPr>
        <w:t xml:space="preserve">Given that the RAS indicators were selected prior to the </w:t>
      </w:r>
      <w:r>
        <w:rPr>
          <w:lang w:val="en-US"/>
        </w:rPr>
        <w:t>focusing on UNFPA</w:t>
      </w:r>
      <w:r w:rsidRPr="00F84D3B">
        <w:rPr>
          <w:lang w:val="en-US"/>
        </w:rPr>
        <w:t xml:space="preserve"> work brought about by the </w:t>
      </w:r>
      <w:r>
        <w:rPr>
          <w:lang w:val="en-US"/>
        </w:rPr>
        <w:t>midterm r</w:t>
      </w:r>
      <w:r w:rsidRPr="00F84D3B">
        <w:rPr>
          <w:lang w:val="en-US"/>
        </w:rPr>
        <w:t>eview</w:t>
      </w:r>
      <w:r>
        <w:rPr>
          <w:lang w:val="en-US"/>
        </w:rPr>
        <w:t xml:space="preserve"> (MTR)</w:t>
      </w:r>
      <w:r w:rsidRPr="00F84D3B">
        <w:rPr>
          <w:lang w:val="en-US"/>
        </w:rPr>
        <w:t xml:space="preserve">, it is unsurprising that there is not complete consistency between them and the strategic direction in the </w:t>
      </w:r>
      <w:r>
        <w:rPr>
          <w:lang w:val="en-US"/>
        </w:rPr>
        <w:t xml:space="preserve">MTR </w:t>
      </w:r>
      <w:r w:rsidRPr="00F84D3B">
        <w:rPr>
          <w:lang w:val="en-US"/>
        </w:rPr>
        <w:t>(comm</w:t>
      </w:r>
      <w:r>
        <w:rPr>
          <w:lang w:val="en-US"/>
        </w:rPr>
        <w:t>only referred to as the “</w:t>
      </w:r>
      <w:r w:rsidR="00015F15">
        <w:rPr>
          <w:lang w:val="en-US"/>
        </w:rPr>
        <w:t>bull’s eye</w:t>
      </w:r>
      <w:r w:rsidRPr="00F84D3B">
        <w:rPr>
          <w:lang w:val="en-US"/>
        </w:rPr>
        <w:t>”).</w:t>
      </w:r>
    </w:p>
    <w:p w:rsidR="00177EDF" w:rsidRPr="00F84D3B" w:rsidRDefault="00177EDF" w:rsidP="00177EDF">
      <w:pPr>
        <w:ind w:left="1080" w:right="720"/>
        <w:jc w:val="both"/>
        <w:rPr>
          <w:lang w:val="en-US"/>
        </w:rPr>
      </w:pPr>
    </w:p>
    <w:p w:rsidR="00177EDF" w:rsidRPr="00F84D3B" w:rsidRDefault="00177EDF" w:rsidP="00177EDF">
      <w:pPr>
        <w:numPr>
          <w:ilvl w:val="0"/>
          <w:numId w:val="2"/>
        </w:numPr>
        <w:ind w:left="1080" w:right="720" w:firstLine="0"/>
        <w:jc w:val="both"/>
        <w:rPr>
          <w:lang w:val="en-US"/>
        </w:rPr>
      </w:pPr>
      <w:r w:rsidRPr="00F84D3B">
        <w:rPr>
          <w:lang w:val="en-US"/>
        </w:rPr>
        <w:t>In particular, two indicators are less directly tied to the strategic direction: under-five mortality rate and</w:t>
      </w:r>
      <w:r>
        <w:rPr>
          <w:lang w:val="en-US"/>
        </w:rPr>
        <w:t xml:space="preserve"> literacy rate among 15-24 year-</w:t>
      </w:r>
      <w:r w:rsidRPr="00F84D3B">
        <w:rPr>
          <w:lang w:val="en-US"/>
        </w:rPr>
        <w:t>old females.  These are both important indicators globally, but UNFPA does not work directly on either of these issues, so their inclusion in the RAS is out of line with the other indicators, all of which cover areas that UNFPA focuses on programmatically.  This disconnect is particularly important because of the structure of the RAS: each indicator has the same weight, meaning that under-five mortality is accorded the same importance in the RAS as maternal mortality ratio, despite the fact that UNFPA does not work on the former while the latter is explicitly mentioned as a prio</w:t>
      </w:r>
      <w:r>
        <w:rPr>
          <w:lang w:val="en-US"/>
        </w:rPr>
        <w:t xml:space="preserve">rity in the heart of the </w:t>
      </w:r>
      <w:r w:rsidR="00015F15">
        <w:rPr>
          <w:lang w:val="en-US"/>
        </w:rPr>
        <w:t>bull’s eye</w:t>
      </w:r>
      <w:r w:rsidRPr="00F84D3B">
        <w:rPr>
          <w:lang w:val="en-US"/>
        </w:rPr>
        <w:t>.</w:t>
      </w:r>
    </w:p>
    <w:p w:rsidR="00177EDF" w:rsidRPr="00F84D3B" w:rsidRDefault="00177EDF" w:rsidP="00177EDF">
      <w:pPr>
        <w:ind w:left="1080" w:right="720"/>
        <w:jc w:val="both"/>
        <w:rPr>
          <w:lang w:val="en-US"/>
        </w:rPr>
      </w:pPr>
    </w:p>
    <w:p w:rsidR="00177EDF" w:rsidRPr="00F84D3B" w:rsidRDefault="00177EDF" w:rsidP="00177EDF">
      <w:pPr>
        <w:numPr>
          <w:ilvl w:val="0"/>
          <w:numId w:val="2"/>
        </w:numPr>
        <w:ind w:left="1080" w:right="720" w:firstLine="0"/>
        <w:jc w:val="both"/>
        <w:rPr>
          <w:lang w:val="en-US"/>
        </w:rPr>
      </w:pPr>
      <w:r w:rsidRPr="00F84D3B">
        <w:rPr>
          <w:lang w:val="en-US"/>
        </w:rPr>
        <w:t>The other indicator that is somewhat out of keeping with the rest is proportion of population aged 10-24 years.  UNFPA does focus on adolescents and youth, but this indicator is structurally different than all of the others in that there is no normative direction associated with changes in it, and UNFPA does not seek to change it in one direction or another.  By way of contrast, a high maternal mortality ratio is normatively bad and UNFPA actively works to lower it.  However, there is no normative benchmark for whether a particular percentage of the population aged 10-24 y</w:t>
      </w:r>
      <w:r>
        <w:rPr>
          <w:lang w:val="en-US"/>
        </w:rPr>
        <w:t>ears is good or bad, and UNFPA</w:t>
      </w:r>
      <w:r w:rsidRPr="00F84D3B">
        <w:rPr>
          <w:lang w:val="en-US"/>
        </w:rPr>
        <w:t xml:space="preserve"> programming is aimed at improving the lives of these adolescents and youth, rather than trying to increase or decrease their percentage of the total population.</w:t>
      </w:r>
    </w:p>
    <w:p w:rsidR="00177EDF" w:rsidRPr="00F84D3B" w:rsidRDefault="00177EDF" w:rsidP="00177EDF">
      <w:pPr>
        <w:ind w:left="1080" w:right="720"/>
        <w:jc w:val="both"/>
        <w:rPr>
          <w:lang w:val="en-US"/>
        </w:rPr>
      </w:pPr>
    </w:p>
    <w:p w:rsidR="00177EDF" w:rsidRPr="00D13353" w:rsidRDefault="00177EDF" w:rsidP="00177EDF">
      <w:pPr>
        <w:pStyle w:val="Heading3"/>
        <w:numPr>
          <w:ilvl w:val="0"/>
          <w:numId w:val="24"/>
        </w:numPr>
        <w:ind w:left="1440"/>
      </w:pPr>
      <w:r w:rsidRPr="00D13353">
        <w:t>Current resource allocation not adequately focused on needs</w:t>
      </w:r>
    </w:p>
    <w:p w:rsidR="00177EDF" w:rsidRDefault="00177EDF" w:rsidP="00177EDF">
      <w:pPr>
        <w:ind w:left="1080" w:right="720"/>
        <w:jc w:val="both"/>
        <w:rPr>
          <w:lang w:val="en-US"/>
        </w:rPr>
      </w:pPr>
    </w:p>
    <w:p w:rsidR="00177EDF" w:rsidRPr="00F84D3B" w:rsidRDefault="00177EDF" w:rsidP="00177EDF">
      <w:pPr>
        <w:numPr>
          <w:ilvl w:val="0"/>
          <w:numId w:val="2"/>
        </w:numPr>
        <w:ind w:left="1080" w:right="720" w:firstLine="0"/>
        <w:jc w:val="both"/>
        <w:rPr>
          <w:lang w:val="en-US"/>
        </w:rPr>
      </w:pPr>
      <w:r w:rsidRPr="00F84D3B">
        <w:rPr>
          <w:lang w:val="en-US"/>
        </w:rPr>
        <w:t xml:space="preserve">The RAS is explicitly a needs-based mechanism, as the primary basis for categorizing countries is indicators of need.  Despite this, resource allocations are not currently well </w:t>
      </w:r>
      <w:r w:rsidRPr="00F84D3B">
        <w:rPr>
          <w:lang w:val="en-US"/>
        </w:rPr>
        <w:lastRenderedPageBreak/>
        <w:t>aligned to need, particularly from the perspective of individual people suffering from the problems that UNFPA is working to address.</w:t>
      </w:r>
    </w:p>
    <w:p w:rsidR="00177EDF" w:rsidRPr="00F84D3B" w:rsidRDefault="00177EDF" w:rsidP="00177EDF">
      <w:pPr>
        <w:ind w:left="1080" w:right="720"/>
        <w:jc w:val="both"/>
        <w:rPr>
          <w:lang w:val="en-US"/>
        </w:rPr>
      </w:pPr>
    </w:p>
    <w:p w:rsidR="00177EDF" w:rsidRPr="00F84D3B" w:rsidRDefault="00177EDF" w:rsidP="00177EDF">
      <w:pPr>
        <w:numPr>
          <w:ilvl w:val="0"/>
          <w:numId w:val="2"/>
        </w:numPr>
        <w:ind w:left="1080" w:right="720" w:firstLine="0"/>
        <w:jc w:val="both"/>
        <w:rPr>
          <w:lang w:val="en-US"/>
        </w:rPr>
      </w:pPr>
      <w:r w:rsidRPr="00F84D3B">
        <w:rPr>
          <w:lang w:val="en-US"/>
        </w:rPr>
        <w:t>One of the key reasons for this is that the current allocation is heavily skewed toward small countries.  This can best be seen by looking at the planned per capita resource allocations, which are shown for a su</w:t>
      </w:r>
      <w:r>
        <w:rPr>
          <w:lang w:val="en-US"/>
        </w:rPr>
        <w:t>bset of programme countries in f</w:t>
      </w:r>
      <w:r w:rsidRPr="00F84D3B">
        <w:rPr>
          <w:lang w:val="en-US"/>
        </w:rPr>
        <w:t>igure 1.</w:t>
      </w:r>
    </w:p>
    <w:p w:rsidR="00177EDF" w:rsidRPr="00F84D3B" w:rsidRDefault="00177EDF" w:rsidP="00177EDF">
      <w:pPr>
        <w:ind w:left="1080" w:right="720"/>
        <w:jc w:val="both"/>
        <w:rPr>
          <w:lang w:val="en-US"/>
        </w:rPr>
      </w:pPr>
    </w:p>
    <w:p w:rsidR="00177EDF" w:rsidRPr="00F84D3B" w:rsidRDefault="00177EDF" w:rsidP="00177EDF">
      <w:pPr>
        <w:ind w:left="1080" w:right="720"/>
        <w:jc w:val="both"/>
        <w:rPr>
          <w:lang w:val="en-US"/>
        </w:rPr>
      </w:pPr>
      <w:r w:rsidRPr="00F84D3B">
        <w:rPr>
          <w:b/>
          <w:lang w:val="en-US"/>
        </w:rPr>
        <w:t>Figure 1: Per capita resource allocation</w:t>
      </w:r>
    </w:p>
    <w:p w:rsidR="00177EDF" w:rsidRPr="00F84D3B" w:rsidRDefault="00177EDF" w:rsidP="00177EDF">
      <w:pPr>
        <w:ind w:left="1080" w:right="720"/>
        <w:jc w:val="both"/>
        <w:rPr>
          <w:lang w:val="en-US"/>
        </w:rPr>
      </w:pPr>
      <w:r>
        <w:rPr>
          <w:noProof/>
          <w:lang w:val="en-US"/>
        </w:rPr>
        <w:drawing>
          <wp:inline distT="0" distB="0" distL="0" distR="0" wp14:anchorId="64AFB397" wp14:editId="43899780">
            <wp:extent cx="4882515" cy="2795270"/>
            <wp:effectExtent l="0" t="0" r="0" b="508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2515" cy="2795270"/>
                    </a:xfrm>
                    <a:prstGeom prst="rect">
                      <a:avLst/>
                    </a:prstGeom>
                    <a:noFill/>
                    <a:ln>
                      <a:noFill/>
                    </a:ln>
                  </pic:spPr>
                </pic:pic>
              </a:graphicData>
            </a:graphic>
          </wp:inline>
        </w:drawing>
      </w:r>
    </w:p>
    <w:p w:rsidR="00177EDF" w:rsidRPr="00F84D3B" w:rsidRDefault="00177EDF" w:rsidP="00177EDF">
      <w:pPr>
        <w:ind w:left="1080" w:right="720"/>
        <w:jc w:val="both"/>
        <w:rPr>
          <w:lang w:val="en-US"/>
        </w:rPr>
      </w:pPr>
    </w:p>
    <w:p w:rsidR="00177EDF" w:rsidRPr="00F84D3B" w:rsidRDefault="00177EDF" w:rsidP="00177EDF">
      <w:pPr>
        <w:numPr>
          <w:ilvl w:val="0"/>
          <w:numId w:val="2"/>
        </w:numPr>
        <w:ind w:left="1080" w:right="720" w:firstLine="0"/>
        <w:jc w:val="both"/>
        <w:rPr>
          <w:lang w:val="en-US"/>
        </w:rPr>
      </w:pPr>
      <w:r w:rsidRPr="00F84D3B">
        <w:rPr>
          <w:lang w:val="en-US"/>
        </w:rPr>
        <w:t>There are 23 countries that receive more than $0.35 per person per annum, all of which have fewer than 5 million people.  In contrast, countries with large populations receive only pennies per capita, despite being the countries that have the largest numbers of maternal deaths and the most unmet need for contraceptives.</w:t>
      </w:r>
    </w:p>
    <w:p w:rsidR="00177EDF" w:rsidRPr="00F84D3B" w:rsidRDefault="00177EDF" w:rsidP="00177EDF">
      <w:pPr>
        <w:ind w:left="1080" w:right="720"/>
        <w:jc w:val="both"/>
        <w:rPr>
          <w:lang w:val="en-US"/>
        </w:rPr>
      </w:pPr>
    </w:p>
    <w:p w:rsidR="00177EDF" w:rsidRPr="00F84D3B" w:rsidRDefault="00177EDF" w:rsidP="00177EDF">
      <w:pPr>
        <w:numPr>
          <w:ilvl w:val="0"/>
          <w:numId w:val="2"/>
        </w:numPr>
        <w:ind w:left="1080" w:right="720" w:firstLine="0"/>
        <w:jc w:val="both"/>
        <w:rPr>
          <w:lang w:val="en-US"/>
        </w:rPr>
      </w:pPr>
      <w:r w:rsidRPr="00F84D3B">
        <w:rPr>
          <w:lang w:val="en-US"/>
        </w:rPr>
        <w:t>Even among relatively small countries, there is a very pronounced skew toward the smallest countries, which trumps other metrics, such as those related to need or even RAS category.  This can be seen most clearly by lo</w:t>
      </w:r>
      <w:r>
        <w:rPr>
          <w:lang w:val="en-US"/>
        </w:rPr>
        <w:t>oking at a few examples, as in t</w:t>
      </w:r>
      <w:r w:rsidRPr="00F84D3B">
        <w:rPr>
          <w:lang w:val="en-US"/>
        </w:rPr>
        <w:t>able 3.</w:t>
      </w:r>
    </w:p>
    <w:p w:rsidR="00177EDF" w:rsidRPr="00F84D3B" w:rsidRDefault="00177EDF" w:rsidP="00177EDF">
      <w:pPr>
        <w:ind w:left="1080" w:right="720"/>
        <w:jc w:val="both"/>
        <w:rPr>
          <w:lang w:val="en-US"/>
        </w:rPr>
      </w:pPr>
    </w:p>
    <w:p w:rsidR="00177EDF" w:rsidRPr="00F84D3B" w:rsidRDefault="00177EDF" w:rsidP="00177EDF">
      <w:pPr>
        <w:ind w:left="1080" w:right="720"/>
        <w:jc w:val="both"/>
        <w:rPr>
          <w:lang w:val="en-US"/>
        </w:rPr>
      </w:pPr>
      <w:r w:rsidRPr="00F84D3B">
        <w:rPr>
          <w:b/>
          <w:lang w:val="en-US"/>
        </w:rPr>
        <w:t>Table 3: Examples of allocations to countries with small populations</w:t>
      </w:r>
    </w:p>
    <w:tbl>
      <w:tblPr>
        <w:tblW w:w="0" w:type="auto"/>
        <w:tblInd w:w="13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1710"/>
        <w:gridCol w:w="1710"/>
        <w:gridCol w:w="1710"/>
      </w:tblGrid>
      <w:tr w:rsidR="00177EDF" w:rsidRPr="00DF6B08" w:rsidTr="009B383D">
        <w:trPr>
          <w:trHeight w:val="152"/>
        </w:trPr>
        <w:tc>
          <w:tcPr>
            <w:tcW w:w="2250" w:type="dxa"/>
            <w:shd w:val="clear" w:color="auto" w:fill="auto"/>
            <w:hideMark/>
          </w:tcPr>
          <w:p w:rsidR="00177EDF" w:rsidRPr="00DF6B08" w:rsidRDefault="00177EDF" w:rsidP="009B383D">
            <w:pPr>
              <w:ind w:right="28"/>
              <w:jc w:val="both"/>
              <w:rPr>
                <w:rFonts w:eastAsia="Calibri"/>
                <w:sz w:val="18"/>
                <w:lang w:val="en-US"/>
              </w:rPr>
            </w:pPr>
          </w:p>
        </w:tc>
        <w:tc>
          <w:tcPr>
            <w:tcW w:w="1710" w:type="dxa"/>
            <w:shd w:val="clear" w:color="auto" w:fill="auto"/>
            <w:hideMark/>
          </w:tcPr>
          <w:p w:rsidR="00177EDF" w:rsidRPr="00DF6B08" w:rsidRDefault="00177EDF" w:rsidP="009B383D">
            <w:pPr>
              <w:jc w:val="both"/>
              <w:rPr>
                <w:rFonts w:eastAsia="Calibri"/>
                <w:sz w:val="18"/>
                <w:lang w:val="en-US"/>
              </w:rPr>
            </w:pPr>
            <w:r w:rsidRPr="00DF6B08">
              <w:rPr>
                <w:rFonts w:eastAsia="Calibri"/>
                <w:b/>
                <w:bCs/>
                <w:sz w:val="18"/>
                <w:lang w:val="en-US"/>
              </w:rPr>
              <w:t>Botswana</w:t>
            </w:r>
          </w:p>
        </w:tc>
        <w:tc>
          <w:tcPr>
            <w:tcW w:w="1710" w:type="dxa"/>
            <w:shd w:val="clear" w:color="auto" w:fill="auto"/>
            <w:hideMark/>
          </w:tcPr>
          <w:p w:rsidR="00177EDF" w:rsidRPr="00DF6B08" w:rsidRDefault="00177EDF" w:rsidP="009B383D">
            <w:pPr>
              <w:jc w:val="both"/>
              <w:rPr>
                <w:rFonts w:eastAsia="Calibri"/>
                <w:sz w:val="18"/>
                <w:lang w:val="en-US"/>
              </w:rPr>
            </w:pPr>
            <w:r w:rsidRPr="00DF6B08">
              <w:rPr>
                <w:rFonts w:eastAsia="Calibri"/>
                <w:b/>
                <w:bCs/>
                <w:sz w:val="18"/>
                <w:lang w:val="en-US"/>
              </w:rPr>
              <w:t>Chad</w:t>
            </w:r>
          </w:p>
        </w:tc>
        <w:tc>
          <w:tcPr>
            <w:tcW w:w="1710" w:type="dxa"/>
            <w:shd w:val="clear" w:color="auto" w:fill="auto"/>
            <w:hideMark/>
          </w:tcPr>
          <w:p w:rsidR="00177EDF" w:rsidRPr="00DF6B08" w:rsidRDefault="00177EDF" w:rsidP="009B383D">
            <w:pPr>
              <w:ind w:left="20"/>
              <w:jc w:val="both"/>
              <w:rPr>
                <w:rFonts w:eastAsia="Calibri"/>
                <w:sz w:val="18"/>
                <w:lang w:val="en-US"/>
              </w:rPr>
            </w:pPr>
            <w:r w:rsidRPr="00DF6B08">
              <w:rPr>
                <w:rFonts w:eastAsia="Calibri"/>
                <w:b/>
                <w:bCs/>
                <w:sz w:val="18"/>
                <w:lang w:val="en-US"/>
              </w:rPr>
              <w:t>Paraguay</w:t>
            </w:r>
          </w:p>
        </w:tc>
      </w:tr>
      <w:tr w:rsidR="00177EDF" w:rsidRPr="00DF6B08" w:rsidTr="009B383D">
        <w:trPr>
          <w:trHeight w:val="170"/>
        </w:trPr>
        <w:tc>
          <w:tcPr>
            <w:tcW w:w="2250" w:type="dxa"/>
            <w:shd w:val="clear" w:color="auto" w:fill="auto"/>
            <w:hideMark/>
          </w:tcPr>
          <w:p w:rsidR="00177EDF" w:rsidRPr="00DF6B08" w:rsidRDefault="00177EDF" w:rsidP="009B383D">
            <w:pPr>
              <w:ind w:right="28"/>
              <w:jc w:val="both"/>
              <w:rPr>
                <w:rFonts w:eastAsia="Calibri"/>
                <w:sz w:val="18"/>
                <w:lang w:val="en-US"/>
              </w:rPr>
            </w:pPr>
            <w:r w:rsidRPr="00DF6B08">
              <w:rPr>
                <w:rFonts w:eastAsia="Calibri"/>
                <w:b/>
                <w:bCs/>
                <w:sz w:val="18"/>
                <w:lang w:val="en-US"/>
              </w:rPr>
              <w:t>RAS category</w:t>
            </w:r>
          </w:p>
        </w:tc>
        <w:tc>
          <w:tcPr>
            <w:tcW w:w="1710" w:type="dxa"/>
            <w:shd w:val="clear" w:color="auto" w:fill="auto"/>
            <w:hideMark/>
          </w:tcPr>
          <w:p w:rsidR="00177EDF" w:rsidRPr="00DF6B08" w:rsidRDefault="00177EDF" w:rsidP="009B383D">
            <w:pPr>
              <w:jc w:val="both"/>
              <w:rPr>
                <w:rFonts w:eastAsia="Calibri"/>
                <w:sz w:val="18"/>
                <w:lang w:val="en-US"/>
              </w:rPr>
            </w:pPr>
            <w:r w:rsidRPr="00DF6B08">
              <w:rPr>
                <w:rFonts w:eastAsia="Calibri"/>
                <w:sz w:val="18"/>
                <w:lang w:val="en-US"/>
              </w:rPr>
              <w:t>B</w:t>
            </w:r>
          </w:p>
        </w:tc>
        <w:tc>
          <w:tcPr>
            <w:tcW w:w="1710" w:type="dxa"/>
            <w:shd w:val="clear" w:color="auto" w:fill="auto"/>
            <w:hideMark/>
          </w:tcPr>
          <w:p w:rsidR="00177EDF" w:rsidRPr="00DF6B08" w:rsidRDefault="00177EDF" w:rsidP="009B383D">
            <w:pPr>
              <w:jc w:val="both"/>
              <w:rPr>
                <w:rFonts w:eastAsia="Calibri"/>
                <w:sz w:val="18"/>
                <w:lang w:val="en-US"/>
              </w:rPr>
            </w:pPr>
            <w:r w:rsidRPr="00DF6B08">
              <w:rPr>
                <w:rFonts w:eastAsia="Calibri"/>
                <w:sz w:val="18"/>
                <w:lang w:val="en-US"/>
              </w:rPr>
              <w:t>A</w:t>
            </w:r>
          </w:p>
        </w:tc>
        <w:tc>
          <w:tcPr>
            <w:tcW w:w="1710" w:type="dxa"/>
            <w:shd w:val="clear" w:color="auto" w:fill="auto"/>
            <w:hideMark/>
          </w:tcPr>
          <w:p w:rsidR="00177EDF" w:rsidRPr="00DF6B08" w:rsidRDefault="00177EDF" w:rsidP="009B383D">
            <w:pPr>
              <w:ind w:left="20"/>
              <w:jc w:val="both"/>
              <w:rPr>
                <w:rFonts w:eastAsia="Calibri"/>
                <w:sz w:val="18"/>
                <w:lang w:val="en-US"/>
              </w:rPr>
            </w:pPr>
            <w:r w:rsidRPr="00DF6B08">
              <w:rPr>
                <w:rFonts w:eastAsia="Calibri"/>
                <w:sz w:val="18"/>
                <w:lang w:val="en-US"/>
              </w:rPr>
              <w:t>B</w:t>
            </w:r>
          </w:p>
        </w:tc>
      </w:tr>
      <w:tr w:rsidR="00177EDF" w:rsidRPr="00DF6B08" w:rsidTr="009B383D">
        <w:trPr>
          <w:trHeight w:val="215"/>
        </w:trPr>
        <w:tc>
          <w:tcPr>
            <w:tcW w:w="2250" w:type="dxa"/>
            <w:shd w:val="clear" w:color="auto" w:fill="auto"/>
            <w:hideMark/>
          </w:tcPr>
          <w:p w:rsidR="00177EDF" w:rsidRPr="00DF6B08" w:rsidRDefault="00177EDF" w:rsidP="009B383D">
            <w:pPr>
              <w:ind w:right="28"/>
              <w:jc w:val="both"/>
              <w:rPr>
                <w:rFonts w:eastAsia="Calibri"/>
                <w:sz w:val="18"/>
                <w:lang w:val="en-US"/>
              </w:rPr>
            </w:pPr>
            <w:r w:rsidRPr="00DF6B08">
              <w:rPr>
                <w:rFonts w:eastAsia="Calibri"/>
                <w:b/>
                <w:bCs/>
                <w:sz w:val="18"/>
                <w:lang w:val="en-US"/>
              </w:rPr>
              <w:t>Population</w:t>
            </w:r>
          </w:p>
        </w:tc>
        <w:tc>
          <w:tcPr>
            <w:tcW w:w="1710" w:type="dxa"/>
            <w:shd w:val="clear" w:color="auto" w:fill="auto"/>
            <w:hideMark/>
          </w:tcPr>
          <w:p w:rsidR="00177EDF" w:rsidRPr="00DF6B08" w:rsidRDefault="00177EDF" w:rsidP="009B383D">
            <w:pPr>
              <w:jc w:val="both"/>
              <w:rPr>
                <w:rFonts w:eastAsia="Calibri"/>
                <w:sz w:val="18"/>
                <w:lang w:val="en-US"/>
              </w:rPr>
            </w:pPr>
            <w:r w:rsidRPr="00DF6B08">
              <w:rPr>
                <w:rFonts w:eastAsia="Calibri"/>
                <w:bCs/>
                <w:sz w:val="18"/>
                <w:lang w:val="en-US"/>
              </w:rPr>
              <w:t>1.9 million</w:t>
            </w:r>
          </w:p>
        </w:tc>
        <w:tc>
          <w:tcPr>
            <w:tcW w:w="1710" w:type="dxa"/>
            <w:shd w:val="clear" w:color="auto" w:fill="auto"/>
            <w:hideMark/>
          </w:tcPr>
          <w:p w:rsidR="00177EDF" w:rsidRPr="00DF6B08" w:rsidRDefault="00177EDF" w:rsidP="009B383D">
            <w:pPr>
              <w:jc w:val="both"/>
              <w:rPr>
                <w:rFonts w:eastAsia="Calibri"/>
                <w:sz w:val="18"/>
                <w:lang w:val="en-US"/>
              </w:rPr>
            </w:pPr>
            <w:r w:rsidRPr="00DF6B08">
              <w:rPr>
                <w:rFonts w:eastAsia="Calibri"/>
                <w:bCs/>
                <w:sz w:val="18"/>
                <w:lang w:val="en-US"/>
              </w:rPr>
              <w:t>10.5 million</w:t>
            </w:r>
          </w:p>
        </w:tc>
        <w:tc>
          <w:tcPr>
            <w:tcW w:w="1710" w:type="dxa"/>
            <w:shd w:val="clear" w:color="auto" w:fill="auto"/>
            <w:hideMark/>
          </w:tcPr>
          <w:p w:rsidR="00177EDF" w:rsidRPr="00DF6B08" w:rsidRDefault="00177EDF" w:rsidP="009B383D">
            <w:pPr>
              <w:ind w:left="20"/>
              <w:jc w:val="both"/>
              <w:rPr>
                <w:rFonts w:eastAsia="Calibri"/>
                <w:sz w:val="18"/>
                <w:lang w:val="en-US"/>
              </w:rPr>
            </w:pPr>
            <w:r w:rsidRPr="00DF6B08">
              <w:rPr>
                <w:rFonts w:eastAsia="Calibri"/>
                <w:bCs/>
                <w:sz w:val="18"/>
                <w:lang w:val="en-US"/>
              </w:rPr>
              <w:t>6 million</w:t>
            </w:r>
          </w:p>
        </w:tc>
      </w:tr>
      <w:tr w:rsidR="00177EDF" w:rsidRPr="00DF6B08" w:rsidTr="009B383D">
        <w:trPr>
          <w:trHeight w:val="260"/>
        </w:trPr>
        <w:tc>
          <w:tcPr>
            <w:tcW w:w="2250" w:type="dxa"/>
            <w:shd w:val="clear" w:color="auto" w:fill="auto"/>
            <w:hideMark/>
          </w:tcPr>
          <w:p w:rsidR="00177EDF" w:rsidRPr="00DF6B08" w:rsidRDefault="00177EDF" w:rsidP="009B383D">
            <w:pPr>
              <w:ind w:right="28"/>
              <w:jc w:val="both"/>
              <w:rPr>
                <w:rFonts w:eastAsia="Calibri"/>
                <w:sz w:val="18"/>
                <w:lang w:val="en-US"/>
              </w:rPr>
            </w:pPr>
            <w:r w:rsidRPr="00DF6B08">
              <w:rPr>
                <w:rFonts w:eastAsia="Calibri"/>
                <w:b/>
                <w:bCs/>
                <w:sz w:val="18"/>
                <w:lang w:val="en-US"/>
              </w:rPr>
              <w:t>Maternal mortality ratio</w:t>
            </w:r>
          </w:p>
        </w:tc>
        <w:tc>
          <w:tcPr>
            <w:tcW w:w="1710" w:type="dxa"/>
            <w:shd w:val="clear" w:color="auto" w:fill="auto"/>
            <w:hideMark/>
          </w:tcPr>
          <w:p w:rsidR="00177EDF" w:rsidRPr="00DF6B08" w:rsidRDefault="00177EDF" w:rsidP="009B383D">
            <w:pPr>
              <w:jc w:val="both"/>
              <w:rPr>
                <w:rFonts w:eastAsia="Calibri"/>
                <w:sz w:val="18"/>
                <w:lang w:val="en-US"/>
              </w:rPr>
            </w:pPr>
            <w:r w:rsidRPr="00DF6B08">
              <w:rPr>
                <w:rFonts w:eastAsia="Calibri"/>
                <w:sz w:val="18"/>
                <w:lang w:val="en-US"/>
              </w:rPr>
              <w:t>180</w:t>
            </w:r>
          </w:p>
        </w:tc>
        <w:tc>
          <w:tcPr>
            <w:tcW w:w="1710" w:type="dxa"/>
            <w:shd w:val="clear" w:color="auto" w:fill="auto"/>
            <w:hideMark/>
          </w:tcPr>
          <w:p w:rsidR="00177EDF" w:rsidRPr="00DF6B08" w:rsidRDefault="00177EDF" w:rsidP="009B383D">
            <w:pPr>
              <w:jc w:val="both"/>
              <w:rPr>
                <w:rFonts w:eastAsia="Calibri"/>
                <w:sz w:val="18"/>
                <w:lang w:val="en-US"/>
              </w:rPr>
            </w:pPr>
            <w:r w:rsidRPr="00DF6B08">
              <w:rPr>
                <w:rFonts w:eastAsia="Calibri"/>
                <w:sz w:val="18"/>
                <w:lang w:val="en-US"/>
              </w:rPr>
              <w:t>1100 (highest in world)</w:t>
            </w:r>
          </w:p>
        </w:tc>
        <w:tc>
          <w:tcPr>
            <w:tcW w:w="1710" w:type="dxa"/>
            <w:shd w:val="clear" w:color="auto" w:fill="auto"/>
            <w:hideMark/>
          </w:tcPr>
          <w:p w:rsidR="00177EDF" w:rsidRPr="00DF6B08" w:rsidRDefault="00177EDF" w:rsidP="009B383D">
            <w:pPr>
              <w:ind w:left="20"/>
              <w:jc w:val="both"/>
              <w:rPr>
                <w:rFonts w:eastAsia="Calibri"/>
                <w:sz w:val="18"/>
                <w:lang w:val="en-US"/>
              </w:rPr>
            </w:pPr>
            <w:r w:rsidRPr="00DF6B08">
              <w:rPr>
                <w:rFonts w:eastAsia="Calibri"/>
                <w:sz w:val="18"/>
                <w:lang w:val="en-US"/>
              </w:rPr>
              <w:t>99</w:t>
            </w:r>
          </w:p>
        </w:tc>
      </w:tr>
      <w:tr w:rsidR="00177EDF" w:rsidRPr="00DF6B08" w:rsidTr="009B383D">
        <w:trPr>
          <w:trHeight w:val="386"/>
        </w:trPr>
        <w:tc>
          <w:tcPr>
            <w:tcW w:w="2250" w:type="dxa"/>
            <w:shd w:val="clear" w:color="auto" w:fill="auto"/>
            <w:hideMark/>
          </w:tcPr>
          <w:p w:rsidR="00177EDF" w:rsidRPr="00DF6B08" w:rsidRDefault="00177EDF" w:rsidP="009B383D">
            <w:pPr>
              <w:ind w:right="28"/>
              <w:jc w:val="both"/>
              <w:rPr>
                <w:rFonts w:eastAsia="Calibri"/>
                <w:sz w:val="18"/>
                <w:lang w:val="en-US"/>
              </w:rPr>
            </w:pPr>
            <w:r w:rsidRPr="00DF6B08">
              <w:rPr>
                <w:rFonts w:eastAsia="Calibri"/>
                <w:b/>
                <w:bCs/>
                <w:sz w:val="18"/>
                <w:lang w:val="en-US"/>
              </w:rPr>
              <w:t>Contraceptive prevalence rate (modern)</w:t>
            </w:r>
          </w:p>
        </w:tc>
        <w:tc>
          <w:tcPr>
            <w:tcW w:w="1710" w:type="dxa"/>
            <w:shd w:val="clear" w:color="auto" w:fill="auto"/>
            <w:hideMark/>
          </w:tcPr>
          <w:p w:rsidR="00177EDF" w:rsidRPr="00DF6B08" w:rsidRDefault="00177EDF" w:rsidP="009B383D">
            <w:pPr>
              <w:jc w:val="both"/>
              <w:rPr>
                <w:rFonts w:eastAsia="Calibri"/>
                <w:sz w:val="18"/>
                <w:lang w:val="en-US"/>
              </w:rPr>
            </w:pPr>
            <w:r w:rsidRPr="00DF6B08">
              <w:rPr>
                <w:rFonts w:eastAsia="Calibri"/>
                <w:sz w:val="18"/>
                <w:lang w:val="en-US"/>
              </w:rPr>
              <w:t>35%</w:t>
            </w:r>
          </w:p>
        </w:tc>
        <w:tc>
          <w:tcPr>
            <w:tcW w:w="1710" w:type="dxa"/>
            <w:shd w:val="clear" w:color="auto" w:fill="auto"/>
            <w:hideMark/>
          </w:tcPr>
          <w:p w:rsidR="00177EDF" w:rsidRPr="00DF6B08" w:rsidRDefault="00177EDF" w:rsidP="009B383D">
            <w:pPr>
              <w:jc w:val="both"/>
              <w:rPr>
                <w:rFonts w:eastAsia="Calibri"/>
                <w:sz w:val="18"/>
                <w:lang w:val="en-US"/>
              </w:rPr>
            </w:pPr>
            <w:r w:rsidRPr="00DF6B08">
              <w:rPr>
                <w:rFonts w:eastAsia="Calibri"/>
                <w:sz w:val="18"/>
                <w:lang w:val="en-US"/>
              </w:rPr>
              <w:t>1.7% (lowest in world)</w:t>
            </w:r>
          </w:p>
        </w:tc>
        <w:tc>
          <w:tcPr>
            <w:tcW w:w="1710" w:type="dxa"/>
            <w:shd w:val="clear" w:color="auto" w:fill="auto"/>
            <w:hideMark/>
          </w:tcPr>
          <w:p w:rsidR="00177EDF" w:rsidRPr="00DF6B08" w:rsidRDefault="00177EDF" w:rsidP="009B383D">
            <w:pPr>
              <w:ind w:left="20"/>
              <w:jc w:val="both"/>
              <w:rPr>
                <w:rFonts w:eastAsia="Calibri"/>
                <w:sz w:val="18"/>
                <w:lang w:val="en-US"/>
              </w:rPr>
            </w:pPr>
            <w:r w:rsidRPr="00DF6B08">
              <w:rPr>
                <w:rFonts w:eastAsia="Calibri"/>
                <w:sz w:val="18"/>
                <w:lang w:val="en-US"/>
              </w:rPr>
              <w:t>70.1%</w:t>
            </w:r>
          </w:p>
        </w:tc>
      </w:tr>
      <w:tr w:rsidR="00177EDF" w:rsidRPr="00DF6B08" w:rsidTr="009B383D">
        <w:trPr>
          <w:trHeight w:val="152"/>
        </w:trPr>
        <w:tc>
          <w:tcPr>
            <w:tcW w:w="2250" w:type="dxa"/>
            <w:shd w:val="clear" w:color="auto" w:fill="auto"/>
            <w:hideMark/>
          </w:tcPr>
          <w:p w:rsidR="00177EDF" w:rsidRPr="00DF6B08" w:rsidRDefault="00177EDF" w:rsidP="009B383D">
            <w:pPr>
              <w:ind w:right="28"/>
              <w:jc w:val="both"/>
              <w:rPr>
                <w:rFonts w:eastAsia="Calibri"/>
                <w:sz w:val="18"/>
                <w:lang w:val="en-US"/>
              </w:rPr>
            </w:pPr>
            <w:r w:rsidRPr="00DF6B08">
              <w:rPr>
                <w:rFonts w:eastAsia="Calibri"/>
                <w:b/>
                <w:bCs/>
                <w:sz w:val="18"/>
                <w:lang w:val="en-US"/>
              </w:rPr>
              <w:t>Income category</w:t>
            </w:r>
          </w:p>
        </w:tc>
        <w:tc>
          <w:tcPr>
            <w:tcW w:w="1710" w:type="dxa"/>
            <w:shd w:val="clear" w:color="auto" w:fill="auto"/>
            <w:hideMark/>
          </w:tcPr>
          <w:p w:rsidR="00177EDF" w:rsidRPr="00DF6B08" w:rsidRDefault="00177EDF" w:rsidP="009B383D">
            <w:pPr>
              <w:jc w:val="both"/>
              <w:rPr>
                <w:rFonts w:eastAsia="Calibri"/>
                <w:sz w:val="18"/>
                <w:lang w:val="en-US"/>
              </w:rPr>
            </w:pPr>
            <w:r w:rsidRPr="00DF6B08">
              <w:rPr>
                <w:rFonts w:eastAsia="Calibri"/>
                <w:sz w:val="18"/>
                <w:lang w:val="en-US"/>
              </w:rPr>
              <w:t>Upper-middle</w:t>
            </w:r>
          </w:p>
        </w:tc>
        <w:tc>
          <w:tcPr>
            <w:tcW w:w="1710" w:type="dxa"/>
            <w:shd w:val="clear" w:color="auto" w:fill="auto"/>
            <w:hideMark/>
          </w:tcPr>
          <w:p w:rsidR="00177EDF" w:rsidRPr="00DF6B08" w:rsidRDefault="00177EDF" w:rsidP="009B383D">
            <w:pPr>
              <w:jc w:val="both"/>
              <w:rPr>
                <w:rFonts w:eastAsia="Calibri"/>
                <w:sz w:val="18"/>
                <w:lang w:val="en-US"/>
              </w:rPr>
            </w:pPr>
            <w:r w:rsidRPr="00DF6B08">
              <w:rPr>
                <w:rFonts w:eastAsia="Calibri"/>
                <w:sz w:val="18"/>
                <w:lang w:val="en-US"/>
              </w:rPr>
              <w:t>Low</w:t>
            </w:r>
          </w:p>
        </w:tc>
        <w:tc>
          <w:tcPr>
            <w:tcW w:w="1710" w:type="dxa"/>
            <w:shd w:val="clear" w:color="auto" w:fill="auto"/>
            <w:hideMark/>
          </w:tcPr>
          <w:p w:rsidR="00177EDF" w:rsidRPr="00DF6B08" w:rsidRDefault="00177EDF" w:rsidP="009B383D">
            <w:pPr>
              <w:ind w:left="20"/>
              <w:jc w:val="both"/>
              <w:rPr>
                <w:rFonts w:eastAsia="Calibri"/>
                <w:sz w:val="18"/>
                <w:lang w:val="en-US"/>
              </w:rPr>
            </w:pPr>
            <w:r w:rsidRPr="00DF6B08">
              <w:rPr>
                <w:rFonts w:eastAsia="Calibri"/>
                <w:sz w:val="18"/>
                <w:lang w:val="en-US"/>
              </w:rPr>
              <w:t>Lower-middle</w:t>
            </w:r>
          </w:p>
        </w:tc>
      </w:tr>
      <w:tr w:rsidR="00177EDF" w:rsidRPr="00DF6B08" w:rsidTr="009B383D">
        <w:trPr>
          <w:trHeight w:val="305"/>
        </w:trPr>
        <w:tc>
          <w:tcPr>
            <w:tcW w:w="2250" w:type="dxa"/>
            <w:shd w:val="clear" w:color="auto" w:fill="auto"/>
            <w:hideMark/>
          </w:tcPr>
          <w:p w:rsidR="00177EDF" w:rsidRPr="00DF6B08" w:rsidRDefault="00177EDF" w:rsidP="009B383D">
            <w:pPr>
              <w:ind w:right="28"/>
              <w:jc w:val="both"/>
              <w:rPr>
                <w:rFonts w:eastAsia="Calibri"/>
                <w:sz w:val="18"/>
                <w:lang w:val="en-US"/>
              </w:rPr>
            </w:pPr>
            <w:r w:rsidRPr="00DF6B08">
              <w:rPr>
                <w:rFonts w:eastAsia="Calibri"/>
                <w:b/>
                <w:bCs/>
                <w:sz w:val="18"/>
                <w:lang w:val="en-US"/>
              </w:rPr>
              <w:t>Regular resources per capita</w:t>
            </w:r>
          </w:p>
        </w:tc>
        <w:tc>
          <w:tcPr>
            <w:tcW w:w="1710" w:type="dxa"/>
            <w:shd w:val="clear" w:color="auto" w:fill="auto"/>
            <w:hideMark/>
          </w:tcPr>
          <w:p w:rsidR="00177EDF" w:rsidRPr="00DF6B08" w:rsidRDefault="00177EDF" w:rsidP="009B383D">
            <w:pPr>
              <w:jc w:val="both"/>
              <w:rPr>
                <w:rFonts w:eastAsia="Calibri"/>
                <w:b/>
                <w:i/>
                <w:sz w:val="18"/>
                <w:u w:val="single"/>
                <w:lang w:val="en-US"/>
              </w:rPr>
            </w:pPr>
            <w:r w:rsidRPr="00DF6B08">
              <w:rPr>
                <w:rFonts w:eastAsia="Calibri"/>
                <w:b/>
                <w:bCs/>
                <w:i/>
                <w:iCs/>
                <w:sz w:val="18"/>
                <w:u w:val="single"/>
                <w:lang w:val="en-US"/>
              </w:rPr>
              <w:t>$0.54</w:t>
            </w:r>
          </w:p>
        </w:tc>
        <w:tc>
          <w:tcPr>
            <w:tcW w:w="1710" w:type="dxa"/>
            <w:shd w:val="clear" w:color="auto" w:fill="auto"/>
            <w:hideMark/>
          </w:tcPr>
          <w:p w:rsidR="00177EDF" w:rsidRPr="00DF6B08" w:rsidRDefault="00177EDF" w:rsidP="009B383D">
            <w:pPr>
              <w:jc w:val="both"/>
              <w:rPr>
                <w:rFonts w:eastAsia="Calibri"/>
                <w:b/>
                <w:i/>
                <w:sz w:val="18"/>
                <w:u w:val="single"/>
                <w:lang w:val="en-US"/>
              </w:rPr>
            </w:pPr>
            <w:r w:rsidRPr="00DF6B08">
              <w:rPr>
                <w:rFonts w:eastAsia="Calibri"/>
                <w:b/>
                <w:bCs/>
                <w:i/>
                <w:iCs/>
                <w:sz w:val="18"/>
                <w:u w:val="single"/>
                <w:lang w:val="en-US"/>
              </w:rPr>
              <w:t>$0.24</w:t>
            </w:r>
          </w:p>
        </w:tc>
        <w:tc>
          <w:tcPr>
            <w:tcW w:w="1710" w:type="dxa"/>
            <w:shd w:val="clear" w:color="auto" w:fill="auto"/>
            <w:hideMark/>
          </w:tcPr>
          <w:p w:rsidR="00177EDF" w:rsidRPr="00DF6B08" w:rsidRDefault="00177EDF" w:rsidP="009B383D">
            <w:pPr>
              <w:ind w:left="20"/>
              <w:jc w:val="both"/>
              <w:rPr>
                <w:rFonts w:eastAsia="Calibri"/>
                <w:b/>
                <w:i/>
                <w:sz w:val="18"/>
                <w:u w:val="single"/>
                <w:lang w:val="en-US"/>
              </w:rPr>
            </w:pPr>
            <w:r w:rsidRPr="00DF6B08">
              <w:rPr>
                <w:rFonts w:eastAsia="Calibri"/>
                <w:b/>
                <w:bCs/>
                <w:i/>
                <w:iCs/>
                <w:sz w:val="18"/>
                <w:u w:val="single"/>
                <w:lang w:val="en-US"/>
              </w:rPr>
              <w:t>$0.20</w:t>
            </w:r>
          </w:p>
        </w:tc>
      </w:tr>
    </w:tbl>
    <w:p w:rsidR="00177EDF" w:rsidRPr="00F84D3B" w:rsidRDefault="00177EDF" w:rsidP="00177EDF">
      <w:pPr>
        <w:ind w:left="1080" w:right="720"/>
        <w:jc w:val="both"/>
        <w:rPr>
          <w:lang w:val="en-US"/>
        </w:rPr>
      </w:pPr>
    </w:p>
    <w:p w:rsidR="00177EDF" w:rsidRPr="00F84D3B" w:rsidRDefault="00177EDF" w:rsidP="00177EDF">
      <w:pPr>
        <w:numPr>
          <w:ilvl w:val="0"/>
          <w:numId w:val="2"/>
        </w:numPr>
        <w:ind w:left="1080" w:right="720" w:firstLine="0"/>
        <w:jc w:val="both"/>
        <w:rPr>
          <w:lang w:val="en-US"/>
        </w:rPr>
      </w:pPr>
      <w:r w:rsidRPr="00F84D3B">
        <w:rPr>
          <w:lang w:val="en-US"/>
        </w:rPr>
        <w:t>The consequences of this bias toward small countries are significant, as the aggregate effects are quite large.  Fo</w:t>
      </w:r>
      <w:r>
        <w:rPr>
          <w:lang w:val="en-US"/>
        </w:rPr>
        <w:t>r example, although less than 5 per cent</w:t>
      </w:r>
      <w:r w:rsidRPr="00F84D3B">
        <w:rPr>
          <w:lang w:val="en-US"/>
        </w:rPr>
        <w:t xml:space="preserve"> of the total population of countries in which UNFPA works live in countries with 10 million people or l</w:t>
      </w:r>
      <w:r>
        <w:rPr>
          <w:lang w:val="en-US"/>
        </w:rPr>
        <w:t>ess, these countries receive 26 per cent of UNFPA</w:t>
      </w:r>
      <w:r w:rsidRPr="00F84D3B">
        <w:rPr>
          <w:lang w:val="en-US"/>
        </w:rPr>
        <w:t xml:space="preserve"> regular resources.  By contrast, countries with more than 5</w:t>
      </w:r>
      <w:r>
        <w:rPr>
          <w:lang w:val="en-US"/>
        </w:rPr>
        <w:t>0 million people account for 77 per cent</w:t>
      </w:r>
      <w:r w:rsidRPr="00F84D3B">
        <w:rPr>
          <w:lang w:val="en-US"/>
        </w:rPr>
        <w:t xml:space="preserve"> of the total population of countries in which UNFPA works, but </w:t>
      </w:r>
      <w:r>
        <w:rPr>
          <w:lang w:val="en-US"/>
        </w:rPr>
        <w:t>these countries only receive 31 per cent</w:t>
      </w:r>
      <w:r w:rsidRPr="00F84D3B">
        <w:rPr>
          <w:lang w:val="en-US"/>
        </w:rPr>
        <w:t xml:space="preserve"> of regular resources.</w:t>
      </w:r>
    </w:p>
    <w:p w:rsidR="00177EDF" w:rsidRPr="00F84D3B" w:rsidRDefault="00177EDF" w:rsidP="00177EDF">
      <w:pPr>
        <w:ind w:left="1080" w:right="720"/>
        <w:jc w:val="both"/>
        <w:rPr>
          <w:lang w:val="en-US"/>
        </w:rPr>
      </w:pPr>
    </w:p>
    <w:p w:rsidR="00177EDF" w:rsidRPr="00F84D3B" w:rsidRDefault="00177EDF" w:rsidP="00177EDF">
      <w:pPr>
        <w:numPr>
          <w:ilvl w:val="0"/>
          <w:numId w:val="2"/>
        </w:numPr>
        <w:ind w:left="1080" w:right="720" w:firstLine="0"/>
        <w:jc w:val="both"/>
        <w:rPr>
          <w:lang w:val="en-US"/>
        </w:rPr>
      </w:pPr>
      <w:r w:rsidRPr="00F84D3B">
        <w:rPr>
          <w:lang w:val="en-US"/>
        </w:rPr>
        <w:t>As a result, the countries that are confronted with the largest numbers of maternal deaths and the largest numbers of people with unmet need for modern contraception receive a disproportio</w:t>
      </w:r>
      <w:r>
        <w:rPr>
          <w:lang w:val="en-US"/>
        </w:rPr>
        <w:t>nately small fraction of UNFPA</w:t>
      </w:r>
      <w:r w:rsidRPr="00F84D3B">
        <w:rPr>
          <w:lang w:val="en-US"/>
        </w:rPr>
        <w:t xml:space="preserve"> </w:t>
      </w:r>
      <w:r>
        <w:rPr>
          <w:lang w:val="en-US"/>
        </w:rPr>
        <w:t>regular resources, as shown in f</w:t>
      </w:r>
      <w:r w:rsidRPr="00F84D3B">
        <w:rPr>
          <w:lang w:val="en-US"/>
        </w:rPr>
        <w:t>igure 2.</w:t>
      </w:r>
    </w:p>
    <w:p w:rsidR="00177EDF" w:rsidRPr="00F84D3B" w:rsidRDefault="00177EDF" w:rsidP="00177EDF">
      <w:pPr>
        <w:ind w:left="1080" w:right="720"/>
        <w:jc w:val="both"/>
        <w:rPr>
          <w:lang w:val="en-US"/>
        </w:rPr>
      </w:pPr>
    </w:p>
    <w:p w:rsidR="00177EDF" w:rsidRPr="00F84D3B" w:rsidRDefault="00177EDF" w:rsidP="00177EDF">
      <w:pPr>
        <w:ind w:left="1080" w:right="720"/>
        <w:jc w:val="both"/>
        <w:rPr>
          <w:b/>
          <w:lang w:val="en-US"/>
        </w:rPr>
      </w:pPr>
      <w:r w:rsidRPr="00F84D3B">
        <w:rPr>
          <w:b/>
          <w:lang w:val="en-US"/>
        </w:rPr>
        <w:t>Figure 2: Mismatch between need and resource allocation</w:t>
      </w:r>
    </w:p>
    <w:p w:rsidR="00177EDF" w:rsidRPr="00F84D3B" w:rsidRDefault="00177EDF" w:rsidP="00177EDF">
      <w:pPr>
        <w:ind w:left="1080" w:right="720"/>
        <w:jc w:val="both"/>
        <w:rPr>
          <w:lang w:val="en-US"/>
        </w:rPr>
      </w:pPr>
      <w:r>
        <w:rPr>
          <w:noProof/>
          <w:lang w:val="en-US"/>
        </w:rPr>
        <w:drawing>
          <wp:inline distT="0" distB="0" distL="0" distR="0" wp14:anchorId="1085D5B5" wp14:editId="796429D0">
            <wp:extent cx="4796155" cy="2536190"/>
            <wp:effectExtent l="0" t="0" r="4445"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6155" cy="2536190"/>
                    </a:xfrm>
                    <a:prstGeom prst="rect">
                      <a:avLst/>
                    </a:prstGeom>
                    <a:noFill/>
                    <a:ln>
                      <a:noFill/>
                    </a:ln>
                  </pic:spPr>
                </pic:pic>
              </a:graphicData>
            </a:graphic>
          </wp:inline>
        </w:drawing>
      </w:r>
    </w:p>
    <w:p w:rsidR="00177EDF" w:rsidRPr="00F84D3B" w:rsidRDefault="00177EDF" w:rsidP="00177EDF">
      <w:pPr>
        <w:ind w:left="1080" w:right="720"/>
        <w:jc w:val="both"/>
        <w:rPr>
          <w:lang w:val="en-US"/>
        </w:rPr>
      </w:pPr>
    </w:p>
    <w:p w:rsidR="00177EDF" w:rsidRPr="00F84D3B" w:rsidRDefault="00177EDF" w:rsidP="00177EDF">
      <w:pPr>
        <w:numPr>
          <w:ilvl w:val="0"/>
          <w:numId w:val="2"/>
        </w:numPr>
        <w:ind w:left="1080" w:right="720" w:firstLine="0"/>
        <w:jc w:val="both"/>
        <w:rPr>
          <w:lang w:val="en-US"/>
        </w:rPr>
      </w:pPr>
      <w:r w:rsidRPr="00F84D3B">
        <w:rPr>
          <w:lang w:val="en-US"/>
        </w:rPr>
        <w:t>These results are problematic from human rights perspective for an organization that has a universal mandate: women in large countries receive much less UNFPA assistance compared to those in small countries simply because they happen to live in more populous countries.  However, there are a number of possible rationales for the skew toward small countries, and it is not necessarily appropriate that each country should receive an identical per-capita allocation of UNFPA resources.</w:t>
      </w:r>
    </w:p>
    <w:p w:rsidR="00177EDF" w:rsidRPr="00F84D3B" w:rsidRDefault="00177EDF" w:rsidP="00177EDF">
      <w:pPr>
        <w:ind w:left="1080" w:right="720"/>
        <w:jc w:val="both"/>
        <w:rPr>
          <w:lang w:val="en-US"/>
        </w:rPr>
      </w:pPr>
    </w:p>
    <w:p w:rsidR="00177EDF" w:rsidRPr="00F84D3B" w:rsidRDefault="00177EDF" w:rsidP="00177EDF">
      <w:pPr>
        <w:numPr>
          <w:ilvl w:val="0"/>
          <w:numId w:val="2"/>
        </w:numPr>
        <w:ind w:left="1080" w:right="720" w:firstLine="0"/>
        <w:jc w:val="both"/>
        <w:rPr>
          <w:lang w:val="en-US"/>
        </w:rPr>
      </w:pPr>
      <w:r w:rsidRPr="00F84D3B">
        <w:rPr>
          <w:lang w:val="en-US"/>
        </w:rPr>
        <w:t>For example, the costs of programming in small countries could be systematically higher than the costs of programming in large countries (e.g., because of diseconomies of scale).  The discrepancy could also be explained by a theory of change, which could explain that UNFPA can have more impact in smaller countries than in larger countries.</w:t>
      </w:r>
    </w:p>
    <w:p w:rsidR="00177EDF" w:rsidRPr="00F84D3B" w:rsidRDefault="00177EDF" w:rsidP="00177EDF">
      <w:pPr>
        <w:ind w:left="1080" w:right="720"/>
        <w:jc w:val="both"/>
        <w:rPr>
          <w:lang w:val="en-US"/>
        </w:rPr>
      </w:pPr>
    </w:p>
    <w:p w:rsidR="00177EDF" w:rsidRPr="00F84D3B" w:rsidRDefault="00177EDF" w:rsidP="00177EDF">
      <w:pPr>
        <w:numPr>
          <w:ilvl w:val="0"/>
          <w:numId w:val="2"/>
        </w:numPr>
        <w:ind w:left="1080" w:right="720" w:firstLine="0"/>
        <w:jc w:val="both"/>
        <w:rPr>
          <w:lang w:val="en-US"/>
        </w:rPr>
      </w:pPr>
      <w:r w:rsidRPr="00F84D3B">
        <w:rPr>
          <w:lang w:val="en-US"/>
        </w:rPr>
        <w:t>The challenge currently, though, is that no such rationale underpins the skew toward small countries.  This makes the bias particularly problematic, particularly for an organization such as UNFPA that considers human rights a key principle.</w:t>
      </w:r>
    </w:p>
    <w:p w:rsidR="00177EDF" w:rsidRPr="00F84D3B" w:rsidRDefault="00177EDF" w:rsidP="00177EDF">
      <w:pPr>
        <w:ind w:left="1080" w:right="720"/>
        <w:jc w:val="both"/>
        <w:rPr>
          <w:lang w:val="en-US"/>
        </w:rPr>
      </w:pPr>
    </w:p>
    <w:p w:rsidR="00177EDF" w:rsidRPr="000824F9" w:rsidRDefault="00177EDF" w:rsidP="00177EDF">
      <w:pPr>
        <w:pStyle w:val="Heading3"/>
        <w:numPr>
          <w:ilvl w:val="0"/>
          <w:numId w:val="24"/>
        </w:numPr>
        <w:ind w:left="1440"/>
      </w:pPr>
      <w:r w:rsidRPr="000824F9">
        <w:t>Allocation of resources not</w:t>
      </w:r>
      <w:r w:rsidRPr="0061614E">
        <w:t xml:space="preserve"> systematically</w:t>
      </w:r>
      <w:r w:rsidRPr="000824F9">
        <w:t xml:space="preserve"> </w:t>
      </w:r>
      <w:r w:rsidRPr="0061614E">
        <w:t xml:space="preserve">connected </w:t>
      </w:r>
      <w:r w:rsidRPr="000824F9">
        <w:t>to UNFPA interventions</w:t>
      </w:r>
    </w:p>
    <w:p w:rsidR="00177EDF" w:rsidRDefault="00177EDF" w:rsidP="00177EDF">
      <w:pPr>
        <w:ind w:left="1080" w:right="720"/>
        <w:jc w:val="both"/>
        <w:rPr>
          <w:lang w:val="en-US"/>
        </w:rPr>
      </w:pPr>
    </w:p>
    <w:p w:rsidR="00177EDF" w:rsidRPr="00F84D3B" w:rsidRDefault="00177EDF" w:rsidP="00177EDF">
      <w:pPr>
        <w:numPr>
          <w:ilvl w:val="0"/>
          <w:numId w:val="2"/>
        </w:numPr>
        <w:ind w:left="1080" w:right="720" w:firstLine="0"/>
        <w:jc w:val="both"/>
        <w:rPr>
          <w:lang w:val="en-US"/>
        </w:rPr>
      </w:pPr>
      <w:r>
        <w:rPr>
          <w:lang w:val="en-US"/>
        </w:rPr>
        <w:t>UNFPA</w:t>
      </w:r>
      <w:r w:rsidRPr="00F84D3B">
        <w:rPr>
          <w:lang w:val="en-US"/>
        </w:rPr>
        <w:t xml:space="preserve"> programming is tailored to the settings in which it works, in response to the needs on the ground and the capacities present in partners.  Thus</w:t>
      </w:r>
      <w:r>
        <w:rPr>
          <w:lang w:val="en-US"/>
        </w:rPr>
        <w:t>,</w:t>
      </w:r>
      <w:r w:rsidRPr="00F84D3B">
        <w:rPr>
          <w:lang w:val="en-US"/>
        </w:rPr>
        <w:t xml:space="preserve"> in Brazil and China, the organization’s work is primarily oriented to “delivering thinking”, such as through advocacy and policy dialogue and advice.  In contrast, in a humanitarian crisis or in a setting with high need and low ability to respond, UNFPA is called upon to deliver a fuller range of interventions, from advocacy and policy dialogue and advice through knowledge management and capacity development to service delivery (particularly in humanitarian settings).</w:t>
      </w:r>
    </w:p>
    <w:p w:rsidR="00177EDF" w:rsidRPr="00F84D3B" w:rsidRDefault="00177EDF" w:rsidP="00177EDF">
      <w:pPr>
        <w:ind w:left="1080" w:right="720"/>
        <w:jc w:val="both"/>
        <w:rPr>
          <w:lang w:val="en-US"/>
        </w:rPr>
      </w:pPr>
    </w:p>
    <w:p w:rsidR="00177EDF" w:rsidRPr="00F84D3B" w:rsidRDefault="00177EDF" w:rsidP="00177EDF">
      <w:pPr>
        <w:numPr>
          <w:ilvl w:val="0"/>
          <w:numId w:val="2"/>
        </w:numPr>
        <w:ind w:left="1080" w:right="720" w:firstLine="0"/>
        <w:jc w:val="both"/>
        <w:rPr>
          <w:lang w:val="en-US"/>
        </w:rPr>
      </w:pPr>
      <w:r w:rsidRPr="00F84D3B">
        <w:rPr>
          <w:lang w:val="en-US"/>
        </w:rPr>
        <w:t xml:space="preserve">UNFPA does not currently have a systematic way of describing its interventions in different settings, an issue that is being addressed in the context of a reexamination of the organization’s business model.  However, this issue is also important for the RAS, because at the most basic level resources are being allocated to deliver a set of interventions.  The amount of resources required to deliver a full package of interventions (including advocacy </w:t>
      </w:r>
      <w:r w:rsidRPr="00F84D3B">
        <w:rPr>
          <w:lang w:val="en-US"/>
        </w:rPr>
        <w:lastRenderedPageBreak/>
        <w:t>and policy dialogue and advice, knowledge management, capacity development, and service delivery) will obviously be different from the amount of resources required to deliver only advocacy and policy dialogue and advice.</w:t>
      </w:r>
    </w:p>
    <w:p w:rsidR="00177EDF" w:rsidRPr="00F84D3B" w:rsidRDefault="00177EDF" w:rsidP="00177EDF">
      <w:pPr>
        <w:ind w:left="1080" w:right="720"/>
        <w:jc w:val="both"/>
        <w:rPr>
          <w:lang w:val="en-US"/>
        </w:rPr>
      </w:pPr>
    </w:p>
    <w:p w:rsidR="00177EDF" w:rsidRPr="00F84D3B" w:rsidRDefault="00177EDF" w:rsidP="00177EDF">
      <w:pPr>
        <w:numPr>
          <w:ilvl w:val="0"/>
          <w:numId w:val="2"/>
        </w:numPr>
        <w:ind w:left="1080" w:right="720" w:firstLine="0"/>
        <w:jc w:val="both"/>
        <w:rPr>
          <w:lang w:val="en-US"/>
        </w:rPr>
      </w:pPr>
      <w:r w:rsidRPr="00F84D3B">
        <w:rPr>
          <w:lang w:val="en-US"/>
        </w:rPr>
        <w:t>The natural corollary of this is that the allocation of resources should be based on the interventions to be delivered in a given setting.  Currently, though, there is no connection between RAS and types of interventions to be delivered.</w:t>
      </w:r>
    </w:p>
    <w:p w:rsidR="00177EDF" w:rsidRPr="00F84D3B" w:rsidRDefault="00177EDF" w:rsidP="00177EDF">
      <w:pPr>
        <w:ind w:left="1080" w:right="720"/>
        <w:jc w:val="both"/>
        <w:rPr>
          <w:lang w:val="en-US"/>
        </w:rPr>
      </w:pPr>
    </w:p>
    <w:p w:rsidR="00177EDF" w:rsidRPr="000824F9" w:rsidRDefault="00177EDF" w:rsidP="00177EDF">
      <w:pPr>
        <w:pStyle w:val="Heading3"/>
        <w:numPr>
          <w:ilvl w:val="0"/>
          <w:numId w:val="24"/>
        </w:numPr>
        <w:ind w:left="1440"/>
      </w:pPr>
      <w:r w:rsidRPr="000824F9">
        <w:t>Current system not optimizing impact</w:t>
      </w:r>
    </w:p>
    <w:p w:rsidR="00177EDF" w:rsidRDefault="00177EDF" w:rsidP="00177EDF">
      <w:pPr>
        <w:ind w:left="1080" w:right="720"/>
        <w:jc w:val="both"/>
        <w:rPr>
          <w:lang w:val="en-US"/>
        </w:rPr>
      </w:pPr>
    </w:p>
    <w:p w:rsidR="00177EDF" w:rsidRDefault="00177EDF" w:rsidP="00656376">
      <w:pPr>
        <w:numPr>
          <w:ilvl w:val="0"/>
          <w:numId w:val="2"/>
        </w:numPr>
        <w:ind w:left="1080" w:right="720" w:firstLine="0"/>
        <w:jc w:val="both"/>
        <w:rPr>
          <w:lang w:val="en-US"/>
        </w:rPr>
      </w:pPr>
      <w:r w:rsidRPr="00656376">
        <w:rPr>
          <w:lang w:val="en-US"/>
        </w:rPr>
        <w:t>One of the essential functions of any system that allocates resources is to direct them to where they are likely to lead to impact.  The UNFPA current system accounts for this to some extent by focusing on need in the selection of indicators and categorizing of countries, but it does not have a more structured mechanism for optimizing impact.  For example, UNFPA resources are more likely to improve the lives of women, adolescents and youth if they are directed through high-performing country offices that have a track record of successful programming, but there is currently no systematic way to assess this and reward good performance.  As a result, UNFPA does not channel increased resources to those countries that are able to make the best use of them.</w:t>
      </w:r>
    </w:p>
    <w:p w:rsidR="00656376" w:rsidRPr="00656376" w:rsidRDefault="00656376" w:rsidP="00656376">
      <w:pPr>
        <w:ind w:left="1080" w:right="720"/>
        <w:jc w:val="both"/>
        <w:rPr>
          <w:lang w:val="en-US"/>
        </w:rPr>
      </w:pPr>
    </w:p>
    <w:p w:rsidR="00177EDF" w:rsidRPr="000824F9" w:rsidRDefault="00177EDF" w:rsidP="00177EDF">
      <w:pPr>
        <w:pStyle w:val="Heading3"/>
        <w:numPr>
          <w:ilvl w:val="0"/>
          <w:numId w:val="24"/>
        </w:numPr>
        <w:ind w:left="1440"/>
      </w:pPr>
      <w:r w:rsidRPr="000824F9">
        <w:t>Current system not well suited to humanitarian crises and other emerging threats and opportunities</w:t>
      </w:r>
    </w:p>
    <w:p w:rsidR="00177EDF" w:rsidRDefault="00177EDF" w:rsidP="00177EDF">
      <w:pPr>
        <w:ind w:left="1080" w:right="720"/>
        <w:jc w:val="both"/>
        <w:rPr>
          <w:lang w:val="en-US"/>
        </w:rPr>
      </w:pPr>
    </w:p>
    <w:p w:rsidR="00177EDF" w:rsidRPr="00F84D3B" w:rsidRDefault="00177EDF" w:rsidP="00177EDF">
      <w:pPr>
        <w:numPr>
          <w:ilvl w:val="0"/>
          <w:numId w:val="2"/>
        </w:numPr>
        <w:ind w:left="1080" w:right="720" w:firstLine="0"/>
        <w:jc w:val="both"/>
        <w:rPr>
          <w:lang w:val="en-US"/>
        </w:rPr>
      </w:pPr>
      <w:r w:rsidRPr="00F84D3B">
        <w:rPr>
          <w:lang w:val="en-US"/>
        </w:rPr>
        <w:t>The world in which UNFPA works is highly unpredictable.  Earthquakes or hurricanes can strike suddenly in areas that were previously calm and untroubled, while armed conflict can arise with little warning in countries that had been considered stable, as happened recently in Mali.  Opportunities can also present themselves on short notice, whether as a result of political changes or technological breakthroughs.</w:t>
      </w:r>
    </w:p>
    <w:p w:rsidR="00177EDF" w:rsidRPr="00F84D3B" w:rsidRDefault="00177EDF" w:rsidP="00177EDF">
      <w:pPr>
        <w:ind w:left="1080" w:right="720"/>
        <w:jc w:val="both"/>
        <w:rPr>
          <w:lang w:val="en-US"/>
        </w:rPr>
      </w:pPr>
    </w:p>
    <w:p w:rsidR="00177EDF" w:rsidRPr="00F84D3B" w:rsidRDefault="00177EDF" w:rsidP="00177EDF">
      <w:pPr>
        <w:numPr>
          <w:ilvl w:val="0"/>
          <w:numId w:val="2"/>
        </w:numPr>
        <w:ind w:left="1080" w:right="720" w:firstLine="0"/>
        <w:jc w:val="both"/>
        <w:rPr>
          <w:lang w:val="en-US"/>
        </w:rPr>
      </w:pPr>
      <w:r w:rsidRPr="00F84D3B">
        <w:rPr>
          <w:lang w:val="en-US"/>
        </w:rPr>
        <w:t>When either a humanitarian crisis or other threat occurs or when an opportunity emerges suddenly, UNFPA needs to be able to respond rapidly.  At the moment, there are small pots of resources that can be used for humanitarian crises or new corporate projects, but they are considerably smaller (in both absolute and relative terms) than the amounts of money that both UNDP and UNICEF set aside before they divvy up the remainder through their equivalents of the RAS.</w:t>
      </w:r>
    </w:p>
    <w:p w:rsidR="00177EDF" w:rsidRPr="00F84D3B" w:rsidRDefault="00177EDF" w:rsidP="00177EDF">
      <w:pPr>
        <w:ind w:left="1080" w:right="720"/>
        <w:jc w:val="both"/>
        <w:rPr>
          <w:lang w:val="en-US"/>
        </w:rPr>
      </w:pPr>
    </w:p>
    <w:p w:rsidR="00177EDF" w:rsidRPr="00F84D3B" w:rsidRDefault="00177EDF" w:rsidP="00177EDF">
      <w:pPr>
        <w:numPr>
          <w:ilvl w:val="0"/>
          <w:numId w:val="2"/>
        </w:numPr>
        <w:ind w:left="1080" w:right="720" w:firstLine="0"/>
        <w:jc w:val="both"/>
        <w:rPr>
          <w:lang w:val="en-US"/>
        </w:rPr>
      </w:pPr>
      <w:r w:rsidRPr="00F84D3B">
        <w:rPr>
          <w:lang w:val="en-US"/>
        </w:rPr>
        <w:t xml:space="preserve">The implication of this is that UNFPA is more heavily reliant on less predictable other resources in these situations.  As a result, responding to humanitarian crises is more challenging, and the organization is less able to channel resources to innovative responses to emerging issues. </w:t>
      </w:r>
    </w:p>
    <w:p w:rsidR="00177EDF" w:rsidRPr="00F84D3B" w:rsidRDefault="00177EDF" w:rsidP="00177EDF">
      <w:pPr>
        <w:ind w:left="1080" w:right="720"/>
        <w:jc w:val="both"/>
        <w:rPr>
          <w:lang w:val="en-US"/>
        </w:rPr>
      </w:pPr>
    </w:p>
    <w:p w:rsidR="00177EDF" w:rsidRPr="000824F9" w:rsidRDefault="00177EDF" w:rsidP="00177EDF">
      <w:pPr>
        <w:pStyle w:val="Heading3"/>
        <w:numPr>
          <w:ilvl w:val="0"/>
          <w:numId w:val="24"/>
        </w:numPr>
        <w:ind w:left="1440"/>
      </w:pPr>
      <w:r w:rsidRPr="000824F9">
        <w:t>Leaving the current system unchanged except for updating indicator data would result in a challenging situation</w:t>
      </w:r>
    </w:p>
    <w:p w:rsidR="00177EDF" w:rsidRDefault="00177EDF" w:rsidP="00177EDF">
      <w:pPr>
        <w:ind w:left="1080" w:right="720"/>
        <w:jc w:val="both"/>
        <w:rPr>
          <w:lang w:val="en-US"/>
        </w:rPr>
      </w:pPr>
    </w:p>
    <w:p w:rsidR="00177EDF" w:rsidRPr="00F84D3B" w:rsidRDefault="00177EDF" w:rsidP="00177EDF">
      <w:pPr>
        <w:numPr>
          <w:ilvl w:val="0"/>
          <w:numId w:val="2"/>
        </w:numPr>
        <w:ind w:left="1080" w:right="720" w:firstLine="0"/>
        <w:jc w:val="both"/>
        <w:rPr>
          <w:lang w:val="en-US"/>
        </w:rPr>
      </w:pPr>
      <w:r w:rsidRPr="00F84D3B">
        <w:rPr>
          <w:lang w:val="en-US"/>
        </w:rPr>
        <w:t>Despite the challenges listed above, it would be possible to leave the RAS unchanged and simply update country groups based on changes in the data associated with the eight indicators.  However, it is important to understand that this approach would also lead to significant changes, as 22 countries would be slated to move between categories based on the latest data, as follows:</w:t>
      </w:r>
    </w:p>
    <w:p w:rsidR="00177EDF" w:rsidRPr="00F84D3B" w:rsidRDefault="00177EDF" w:rsidP="00177EDF">
      <w:pPr>
        <w:numPr>
          <w:ilvl w:val="0"/>
          <w:numId w:val="10"/>
        </w:numPr>
        <w:ind w:right="720"/>
        <w:jc w:val="both"/>
        <w:rPr>
          <w:lang w:val="en-US"/>
        </w:rPr>
      </w:pPr>
      <w:r w:rsidRPr="00F84D3B">
        <w:rPr>
          <w:lang w:val="en-US"/>
        </w:rPr>
        <w:t>From Group A to Group B: 5 countries;</w:t>
      </w:r>
    </w:p>
    <w:p w:rsidR="00177EDF" w:rsidRPr="00F84D3B" w:rsidRDefault="00177EDF" w:rsidP="00177EDF">
      <w:pPr>
        <w:numPr>
          <w:ilvl w:val="0"/>
          <w:numId w:val="10"/>
        </w:numPr>
        <w:ind w:right="720"/>
        <w:jc w:val="both"/>
        <w:rPr>
          <w:lang w:val="en-US"/>
        </w:rPr>
      </w:pPr>
      <w:r w:rsidRPr="00F84D3B">
        <w:rPr>
          <w:lang w:val="en-US"/>
        </w:rPr>
        <w:t>From Group B to Group C: 14 countries;</w:t>
      </w:r>
    </w:p>
    <w:p w:rsidR="00177EDF" w:rsidRPr="00F84D3B" w:rsidRDefault="00177EDF" w:rsidP="00177EDF">
      <w:pPr>
        <w:numPr>
          <w:ilvl w:val="0"/>
          <w:numId w:val="10"/>
        </w:numPr>
        <w:ind w:right="720"/>
        <w:jc w:val="both"/>
        <w:rPr>
          <w:lang w:val="en-US"/>
        </w:rPr>
      </w:pPr>
      <w:r w:rsidRPr="00F84D3B">
        <w:rPr>
          <w:lang w:val="en-US"/>
        </w:rPr>
        <w:t>From Group C to Group B: 3 countries.</w:t>
      </w:r>
    </w:p>
    <w:p w:rsidR="00177EDF" w:rsidRPr="00F84D3B" w:rsidRDefault="00177EDF" w:rsidP="00177EDF">
      <w:pPr>
        <w:ind w:left="1080" w:right="720"/>
        <w:jc w:val="both"/>
        <w:rPr>
          <w:lang w:val="en-US"/>
        </w:rPr>
      </w:pPr>
    </w:p>
    <w:p w:rsidR="00177EDF" w:rsidRPr="00F84D3B" w:rsidRDefault="00177EDF" w:rsidP="00177EDF">
      <w:pPr>
        <w:numPr>
          <w:ilvl w:val="0"/>
          <w:numId w:val="2"/>
        </w:numPr>
        <w:ind w:left="1080" w:right="720" w:firstLine="0"/>
        <w:jc w:val="both"/>
        <w:rPr>
          <w:lang w:val="en-US"/>
        </w:rPr>
      </w:pPr>
      <w:r w:rsidRPr="00F84D3B">
        <w:rPr>
          <w:lang w:val="en-US"/>
        </w:rPr>
        <w:lastRenderedPageBreak/>
        <w:t xml:space="preserve">The revised number of countries and population shares that would result from these changes (assuming that the RAS is not modified </w:t>
      </w:r>
      <w:r>
        <w:rPr>
          <w:lang w:val="en-US"/>
        </w:rPr>
        <w:t>in any other way) are shown in t</w:t>
      </w:r>
      <w:r w:rsidRPr="00F84D3B">
        <w:rPr>
          <w:lang w:val="en-US"/>
        </w:rPr>
        <w:t>able 4.</w:t>
      </w:r>
    </w:p>
    <w:p w:rsidR="00177EDF" w:rsidRPr="00F84D3B" w:rsidRDefault="00177EDF" w:rsidP="00177EDF">
      <w:pPr>
        <w:ind w:left="1080" w:right="720"/>
        <w:jc w:val="both"/>
        <w:rPr>
          <w:lang w:val="en-US"/>
        </w:rPr>
      </w:pPr>
    </w:p>
    <w:p w:rsidR="00177EDF" w:rsidRPr="00F84D3B" w:rsidRDefault="00177EDF" w:rsidP="00177EDF">
      <w:pPr>
        <w:ind w:left="1080" w:right="720"/>
        <w:jc w:val="both"/>
        <w:rPr>
          <w:b/>
          <w:lang w:val="en-US"/>
        </w:rPr>
      </w:pPr>
      <w:r w:rsidRPr="00F84D3B">
        <w:rPr>
          <w:b/>
          <w:lang w:val="en-US"/>
        </w:rPr>
        <w:t>Table 4: Changes to country groups based on shifts in data</w:t>
      </w:r>
    </w:p>
    <w:tbl>
      <w:tblPr>
        <w:tblW w:w="0" w:type="auto"/>
        <w:tblInd w:w="1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0"/>
        <w:gridCol w:w="1642"/>
        <w:gridCol w:w="1643"/>
        <w:gridCol w:w="1642"/>
        <w:gridCol w:w="1643"/>
      </w:tblGrid>
      <w:tr w:rsidR="00177EDF" w:rsidRPr="00DF6B08" w:rsidTr="009B383D">
        <w:tc>
          <w:tcPr>
            <w:tcW w:w="900" w:type="dxa"/>
            <w:shd w:val="clear" w:color="auto" w:fill="auto"/>
          </w:tcPr>
          <w:p w:rsidR="00177EDF" w:rsidRPr="00DF6B08" w:rsidRDefault="00177EDF" w:rsidP="009B383D">
            <w:pPr>
              <w:ind w:right="-11"/>
              <w:jc w:val="both"/>
              <w:rPr>
                <w:rFonts w:eastAsia="Calibri"/>
                <w:b/>
                <w:sz w:val="18"/>
                <w:lang w:val="en-US"/>
              </w:rPr>
            </w:pPr>
          </w:p>
        </w:tc>
        <w:tc>
          <w:tcPr>
            <w:tcW w:w="3285" w:type="dxa"/>
            <w:gridSpan w:val="2"/>
            <w:shd w:val="clear" w:color="auto" w:fill="auto"/>
          </w:tcPr>
          <w:p w:rsidR="00177EDF" w:rsidRPr="00DF6B08" w:rsidRDefault="00177EDF" w:rsidP="009B383D">
            <w:pPr>
              <w:jc w:val="both"/>
              <w:rPr>
                <w:rFonts w:eastAsia="Calibri"/>
                <w:b/>
                <w:sz w:val="18"/>
                <w:lang w:val="en-US"/>
              </w:rPr>
            </w:pPr>
            <w:r w:rsidRPr="00DF6B08">
              <w:rPr>
                <w:rFonts w:eastAsia="Calibri"/>
                <w:b/>
                <w:sz w:val="18"/>
                <w:lang w:val="en-US"/>
              </w:rPr>
              <w:t>2008</w:t>
            </w:r>
          </w:p>
        </w:tc>
        <w:tc>
          <w:tcPr>
            <w:tcW w:w="3285" w:type="dxa"/>
            <w:gridSpan w:val="2"/>
            <w:shd w:val="clear" w:color="auto" w:fill="auto"/>
          </w:tcPr>
          <w:p w:rsidR="00177EDF" w:rsidRPr="00DF6B08" w:rsidRDefault="00177EDF" w:rsidP="009B383D">
            <w:pPr>
              <w:ind w:right="-18"/>
              <w:jc w:val="both"/>
              <w:rPr>
                <w:rFonts w:eastAsia="Calibri"/>
                <w:b/>
                <w:sz w:val="18"/>
                <w:lang w:val="en-US"/>
              </w:rPr>
            </w:pPr>
            <w:r w:rsidRPr="00DF6B08">
              <w:rPr>
                <w:rFonts w:eastAsia="Calibri"/>
                <w:b/>
                <w:sz w:val="18"/>
                <w:lang w:val="en-US"/>
              </w:rPr>
              <w:t>2013</w:t>
            </w:r>
          </w:p>
        </w:tc>
      </w:tr>
      <w:tr w:rsidR="00177EDF" w:rsidRPr="00DF6B08" w:rsidTr="009B383D">
        <w:trPr>
          <w:trHeight w:val="377"/>
        </w:trPr>
        <w:tc>
          <w:tcPr>
            <w:tcW w:w="900" w:type="dxa"/>
            <w:shd w:val="clear" w:color="auto" w:fill="auto"/>
            <w:hideMark/>
          </w:tcPr>
          <w:p w:rsidR="00177EDF" w:rsidRPr="00DF6B08" w:rsidRDefault="00177EDF" w:rsidP="009B383D">
            <w:pPr>
              <w:ind w:right="-11"/>
              <w:rPr>
                <w:rFonts w:eastAsia="Calibri"/>
                <w:b/>
                <w:sz w:val="18"/>
                <w:lang w:val="en-US"/>
              </w:rPr>
            </w:pPr>
            <w:r w:rsidRPr="00DF6B08">
              <w:rPr>
                <w:rFonts w:eastAsia="Calibri"/>
                <w:b/>
                <w:bCs/>
                <w:sz w:val="18"/>
                <w:lang w:val="en-US"/>
              </w:rPr>
              <w:t>Group</w:t>
            </w:r>
          </w:p>
        </w:tc>
        <w:tc>
          <w:tcPr>
            <w:tcW w:w="1642" w:type="dxa"/>
            <w:shd w:val="clear" w:color="auto" w:fill="auto"/>
            <w:hideMark/>
          </w:tcPr>
          <w:p w:rsidR="00177EDF" w:rsidRPr="00DF6B08" w:rsidRDefault="00177EDF" w:rsidP="009B383D">
            <w:pPr>
              <w:rPr>
                <w:rFonts w:eastAsia="Calibri"/>
                <w:b/>
                <w:sz w:val="18"/>
                <w:lang w:val="en-US"/>
              </w:rPr>
            </w:pPr>
            <w:r w:rsidRPr="00DF6B08">
              <w:rPr>
                <w:rFonts w:eastAsia="Calibri"/>
                <w:b/>
                <w:bCs/>
                <w:sz w:val="18"/>
                <w:lang w:val="en-US"/>
              </w:rPr>
              <w:t>Number of countries</w:t>
            </w:r>
          </w:p>
        </w:tc>
        <w:tc>
          <w:tcPr>
            <w:tcW w:w="1643" w:type="dxa"/>
            <w:shd w:val="clear" w:color="auto" w:fill="auto"/>
            <w:hideMark/>
          </w:tcPr>
          <w:p w:rsidR="00177EDF" w:rsidRPr="00DF6B08" w:rsidRDefault="00177EDF" w:rsidP="009B383D">
            <w:pPr>
              <w:rPr>
                <w:rFonts w:eastAsia="Calibri"/>
                <w:b/>
                <w:sz w:val="18"/>
                <w:lang w:val="en-US"/>
              </w:rPr>
            </w:pPr>
            <w:r w:rsidRPr="00DF6B08">
              <w:rPr>
                <w:rFonts w:eastAsia="Calibri"/>
                <w:b/>
                <w:bCs/>
                <w:sz w:val="18"/>
                <w:lang w:val="en-US"/>
              </w:rPr>
              <w:t>Share of population</w:t>
            </w:r>
          </w:p>
        </w:tc>
        <w:tc>
          <w:tcPr>
            <w:tcW w:w="1642" w:type="dxa"/>
            <w:shd w:val="clear" w:color="auto" w:fill="auto"/>
            <w:hideMark/>
          </w:tcPr>
          <w:p w:rsidR="00177EDF" w:rsidRPr="00DF6B08" w:rsidRDefault="00177EDF" w:rsidP="009B383D">
            <w:pPr>
              <w:ind w:left="47" w:right="33"/>
              <w:rPr>
                <w:rFonts w:eastAsia="Calibri"/>
                <w:b/>
                <w:sz w:val="18"/>
                <w:lang w:val="en-US"/>
              </w:rPr>
            </w:pPr>
            <w:r w:rsidRPr="00DF6B08">
              <w:rPr>
                <w:rFonts w:eastAsia="Calibri"/>
                <w:b/>
                <w:bCs/>
                <w:sz w:val="18"/>
                <w:lang w:val="en-US"/>
              </w:rPr>
              <w:t>Number of countries</w:t>
            </w:r>
          </w:p>
        </w:tc>
        <w:tc>
          <w:tcPr>
            <w:tcW w:w="1643" w:type="dxa"/>
            <w:shd w:val="clear" w:color="auto" w:fill="auto"/>
            <w:hideMark/>
          </w:tcPr>
          <w:p w:rsidR="00177EDF" w:rsidRPr="00DF6B08" w:rsidRDefault="00177EDF" w:rsidP="009B383D">
            <w:pPr>
              <w:ind w:left="21"/>
              <w:rPr>
                <w:rFonts w:eastAsia="Calibri"/>
                <w:b/>
                <w:sz w:val="18"/>
                <w:lang w:val="en-US"/>
              </w:rPr>
            </w:pPr>
            <w:r w:rsidRPr="00DF6B08">
              <w:rPr>
                <w:rFonts w:eastAsia="Calibri"/>
                <w:b/>
                <w:bCs/>
                <w:sz w:val="18"/>
                <w:lang w:val="en-US"/>
              </w:rPr>
              <w:t>Share of population</w:t>
            </w:r>
          </w:p>
        </w:tc>
      </w:tr>
      <w:tr w:rsidR="00177EDF" w:rsidRPr="00DF6B08" w:rsidTr="009B383D">
        <w:trPr>
          <w:trHeight w:val="143"/>
        </w:trPr>
        <w:tc>
          <w:tcPr>
            <w:tcW w:w="900" w:type="dxa"/>
            <w:shd w:val="clear" w:color="auto" w:fill="auto"/>
            <w:hideMark/>
          </w:tcPr>
          <w:p w:rsidR="00177EDF" w:rsidRPr="00DF6B08" w:rsidRDefault="00177EDF" w:rsidP="009B383D">
            <w:pPr>
              <w:ind w:right="-11"/>
              <w:jc w:val="both"/>
              <w:rPr>
                <w:rFonts w:eastAsia="Calibri"/>
                <w:b/>
                <w:sz w:val="18"/>
                <w:lang w:val="en-US"/>
              </w:rPr>
            </w:pPr>
            <w:r w:rsidRPr="00DF6B08">
              <w:rPr>
                <w:rFonts w:eastAsia="Calibri"/>
                <w:b/>
                <w:bCs/>
                <w:sz w:val="18"/>
                <w:lang w:val="en-US"/>
              </w:rPr>
              <w:t>A</w:t>
            </w:r>
          </w:p>
        </w:tc>
        <w:tc>
          <w:tcPr>
            <w:tcW w:w="1642" w:type="dxa"/>
            <w:shd w:val="clear" w:color="auto" w:fill="auto"/>
            <w:hideMark/>
          </w:tcPr>
          <w:p w:rsidR="00177EDF" w:rsidRPr="00DF6B08" w:rsidRDefault="00177EDF" w:rsidP="009B383D">
            <w:pPr>
              <w:jc w:val="both"/>
              <w:rPr>
                <w:rFonts w:eastAsia="Calibri"/>
                <w:sz w:val="18"/>
                <w:lang w:val="en-US"/>
              </w:rPr>
            </w:pPr>
            <w:r w:rsidRPr="00DF6B08">
              <w:rPr>
                <w:rFonts w:eastAsia="Calibri"/>
                <w:sz w:val="18"/>
                <w:lang w:val="en-US"/>
              </w:rPr>
              <w:t>66</w:t>
            </w:r>
          </w:p>
        </w:tc>
        <w:tc>
          <w:tcPr>
            <w:tcW w:w="1643" w:type="dxa"/>
            <w:shd w:val="clear" w:color="auto" w:fill="auto"/>
            <w:hideMark/>
          </w:tcPr>
          <w:p w:rsidR="00177EDF" w:rsidRPr="00DF6B08" w:rsidRDefault="00177EDF" w:rsidP="009B383D">
            <w:pPr>
              <w:jc w:val="both"/>
              <w:rPr>
                <w:rFonts w:eastAsia="Calibri"/>
                <w:sz w:val="18"/>
                <w:lang w:val="en-US"/>
              </w:rPr>
            </w:pPr>
            <w:r w:rsidRPr="00DF6B08">
              <w:rPr>
                <w:rFonts w:eastAsia="Calibri"/>
                <w:sz w:val="18"/>
                <w:lang w:val="en-US"/>
              </w:rPr>
              <w:t>43%</w:t>
            </w:r>
          </w:p>
        </w:tc>
        <w:tc>
          <w:tcPr>
            <w:tcW w:w="1642" w:type="dxa"/>
            <w:shd w:val="clear" w:color="auto" w:fill="auto"/>
            <w:hideMark/>
          </w:tcPr>
          <w:p w:rsidR="00177EDF" w:rsidRPr="00DF6B08" w:rsidRDefault="00177EDF" w:rsidP="009B383D">
            <w:pPr>
              <w:ind w:left="47" w:right="33"/>
              <w:jc w:val="both"/>
              <w:rPr>
                <w:rFonts w:eastAsia="Calibri"/>
                <w:sz w:val="18"/>
                <w:lang w:val="en-US"/>
              </w:rPr>
            </w:pPr>
            <w:r w:rsidRPr="00DF6B08">
              <w:rPr>
                <w:rFonts w:eastAsia="Calibri"/>
                <w:sz w:val="18"/>
                <w:lang w:val="en-US"/>
              </w:rPr>
              <w:t>62</w:t>
            </w:r>
          </w:p>
        </w:tc>
        <w:tc>
          <w:tcPr>
            <w:tcW w:w="1643" w:type="dxa"/>
            <w:shd w:val="clear" w:color="auto" w:fill="auto"/>
            <w:hideMark/>
          </w:tcPr>
          <w:p w:rsidR="00177EDF" w:rsidRPr="00DF6B08" w:rsidRDefault="00177EDF" w:rsidP="009B383D">
            <w:pPr>
              <w:ind w:left="21"/>
              <w:jc w:val="both"/>
              <w:rPr>
                <w:rFonts w:eastAsia="Calibri"/>
                <w:sz w:val="18"/>
                <w:lang w:val="en-US"/>
              </w:rPr>
            </w:pPr>
            <w:r w:rsidRPr="00DF6B08">
              <w:rPr>
                <w:rFonts w:eastAsia="Calibri"/>
                <w:sz w:val="18"/>
                <w:lang w:val="en-US"/>
              </w:rPr>
              <w:t>43%</w:t>
            </w:r>
          </w:p>
        </w:tc>
      </w:tr>
      <w:tr w:rsidR="00177EDF" w:rsidRPr="00DF6B08" w:rsidTr="009B383D">
        <w:trPr>
          <w:trHeight w:val="197"/>
        </w:trPr>
        <w:tc>
          <w:tcPr>
            <w:tcW w:w="900" w:type="dxa"/>
            <w:shd w:val="clear" w:color="auto" w:fill="auto"/>
            <w:hideMark/>
          </w:tcPr>
          <w:p w:rsidR="00177EDF" w:rsidRPr="00DF6B08" w:rsidRDefault="00177EDF" w:rsidP="009B383D">
            <w:pPr>
              <w:ind w:right="-11"/>
              <w:jc w:val="both"/>
              <w:rPr>
                <w:rFonts w:eastAsia="Calibri"/>
                <w:b/>
                <w:sz w:val="18"/>
                <w:lang w:val="en-US"/>
              </w:rPr>
            </w:pPr>
            <w:r w:rsidRPr="00DF6B08">
              <w:rPr>
                <w:rFonts w:eastAsia="Calibri"/>
                <w:b/>
                <w:bCs/>
                <w:sz w:val="18"/>
                <w:lang w:val="en-US"/>
              </w:rPr>
              <w:t>B</w:t>
            </w:r>
          </w:p>
        </w:tc>
        <w:tc>
          <w:tcPr>
            <w:tcW w:w="1642" w:type="dxa"/>
            <w:shd w:val="clear" w:color="auto" w:fill="auto"/>
            <w:hideMark/>
          </w:tcPr>
          <w:p w:rsidR="00177EDF" w:rsidRPr="00DF6B08" w:rsidRDefault="00177EDF" w:rsidP="009B383D">
            <w:pPr>
              <w:jc w:val="both"/>
              <w:rPr>
                <w:rFonts w:eastAsia="Calibri"/>
                <w:sz w:val="18"/>
                <w:lang w:val="en-US"/>
              </w:rPr>
            </w:pPr>
            <w:r w:rsidRPr="00DF6B08">
              <w:rPr>
                <w:rFonts w:eastAsia="Calibri"/>
                <w:sz w:val="18"/>
                <w:lang w:val="en-US"/>
              </w:rPr>
              <w:t>41</w:t>
            </w:r>
          </w:p>
        </w:tc>
        <w:tc>
          <w:tcPr>
            <w:tcW w:w="1643" w:type="dxa"/>
            <w:shd w:val="clear" w:color="auto" w:fill="auto"/>
            <w:hideMark/>
          </w:tcPr>
          <w:p w:rsidR="00177EDF" w:rsidRPr="00DF6B08" w:rsidRDefault="00177EDF" w:rsidP="009B383D">
            <w:pPr>
              <w:jc w:val="both"/>
              <w:rPr>
                <w:rFonts w:eastAsia="Calibri"/>
                <w:sz w:val="18"/>
                <w:lang w:val="en-US"/>
              </w:rPr>
            </w:pPr>
            <w:r w:rsidRPr="00DF6B08">
              <w:rPr>
                <w:rFonts w:eastAsia="Calibri"/>
                <w:bCs/>
                <w:iCs/>
                <w:sz w:val="18"/>
                <w:lang w:val="en-US"/>
              </w:rPr>
              <w:t>22%</w:t>
            </w:r>
          </w:p>
        </w:tc>
        <w:tc>
          <w:tcPr>
            <w:tcW w:w="1642" w:type="dxa"/>
            <w:shd w:val="clear" w:color="auto" w:fill="auto"/>
            <w:hideMark/>
          </w:tcPr>
          <w:p w:rsidR="00177EDF" w:rsidRPr="00DF6B08" w:rsidRDefault="00177EDF" w:rsidP="009B383D">
            <w:pPr>
              <w:ind w:left="47" w:right="33"/>
              <w:jc w:val="both"/>
              <w:rPr>
                <w:rFonts w:eastAsia="Calibri"/>
                <w:sz w:val="18"/>
                <w:lang w:val="en-US"/>
              </w:rPr>
            </w:pPr>
            <w:r w:rsidRPr="00DF6B08">
              <w:rPr>
                <w:rFonts w:eastAsia="Calibri"/>
                <w:sz w:val="18"/>
                <w:lang w:val="en-US"/>
              </w:rPr>
              <w:t>35</w:t>
            </w:r>
          </w:p>
        </w:tc>
        <w:tc>
          <w:tcPr>
            <w:tcW w:w="1643" w:type="dxa"/>
            <w:shd w:val="clear" w:color="auto" w:fill="auto"/>
            <w:hideMark/>
          </w:tcPr>
          <w:p w:rsidR="00177EDF" w:rsidRPr="00DF6B08" w:rsidRDefault="00177EDF" w:rsidP="009B383D">
            <w:pPr>
              <w:ind w:left="21"/>
              <w:jc w:val="both"/>
              <w:rPr>
                <w:rFonts w:eastAsia="Calibri"/>
                <w:sz w:val="18"/>
                <w:lang w:val="en-US"/>
              </w:rPr>
            </w:pPr>
            <w:r w:rsidRPr="00DF6B08">
              <w:rPr>
                <w:rFonts w:eastAsia="Calibri"/>
                <w:bCs/>
                <w:iCs/>
                <w:sz w:val="18"/>
                <w:lang w:val="en-US"/>
              </w:rPr>
              <w:t>16%</w:t>
            </w:r>
          </w:p>
        </w:tc>
      </w:tr>
      <w:tr w:rsidR="00177EDF" w:rsidRPr="00DF6B08" w:rsidTr="009B383D">
        <w:trPr>
          <w:trHeight w:val="197"/>
        </w:trPr>
        <w:tc>
          <w:tcPr>
            <w:tcW w:w="900" w:type="dxa"/>
            <w:shd w:val="clear" w:color="auto" w:fill="auto"/>
            <w:hideMark/>
          </w:tcPr>
          <w:p w:rsidR="00177EDF" w:rsidRPr="00DF6B08" w:rsidRDefault="00177EDF" w:rsidP="009B383D">
            <w:pPr>
              <w:ind w:right="-11"/>
              <w:jc w:val="both"/>
              <w:rPr>
                <w:rFonts w:eastAsia="Calibri"/>
                <w:b/>
                <w:sz w:val="18"/>
                <w:lang w:val="en-US"/>
              </w:rPr>
            </w:pPr>
            <w:r w:rsidRPr="00DF6B08">
              <w:rPr>
                <w:rFonts w:eastAsia="Calibri"/>
                <w:b/>
                <w:bCs/>
                <w:sz w:val="18"/>
                <w:lang w:val="en-US"/>
              </w:rPr>
              <w:t>C</w:t>
            </w:r>
          </w:p>
        </w:tc>
        <w:tc>
          <w:tcPr>
            <w:tcW w:w="1642" w:type="dxa"/>
            <w:shd w:val="clear" w:color="auto" w:fill="auto"/>
            <w:hideMark/>
          </w:tcPr>
          <w:p w:rsidR="00177EDF" w:rsidRPr="00DF6B08" w:rsidRDefault="00177EDF" w:rsidP="009B383D">
            <w:pPr>
              <w:jc w:val="both"/>
              <w:rPr>
                <w:rFonts w:eastAsia="Calibri"/>
                <w:sz w:val="18"/>
                <w:lang w:val="en-US"/>
              </w:rPr>
            </w:pPr>
            <w:r w:rsidRPr="00DF6B08">
              <w:rPr>
                <w:rFonts w:eastAsia="Calibri"/>
                <w:bCs/>
                <w:iCs/>
                <w:sz w:val="18"/>
                <w:lang w:val="en-US"/>
              </w:rPr>
              <w:t>26</w:t>
            </w:r>
          </w:p>
        </w:tc>
        <w:tc>
          <w:tcPr>
            <w:tcW w:w="1643" w:type="dxa"/>
            <w:shd w:val="clear" w:color="auto" w:fill="auto"/>
            <w:hideMark/>
          </w:tcPr>
          <w:p w:rsidR="00177EDF" w:rsidRPr="00DF6B08" w:rsidRDefault="00177EDF" w:rsidP="009B383D">
            <w:pPr>
              <w:jc w:val="both"/>
              <w:rPr>
                <w:rFonts w:eastAsia="Calibri"/>
                <w:sz w:val="18"/>
                <w:lang w:val="en-US"/>
              </w:rPr>
            </w:pPr>
            <w:r w:rsidRPr="00DF6B08">
              <w:rPr>
                <w:rFonts w:eastAsia="Calibri"/>
                <w:bCs/>
                <w:iCs/>
                <w:sz w:val="18"/>
                <w:lang w:val="en-US"/>
              </w:rPr>
              <w:t>35%</w:t>
            </w:r>
          </w:p>
        </w:tc>
        <w:tc>
          <w:tcPr>
            <w:tcW w:w="1642" w:type="dxa"/>
            <w:shd w:val="clear" w:color="auto" w:fill="auto"/>
            <w:hideMark/>
          </w:tcPr>
          <w:p w:rsidR="00177EDF" w:rsidRPr="00DF6B08" w:rsidRDefault="00177EDF" w:rsidP="009B383D">
            <w:pPr>
              <w:ind w:left="47" w:right="33"/>
              <w:jc w:val="both"/>
              <w:rPr>
                <w:rFonts w:eastAsia="Calibri"/>
                <w:sz w:val="18"/>
                <w:lang w:val="en-US"/>
              </w:rPr>
            </w:pPr>
            <w:r w:rsidRPr="00DF6B08">
              <w:rPr>
                <w:rFonts w:eastAsia="Calibri"/>
                <w:bCs/>
                <w:iCs/>
                <w:sz w:val="18"/>
                <w:lang w:val="en-US"/>
              </w:rPr>
              <w:t>37</w:t>
            </w:r>
          </w:p>
        </w:tc>
        <w:tc>
          <w:tcPr>
            <w:tcW w:w="1643" w:type="dxa"/>
            <w:shd w:val="clear" w:color="auto" w:fill="auto"/>
            <w:hideMark/>
          </w:tcPr>
          <w:p w:rsidR="00177EDF" w:rsidRPr="00DF6B08" w:rsidRDefault="00177EDF" w:rsidP="009B383D">
            <w:pPr>
              <w:ind w:left="21"/>
              <w:jc w:val="both"/>
              <w:rPr>
                <w:rFonts w:eastAsia="Calibri"/>
                <w:sz w:val="18"/>
                <w:lang w:val="en-US"/>
              </w:rPr>
            </w:pPr>
            <w:r w:rsidRPr="00DF6B08">
              <w:rPr>
                <w:rFonts w:eastAsia="Calibri"/>
                <w:bCs/>
                <w:iCs/>
                <w:sz w:val="18"/>
                <w:lang w:val="en-US"/>
              </w:rPr>
              <w:t>41%</w:t>
            </w:r>
          </w:p>
        </w:tc>
      </w:tr>
      <w:tr w:rsidR="00177EDF" w:rsidRPr="00DF6B08" w:rsidTr="009B383D">
        <w:trPr>
          <w:trHeight w:val="152"/>
        </w:trPr>
        <w:tc>
          <w:tcPr>
            <w:tcW w:w="900" w:type="dxa"/>
            <w:shd w:val="clear" w:color="auto" w:fill="auto"/>
            <w:hideMark/>
          </w:tcPr>
          <w:p w:rsidR="00177EDF" w:rsidRPr="00DF6B08" w:rsidRDefault="00177EDF" w:rsidP="009B383D">
            <w:pPr>
              <w:ind w:right="-11"/>
              <w:jc w:val="both"/>
              <w:rPr>
                <w:rFonts w:eastAsia="Calibri"/>
                <w:b/>
                <w:sz w:val="18"/>
                <w:lang w:val="en-US"/>
              </w:rPr>
            </w:pPr>
            <w:r w:rsidRPr="00DF6B08">
              <w:rPr>
                <w:rFonts w:eastAsia="Calibri"/>
                <w:b/>
                <w:bCs/>
                <w:sz w:val="18"/>
                <w:lang w:val="en-US"/>
              </w:rPr>
              <w:t>Total</w:t>
            </w:r>
          </w:p>
        </w:tc>
        <w:tc>
          <w:tcPr>
            <w:tcW w:w="1642" w:type="dxa"/>
            <w:shd w:val="clear" w:color="auto" w:fill="auto"/>
            <w:hideMark/>
          </w:tcPr>
          <w:p w:rsidR="00177EDF" w:rsidRPr="00DF6B08" w:rsidRDefault="00177EDF" w:rsidP="009B383D">
            <w:pPr>
              <w:jc w:val="both"/>
              <w:rPr>
                <w:rFonts w:eastAsia="Calibri"/>
                <w:sz w:val="18"/>
                <w:lang w:val="en-US"/>
              </w:rPr>
            </w:pPr>
            <w:r w:rsidRPr="00DF6B08">
              <w:rPr>
                <w:rFonts w:eastAsia="Calibri"/>
                <w:sz w:val="18"/>
                <w:lang w:val="en-US"/>
              </w:rPr>
              <w:t>133</w:t>
            </w:r>
          </w:p>
        </w:tc>
        <w:tc>
          <w:tcPr>
            <w:tcW w:w="1643" w:type="dxa"/>
            <w:shd w:val="clear" w:color="auto" w:fill="auto"/>
            <w:hideMark/>
          </w:tcPr>
          <w:p w:rsidR="00177EDF" w:rsidRPr="00DF6B08" w:rsidRDefault="00177EDF" w:rsidP="009B383D">
            <w:pPr>
              <w:jc w:val="both"/>
              <w:rPr>
                <w:rFonts w:eastAsia="Calibri"/>
                <w:sz w:val="18"/>
                <w:lang w:val="en-US"/>
              </w:rPr>
            </w:pPr>
            <w:r w:rsidRPr="00DF6B08">
              <w:rPr>
                <w:rFonts w:eastAsia="Calibri"/>
                <w:sz w:val="18"/>
                <w:lang w:val="en-US"/>
              </w:rPr>
              <w:t>100%</w:t>
            </w:r>
          </w:p>
        </w:tc>
        <w:tc>
          <w:tcPr>
            <w:tcW w:w="1642" w:type="dxa"/>
            <w:shd w:val="clear" w:color="auto" w:fill="auto"/>
            <w:hideMark/>
          </w:tcPr>
          <w:p w:rsidR="00177EDF" w:rsidRPr="00DF6B08" w:rsidRDefault="00177EDF" w:rsidP="009B383D">
            <w:pPr>
              <w:ind w:left="47" w:right="33"/>
              <w:jc w:val="both"/>
              <w:rPr>
                <w:rFonts w:eastAsia="Calibri"/>
                <w:sz w:val="18"/>
                <w:lang w:val="en-US"/>
              </w:rPr>
            </w:pPr>
            <w:r w:rsidRPr="00DF6B08">
              <w:rPr>
                <w:rFonts w:eastAsia="Calibri"/>
                <w:sz w:val="18"/>
                <w:lang w:val="en-US"/>
              </w:rPr>
              <w:t>134</w:t>
            </w:r>
            <w:r w:rsidRPr="00DF6B08">
              <w:rPr>
                <w:rFonts w:eastAsia="Calibri"/>
                <w:sz w:val="18"/>
                <w:vertAlign w:val="superscript"/>
                <w:lang w:val="en-US"/>
              </w:rPr>
              <w:footnoteReference w:id="4"/>
            </w:r>
          </w:p>
        </w:tc>
        <w:tc>
          <w:tcPr>
            <w:tcW w:w="1643" w:type="dxa"/>
            <w:shd w:val="clear" w:color="auto" w:fill="auto"/>
            <w:hideMark/>
          </w:tcPr>
          <w:p w:rsidR="00177EDF" w:rsidRPr="00DF6B08" w:rsidRDefault="00177EDF" w:rsidP="009B383D">
            <w:pPr>
              <w:ind w:left="21"/>
              <w:jc w:val="both"/>
              <w:rPr>
                <w:rFonts w:eastAsia="Calibri"/>
                <w:sz w:val="18"/>
                <w:lang w:val="en-US"/>
              </w:rPr>
            </w:pPr>
            <w:r w:rsidRPr="00DF6B08">
              <w:rPr>
                <w:rFonts w:eastAsia="Calibri"/>
                <w:sz w:val="18"/>
                <w:lang w:val="en-US"/>
              </w:rPr>
              <w:t>100%</w:t>
            </w:r>
          </w:p>
        </w:tc>
      </w:tr>
    </w:tbl>
    <w:p w:rsidR="00177EDF" w:rsidRPr="00F84D3B" w:rsidRDefault="00177EDF" w:rsidP="00177EDF">
      <w:pPr>
        <w:ind w:left="1080" w:right="720"/>
        <w:jc w:val="both"/>
        <w:rPr>
          <w:lang w:val="en-US"/>
        </w:rPr>
      </w:pPr>
    </w:p>
    <w:p w:rsidR="00177EDF" w:rsidRPr="00F84D3B" w:rsidRDefault="00177EDF" w:rsidP="00177EDF">
      <w:pPr>
        <w:numPr>
          <w:ilvl w:val="0"/>
          <w:numId w:val="2"/>
        </w:numPr>
        <w:ind w:left="1080" w:right="720" w:firstLine="0"/>
        <w:jc w:val="both"/>
        <w:rPr>
          <w:lang w:val="en-US"/>
        </w:rPr>
      </w:pPr>
      <w:r w:rsidRPr="00F84D3B">
        <w:rPr>
          <w:lang w:val="en-US"/>
        </w:rPr>
        <w:t>The changes would be more pronounced for the countries moving from Group B to Group C, as the latter group is now considerably more crowded.  Conversely, countries in Group B would stand to benefit considerably from the outflows to Group C, despite the fact that those countries that remained in Group B are not in any different state than they were in 2008, meaning that there is little evident rationale for significantly changing their resource allocations.</w:t>
      </w:r>
    </w:p>
    <w:p w:rsidR="00177EDF" w:rsidRPr="00F84D3B" w:rsidRDefault="00177EDF" w:rsidP="00177EDF">
      <w:pPr>
        <w:ind w:left="1080" w:right="720"/>
        <w:jc w:val="both"/>
        <w:rPr>
          <w:lang w:val="en-US"/>
        </w:rPr>
      </w:pPr>
    </w:p>
    <w:p w:rsidR="00177EDF" w:rsidRDefault="00177EDF" w:rsidP="00177EDF">
      <w:pPr>
        <w:numPr>
          <w:ilvl w:val="0"/>
          <w:numId w:val="2"/>
        </w:numPr>
        <w:ind w:left="1080" w:right="720" w:firstLine="0"/>
        <w:jc w:val="both"/>
        <w:rPr>
          <w:lang w:val="en-US"/>
        </w:rPr>
      </w:pPr>
      <w:r w:rsidRPr="00F84D3B">
        <w:rPr>
          <w:lang w:val="en-US"/>
        </w:rPr>
        <w:t>This is made more problematic because of the nature of the threshold system.  In some cases, changes so small as to be almost immaterial would have dramatic effects on the amount of money a country could receive.  Fo</w:t>
      </w:r>
      <w:r>
        <w:rPr>
          <w:lang w:val="en-US"/>
        </w:rPr>
        <w:t>r example, the share of the</w:t>
      </w:r>
      <w:r w:rsidRPr="00F84D3B">
        <w:rPr>
          <w:lang w:val="en-US"/>
        </w:rPr>
        <w:t xml:space="preserve"> youth population</w:t>
      </w:r>
      <w:r>
        <w:rPr>
          <w:lang w:val="en-US"/>
        </w:rPr>
        <w:t xml:space="preserve"> of Jordan</w:t>
      </w:r>
      <w:r w:rsidRPr="00F84D3B">
        <w:rPr>
          <w:lang w:val="en-US"/>
        </w:rPr>
        <w:t xml:space="preserve"> incr</w:t>
      </w:r>
      <w:r>
        <w:rPr>
          <w:lang w:val="en-US"/>
        </w:rPr>
        <w:t>eased by 0.4 per cent</w:t>
      </w:r>
      <w:r w:rsidRPr="00F84D3B">
        <w:rPr>
          <w:lang w:val="en-US"/>
        </w:rPr>
        <w:t>, which is just enough to enable it to cross a threshold.  As a result, Jordan would move from Group C to Group B, which would have a significant impact of the volume of resources it could receive.</w:t>
      </w:r>
    </w:p>
    <w:p w:rsidR="00177EDF" w:rsidRDefault="00177EDF" w:rsidP="00177EDF">
      <w:pPr>
        <w:ind w:left="1080" w:right="720"/>
        <w:jc w:val="both"/>
        <w:rPr>
          <w:lang w:val="en-US"/>
        </w:rPr>
      </w:pPr>
    </w:p>
    <w:p w:rsidR="00177EDF" w:rsidRPr="00445095" w:rsidRDefault="00177EDF" w:rsidP="00177EDF">
      <w:pPr>
        <w:pStyle w:val="Heading2"/>
        <w:ind w:left="1080" w:hanging="605"/>
      </w:pPr>
      <w:bookmarkStart w:id="12" w:name="_Toc367187927"/>
      <w:r>
        <w:rPr>
          <w:lang w:val="en-US"/>
        </w:rPr>
        <w:t>Addressing the challenges</w:t>
      </w:r>
      <w:bookmarkEnd w:id="12"/>
    </w:p>
    <w:p w:rsidR="00177EDF" w:rsidRDefault="00177EDF" w:rsidP="00177EDF">
      <w:pPr>
        <w:ind w:left="1080" w:right="720"/>
        <w:jc w:val="both"/>
        <w:rPr>
          <w:lang w:val="en-US"/>
        </w:rPr>
      </w:pPr>
    </w:p>
    <w:p w:rsidR="00177EDF" w:rsidRPr="00445095" w:rsidRDefault="00177EDF" w:rsidP="00177EDF">
      <w:pPr>
        <w:numPr>
          <w:ilvl w:val="0"/>
          <w:numId w:val="2"/>
        </w:numPr>
        <w:ind w:left="1080" w:right="720" w:firstLine="0"/>
        <w:jc w:val="both"/>
        <w:rPr>
          <w:lang w:val="en-US"/>
        </w:rPr>
      </w:pPr>
      <w:r>
        <w:rPr>
          <w:lang w:val="en-US"/>
        </w:rPr>
        <w:t>Responding to these challenges requires updating the RAS in a number of ways, as well as the introduction of other changes that are discussed in section IV of this annex.</w:t>
      </w:r>
    </w:p>
    <w:p w:rsidR="00177EDF" w:rsidRPr="00445095" w:rsidRDefault="00177EDF" w:rsidP="00177EDF">
      <w:pPr>
        <w:ind w:left="1080" w:right="720"/>
        <w:jc w:val="both"/>
        <w:rPr>
          <w:lang w:val="en-US"/>
        </w:rPr>
      </w:pPr>
    </w:p>
    <w:p w:rsidR="00177EDF" w:rsidRPr="00445095" w:rsidRDefault="00177EDF" w:rsidP="00177EDF">
      <w:pPr>
        <w:numPr>
          <w:ilvl w:val="0"/>
          <w:numId w:val="2"/>
        </w:numPr>
        <w:ind w:left="1080" w:right="720" w:firstLine="0"/>
        <w:jc w:val="both"/>
        <w:rPr>
          <w:lang w:val="en-US"/>
        </w:rPr>
      </w:pPr>
      <w:r w:rsidRPr="00445095">
        <w:rPr>
          <w:lang w:val="en-US"/>
        </w:rPr>
        <w:t>The proposed revision to the RAS will change the process that is used in the current syste</w:t>
      </w:r>
      <w:r>
        <w:rPr>
          <w:lang w:val="en-US"/>
        </w:rPr>
        <w:t>m in several key ways.  Figure 3</w:t>
      </w:r>
      <w:r w:rsidRPr="00445095">
        <w:rPr>
          <w:lang w:val="en-US"/>
        </w:rPr>
        <w:t xml:space="preserve"> presents a high-level summary of the current and new processes.</w:t>
      </w:r>
    </w:p>
    <w:p w:rsidR="00177EDF" w:rsidRPr="00445095" w:rsidRDefault="00177EDF" w:rsidP="00177EDF">
      <w:pPr>
        <w:ind w:left="1080" w:right="720"/>
        <w:jc w:val="both"/>
        <w:rPr>
          <w:lang w:val="en-US"/>
        </w:rPr>
      </w:pPr>
    </w:p>
    <w:p w:rsidR="00177EDF" w:rsidRPr="00445095" w:rsidRDefault="00177EDF" w:rsidP="00177EDF">
      <w:pPr>
        <w:keepNext/>
        <w:ind w:left="1080" w:right="720"/>
        <w:jc w:val="both"/>
        <w:rPr>
          <w:lang w:val="en-US"/>
        </w:rPr>
      </w:pPr>
      <w:r w:rsidRPr="00445095">
        <w:rPr>
          <w:b/>
          <w:lang w:val="en-US"/>
        </w:rPr>
        <w:t xml:space="preserve">Figure </w:t>
      </w:r>
      <w:r>
        <w:rPr>
          <w:b/>
          <w:lang w:val="en-US"/>
        </w:rPr>
        <w:t>3</w:t>
      </w:r>
      <w:r w:rsidRPr="00445095">
        <w:rPr>
          <w:b/>
          <w:lang w:val="en-US"/>
        </w:rPr>
        <w:t xml:space="preserve">: Comparison of process flows between 2007 and </w:t>
      </w:r>
      <w:r>
        <w:rPr>
          <w:b/>
          <w:lang w:val="en-US"/>
        </w:rPr>
        <w:t>revised RAS</w:t>
      </w:r>
    </w:p>
    <w:p w:rsidR="00177EDF" w:rsidRPr="00445095" w:rsidRDefault="00177EDF" w:rsidP="00177EDF">
      <w:pPr>
        <w:ind w:left="1080" w:right="720"/>
        <w:jc w:val="both"/>
        <w:rPr>
          <w:lang w:val="en-US"/>
        </w:rPr>
      </w:pPr>
      <w:r>
        <w:rPr>
          <w:noProof/>
          <w:lang w:val="en-US"/>
        </w:rPr>
        <w:drawing>
          <wp:inline distT="0" distB="0" distL="0" distR="0" wp14:anchorId="12A4FF16" wp14:editId="5EDA9F78">
            <wp:extent cx="4787900" cy="2148205"/>
            <wp:effectExtent l="0" t="0" r="0" b="4445"/>
            <wp:docPr id="1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7900" cy="2148205"/>
                    </a:xfrm>
                    <a:prstGeom prst="rect">
                      <a:avLst/>
                    </a:prstGeom>
                    <a:noFill/>
                    <a:ln>
                      <a:noFill/>
                    </a:ln>
                  </pic:spPr>
                </pic:pic>
              </a:graphicData>
            </a:graphic>
          </wp:inline>
        </w:drawing>
      </w:r>
    </w:p>
    <w:p w:rsidR="00177EDF" w:rsidRPr="00445095" w:rsidRDefault="00177EDF" w:rsidP="00177EDF">
      <w:pPr>
        <w:ind w:left="1080" w:right="720"/>
        <w:jc w:val="both"/>
        <w:rPr>
          <w:lang w:val="en-US"/>
        </w:rPr>
      </w:pPr>
    </w:p>
    <w:p w:rsidR="00177EDF" w:rsidRPr="00445095" w:rsidRDefault="00177EDF" w:rsidP="00177EDF">
      <w:pPr>
        <w:numPr>
          <w:ilvl w:val="0"/>
          <w:numId w:val="2"/>
        </w:numPr>
        <w:ind w:left="1080" w:right="720" w:firstLine="0"/>
        <w:jc w:val="both"/>
        <w:rPr>
          <w:lang w:val="en-US"/>
        </w:rPr>
      </w:pPr>
      <w:r w:rsidRPr="00445095">
        <w:rPr>
          <w:lang w:val="en-US"/>
        </w:rPr>
        <w:t>Each of these steps</w:t>
      </w:r>
      <w:r>
        <w:rPr>
          <w:lang w:val="en-US"/>
        </w:rPr>
        <w:t xml:space="preserve"> is discussed in turn</w:t>
      </w:r>
      <w:r w:rsidRPr="00445095">
        <w:rPr>
          <w:lang w:val="en-US"/>
        </w:rPr>
        <w:t>.</w:t>
      </w:r>
    </w:p>
    <w:p w:rsidR="00177EDF" w:rsidRPr="00445095" w:rsidRDefault="00177EDF" w:rsidP="00177EDF">
      <w:pPr>
        <w:ind w:left="1080" w:right="720"/>
        <w:jc w:val="both"/>
        <w:rPr>
          <w:lang w:val="en-US"/>
        </w:rPr>
      </w:pPr>
    </w:p>
    <w:p w:rsidR="00177EDF" w:rsidRPr="00445095" w:rsidRDefault="00177EDF" w:rsidP="00177EDF">
      <w:pPr>
        <w:pStyle w:val="Heading3"/>
        <w:numPr>
          <w:ilvl w:val="0"/>
          <w:numId w:val="11"/>
        </w:numPr>
        <w:ind w:left="1440"/>
      </w:pPr>
      <w:r w:rsidRPr="00445095">
        <w:lastRenderedPageBreak/>
        <w:t>Define need indicators</w:t>
      </w:r>
    </w:p>
    <w:p w:rsidR="00177EDF" w:rsidRDefault="00177EDF" w:rsidP="00177EDF">
      <w:pPr>
        <w:ind w:left="1080" w:right="720"/>
        <w:jc w:val="both"/>
        <w:rPr>
          <w:lang w:val="en-US"/>
        </w:rPr>
      </w:pPr>
    </w:p>
    <w:p w:rsidR="00177EDF" w:rsidRPr="00445095" w:rsidRDefault="00177EDF" w:rsidP="00177EDF">
      <w:pPr>
        <w:numPr>
          <w:ilvl w:val="0"/>
          <w:numId w:val="2"/>
        </w:numPr>
        <w:ind w:left="1080" w:right="720" w:firstLine="0"/>
        <w:jc w:val="both"/>
        <w:rPr>
          <w:lang w:val="en-US"/>
        </w:rPr>
      </w:pPr>
      <w:r w:rsidRPr="00445095">
        <w:rPr>
          <w:lang w:val="en-US"/>
        </w:rPr>
        <w:t>The countries</w:t>
      </w:r>
      <w:r w:rsidRPr="00445095">
        <w:rPr>
          <w:vertAlign w:val="superscript"/>
          <w:lang w:val="en-US"/>
        </w:rPr>
        <w:footnoteReference w:id="5"/>
      </w:r>
      <w:r w:rsidRPr="00445095">
        <w:rPr>
          <w:lang w:val="en-US"/>
        </w:rPr>
        <w:t xml:space="preserve"> in which UNFPA operates all need the organization’s support; indeed, there is no country in the world that does not confront challenges related to the implementation of some aspects of the ICPD Programme of Action.  However, there are clearly large differences between the countries of the world when it comes to their need for UNFPA assistance: although Norway – which tops both the Human Development Index and the Gender Inequality Index – undoubtedly has some needs related to the ICPD agenda, there is little doubt that UNFPA can have more impact in Chad, which has the world’s</w:t>
      </w:r>
      <w:r>
        <w:rPr>
          <w:lang w:val="en-US"/>
        </w:rPr>
        <w:t xml:space="preserve"> highest maternal mortality ratio </w:t>
      </w:r>
      <w:r w:rsidRPr="00445095">
        <w:rPr>
          <w:lang w:val="en-US"/>
        </w:rPr>
        <w:t>and one of the lowest contraceptive prevalence rates.  This conclusion immediately leads to the question of how UNFPA can assess countries to determine how it can best achieve impact and advance the ICPD agenda.</w:t>
      </w:r>
    </w:p>
    <w:p w:rsidR="00177EDF" w:rsidRPr="00445095" w:rsidRDefault="00177EDF" w:rsidP="00177EDF">
      <w:pPr>
        <w:ind w:left="1080" w:right="720"/>
        <w:jc w:val="both"/>
        <w:rPr>
          <w:lang w:val="en-US"/>
        </w:rPr>
      </w:pPr>
    </w:p>
    <w:p w:rsidR="00177EDF" w:rsidRPr="00445095" w:rsidRDefault="00177EDF" w:rsidP="00177EDF">
      <w:pPr>
        <w:numPr>
          <w:ilvl w:val="0"/>
          <w:numId w:val="2"/>
        </w:numPr>
        <w:ind w:left="1080" w:right="720" w:firstLine="0"/>
        <w:jc w:val="both"/>
        <w:rPr>
          <w:lang w:val="en-US"/>
        </w:rPr>
      </w:pPr>
      <w:r w:rsidRPr="00445095">
        <w:rPr>
          <w:lang w:val="en-US"/>
        </w:rPr>
        <w:t>The process of selecting indicators to measure need was guided by several principles.  To be considered for inclusion, each indicator needed to:</w:t>
      </w:r>
    </w:p>
    <w:p w:rsidR="00177EDF" w:rsidRPr="00445095" w:rsidRDefault="00177EDF" w:rsidP="00177EDF">
      <w:pPr>
        <w:numPr>
          <w:ilvl w:val="0"/>
          <w:numId w:val="12"/>
        </w:numPr>
        <w:ind w:right="720"/>
        <w:jc w:val="both"/>
        <w:rPr>
          <w:lang w:val="en-US"/>
        </w:rPr>
      </w:pPr>
      <w:r>
        <w:rPr>
          <w:lang w:val="en-US"/>
        </w:rPr>
        <w:t>Be directly relevant to the UNFPA</w:t>
      </w:r>
      <w:r w:rsidRPr="00445095">
        <w:rPr>
          <w:lang w:val="en-US"/>
        </w:rPr>
        <w:t xml:space="preserve"> strategic fo</w:t>
      </w:r>
      <w:r>
        <w:rPr>
          <w:lang w:val="en-US"/>
        </w:rPr>
        <w:t xml:space="preserve">cus, as reflected in the </w:t>
      </w:r>
      <w:r w:rsidR="00015F15">
        <w:rPr>
          <w:lang w:val="en-US"/>
        </w:rPr>
        <w:t>bull’s eye</w:t>
      </w:r>
      <w:r w:rsidRPr="00445095">
        <w:rPr>
          <w:lang w:val="en-US"/>
        </w:rPr>
        <w:t>;</w:t>
      </w:r>
    </w:p>
    <w:p w:rsidR="00177EDF" w:rsidRPr="00445095" w:rsidRDefault="00177EDF" w:rsidP="00177EDF">
      <w:pPr>
        <w:numPr>
          <w:ilvl w:val="0"/>
          <w:numId w:val="12"/>
        </w:numPr>
        <w:ind w:right="720"/>
        <w:jc w:val="both"/>
        <w:rPr>
          <w:lang w:val="en-US"/>
        </w:rPr>
      </w:pPr>
      <w:r w:rsidRPr="00445095">
        <w:rPr>
          <w:lang w:val="en-US"/>
        </w:rPr>
        <w:t>Be issued by a credible international source;</w:t>
      </w:r>
    </w:p>
    <w:p w:rsidR="00177EDF" w:rsidRPr="00445095" w:rsidRDefault="00177EDF" w:rsidP="00177EDF">
      <w:pPr>
        <w:numPr>
          <w:ilvl w:val="0"/>
          <w:numId w:val="12"/>
        </w:numPr>
        <w:ind w:right="720"/>
        <w:jc w:val="both"/>
        <w:rPr>
          <w:lang w:val="en-US"/>
        </w:rPr>
      </w:pPr>
      <w:r w:rsidRPr="00445095">
        <w:rPr>
          <w:lang w:val="en-US"/>
        </w:rPr>
        <w:t>Have sufficient country coverage;</w:t>
      </w:r>
      <w:r>
        <w:rPr>
          <w:lang w:val="en-US"/>
        </w:rPr>
        <w:t xml:space="preserve"> </w:t>
      </w:r>
    </w:p>
    <w:p w:rsidR="00177EDF" w:rsidRPr="00445095" w:rsidRDefault="00177EDF" w:rsidP="00177EDF">
      <w:pPr>
        <w:numPr>
          <w:ilvl w:val="0"/>
          <w:numId w:val="12"/>
        </w:numPr>
        <w:ind w:right="720"/>
        <w:jc w:val="both"/>
        <w:rPr>
          <w:lang w:val="en-US"/>
        </w:rPr>
      </w:pPr>
      <w:r w:rsidRPr="00445095">
        <w:rPr>
          <w:lang w:val="en-US"/>
        </w:rPr>
        <w:t>Contribute a unique dimension to the calculation of a country’s need (i.e., not duplicate another indicator).</w:t>
      </w:r>
    </w:p>
    <w:p w:rsidR="00177EDF" w:rsidRPr="00445095" w:rsidRDefault="00177EDF" w:rsidP="00177EDF">
      <w:pPr>
        <w:ind w:left="1080" w:right="720"/>
        <w:jc w:val="both"/>
        <w:rPr>
          <w:lang w:val="en-US"/>
        </w:rPr>
      </w:pPr>
    </w:p>
    <w:p w:rsidR="00177EDF" w:rsidRPr="00445095" w:rsidRDefault="00177EDF" w:rsidP="00177EDF">
      <w:pPr>
        <w:numPr>
          <w:ilvl w:val="0"/>
          <w:numId w:val="2"/>
        </w:numPr>
        <w:ind w:left="1080" w:right="720" w:firstLine="0"/>
        <w:jc w:val="both"/>
        <w:rPr>
          <w:lang w:val="en-US"/>
        </w:rPr>
      </w:pPr>
      <w:r w:rsidRPr="00445095">
        <w:rPr>
          <w:lang w:val="en-US"/>
        </w:rPr>
        <w:t xml:space="preserve">A number of indicators were screened based on these criteria, starting with the current set of eight RAS indicators, and ultimately a set of six indicators </w:t>
      </w:r>
      <w:r>
        <w:rPr>
          <w:lang w:val="en-US"/>
        </w:rPr>
        <w:t>was identified</w:t>
      </w:r>
      <w:r w:rsidRPr="00445095">
        <w:rPr>
          <w:lang w:val="en-US"/>
        </w:rPr>
        <w:t xml:space="preserve">.  The new indicators are shown in Figure </w:t>
      </w:r>
      <w:r>
        <w:rPr>
          <w:lang w:val="en-US"/>
        </w:rPr>
        <w:t>4</w:t>
      </w:r>
      <w:r w:rsidRPr="00445095">
        <w:rPr>
          <w:lang w:val="en-US"/>
        </w:rPr>
        <w:t xml:space="preserve">, along with a description of the changes from the </w:t>
      </w:r>
      <w:r>
        <w:rPr>
          <w:lang w:val="en-US"/>
        </w:rPr>
        <w:t xml:space="preserve">2007 </w:t>
      </w:r>
      <w:r w:rsidRPr="00445095">
        <w:rPr>
          <w:lang w:val="en-US"/>
        </w:rPr>
        <w:t xml:space="preserve">set of indicators. </w:t>
      </w:r>
    </w:p>
    <w:p w:rsidR="00177EDF" w:rsidRPr="00445095" w:rsidRDefault="00177EDF" w:rsidP="00177EDF">
      <w:pPr>
        <w:ind w:left="1080" w:right="720"/>
        <w:jc w:val="both"/>
        <w:rPr>
          <w:lang w:val="en-US"/>
        </w:rPr>
      </w:pPr>
    </w:p>
    <w:p w:rsidR="00177EDF" w:rsidRPr="00445095" w:rsidRDefault="00177EDF" w:rsidP="00177EDF">
      <w:pPr>
        <w:keepNext/>
        <w:ind w:left="1080" w:right="720"/>
        <w:jc w:val="both"/>
        <w:rPr>
          <w:lang w:val="en-US"/>
        </w:rPr>
      </w:pPr>
      <w:r w:rsidRPr="00445095">
        <w:rPr>
          <w:b/>
          <w:lang w:val="en-US"/>
        </w:rPr>
        <w:t xml:space="preserve">Figure </w:t>
      </w:r>
      <w:r>
        <w:rPr>
          <w:b/>
          <w:lang w:val="en-US"/>
        </w:rPr>
        <w:t>4</w:t>
      </w:r>
      <w:r w:rsidRPr="00445095">
        <w:rPr>
          <w:b/>
          <w:lang w:val="en-US"/>
        </w:rPr>
        <w:t xml:space="preserve">: </w:t>
      </w:r>
      <w:r>
        <w:rPr>
          <w:b/>
          <w:lang w:val="en-US"/>
        </w:rPr>
        <w:t>N</w:t>
      </w:r>
      <w:r w:rsidRPr="00445095">
        <w:rPr>
          <w:b/>
          <w:lang w:val="en-US"/>
        </w:rPr>
        <w:t xml:space="preserve">ew </w:t>
      </w:r>
      <w:r>
        <w:rPr>
          <w:b/>
          <w:lang w:val="en-US"/>
        </w:rPr>
        <w:t xml:space="preserve">RAS </w:t>
      </w:r>
      <w:r w:rsidRPr="00445095">
        <w:rPr>
          <w:b/>
          <w:lang w:val="en-US"/>
        </w:rPr>
        <w:t>indicators, with a description of changes from current indicators</w:t>
      </w:r>
    </w:p>
    <w:p w:rsidR="00177EDF" w:rsidRPr="00445095" w:rsidRDefault="00177EDF" w:rsidP="00177EDF">
      <w:pPr>
        <w:ind w:left="1080" w:right="720"/>
        <w:jc w:val="both"/>
        <w:rPr>
          <w:lang w:val="en-US"/>
        </w:rPr>
      </w:pPr>
      <w:r>
        <w:rPr>
          <w:noProof/>
          <w:lang w:val="en-US"/>
        </w:rPr>
        <w:drawing>
          <wp:inline distT="0" distB="0" distL="0" distR="0" wp14:anchorId="0424AC71" wp14:editId="0DF82978">
            <wp:extent cx="4805045" cy="2070100"/>
            <wp:effectExtent l="0" t="0" r="0" b="6350"/>
            <wp:docPr id="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5045" cy="2070100"/>
                    </a:xfrm>
                    <a:prstGeom prst="rect">
                      <a:avLst/>
                    </a:prstGeom>
                    <a:noFill/>
                    <a:ln>
                      <a:noFill/>
                    </a:ln>
                  </pic:spPr>
                </pic:pic>
              </a:graphicData>
            </a:graphic>
          </wp:inline>
        </w:drawing>
      </w:r>
    </w:p>
    <w:p w:rsidR="00177EDF" w:rsidRPr="00445095" w:rsidRDefault="00177EDF" w:rsidP="00177EDF">
      <w:pPr>
        <w:ind w:left="1080" w:right="720"/>
        <w:jc w:val="both"/>
        <w:rPr>
          <w:lang w:val="en-US"/>
        </w:rPr>
      </w:pPr>
    </w:p>
    <w:p w:rsidR="00177EDF" w:rsidRPr="00445095" w:rsidRDefault="00177EDF" w:rsidP="00177EDF">
      <w:pPr>
        <w:numPr>
          <w:ilvl w:val="0"/>
          <w:numId w:val="2"/>
        </w:numPr>
        <w:ind w:left="1080" w:right="720" w:firstLine="0"/>
        <w:jc w:val="both"/>
        <w:rPr>
          <w:lang w:val="en-US"/>
        </w:rPr>
      </w:pPr>
      <w:r w:rsidRPr="00445095">
        <w:rPr>
          <w:lang w:val="en-US"/>
        </w:rPr>
        <w:t>In summary, two indicators from the current RAS have been retained unchanged, three have been amended, and three have been dropped, while one new indicator has been added.  The rationales for the changes are as follows:</w:t>
      </w:r>
    </w:p>
    <w:p w:rsidR="00177EDF" w:rsidRDefault="00177EDF" w:rsidP="00177EDF">
      <w:pPr>
        <w:numPr>
          <w:ilvl w:val="0"/>
          <w:numId w:val="13"/>
        </w:numPr>
        <w:ind w:right="720"/>
        <w:jc w:val="both"/>
        <w:rPr>
          <w:lang w:val="en-US"/>
        </w:rPr>
      </w:pPr>
      <w:r w:rsidRPr="00445095">
        <w:rPr>
          <w:lang w:val="en-US"/>
        </w:rPr>
        <w:t>Amendments:</w:t>
      </w:r>
    </w:p>
    <w:p w:rsidR="00177EDF" w:rsidRDefault="00177EDF" w:rsidP="00177EDF">
      <w:pPr>
        <w:numPr>
          <w:ilvl w:val="1"/>
          <w:numId w:val="13"/>
        </w:numPr>
        <w:ind w:right="720"/>
        <w:jc w:val="both"/>
        <w:rPr>
          <w:lang w:val="en-US"/>
        </w:rPr>
      </w:pPr>
      <w:r w:rsidRPr="00C26D87">
        <w:rPr>
          <w:u w:val="single"/>
          <w:lang w:val="en-US"/>
        </w:rPr>
        <w:t>Proportion of births attended by skilled health personnel</w:t>
      </w:r>
      <w:r>
        <w:rPr>
          <w:u w:val="single"/>
          <w:lang w:val="en-US"/>
        </w:rPr>
        <w:t xml:space="preserve"> (amended to focus on the poorest quintile of the population)</w:t>
      </w:r>
      <w:r w:rsidRPr="00C26D87">
        <w:rPr>
          <w:lang w:val="en-US"/>
        </w:rPr>
        <w:t xml:space="preserve">: this indicator will still be used, but will focus on the poorest quintile of the population rather than the entire population, to reflect inequalities within countries and the fact that UNFPA is concentrating its efforts on </w:t>
      </w:r>
      <w:r>
        <w:rPr>
          <w:lang w:val="en-US"/>
        </w:rPr>
        <w:t xml:space="preserve">the poorest and most vulnerable.  </w:t>
      </w:r>
      <w:r w:rsidRPr="00C26D87">
        <w:rPr>
          <w:lang w:val="en-US"/>
        </w:rPr>
        <w:t xml:space="preserve">Data clearly </w:t>
      </w:r>
      <w:r w:rsidRPr="00C26D87">
        <w:rPr>
          <w:lang w:val="en-US"/>
        </w:rPr>
        <w:lastRenderedPageBreak/>
        <w:t>shows that average performance on indicators calculated at the country level hide important disparities between groups. A recent study published in the Lancet,</w:t>
      </w:r>
      <w:r w:rsidRPr="00C26D87">
        <w:rPr>
          <w:vertAlign w:val="superscript"/>
          <w:lang w:val="en-US"/>
        </w:rPr>
        <w:footnoteReference w:id="6"/>
      </w:r>
      <w:r w:rsidRPr="00C26D87">
        <w:rPr>
          <w:lang w:val="en-US"/>
        </w:rPr>
        <w:t xml:space="preserve"> for instance, stratifies maternal and child health outcomes by wealth quintiles and finds that “Countries with similar levels of overall coverage often had very different results for equity.”  Given that UNFPA is committed to focusing on the vulnerable, ideally the new RAS would use indicators that reflect the epidemiological status of the poor along every dimension of need, but sufficient data are not available to do so.  Data are available, however, for proportion of births attended by skilled health personnel, so these are being used in the RAS.  It is particularly important for this indicator because the same Lancet article found that the disparities by wealth quintile were more significant for this indicator than for any </w:t>
      </w:r>
      <w:r>
        <w:rPr>
          <w:lang w:val="en-US"/>
        </w:rPr>
        <w:t>other eleven indicators studied;</w:t>
      </w:r>
    </w:p>
    <w:p w:rsidR="00177EDF" w:rsidRDefault="00177EDF" w:rsidP="00177EDF">
      <w:pPr>
        <w:numPr>
          <w:ilvl w:val="1"/>
          <w:numId w:val="13"/>
        </w:numPr>
        <w:ind w:right="720"/>
        <w:jc w:val="both"/>
        <w:rPr>
          <w:lang w:val="en-US"/>
        </w:rPr>
      </w:pPr>
      <w:r w:rsidRPr="00C26D87">
        <w:rPr>
          <w:u w:val="single"/>
          <w:lang w:val="en-US"/>
        </w:rPr>
        <w:t>Contraceptive prevalence rate</w:t>
      </w:r>
      <w:r>
        <w:rPr>
          <w:u w:val="single"/>
          <w:lang w:val="en-US"/>
        </w:rPr>
        <w:t xml:space="preserve"> (amended to proportion of demand </w:t>
      </w:r>
      <w:r w:rsidRPr="00A10872">
        <w:rPr>
          <w:u w:val="single"/>
          <w:lang w:val="en-US"/>
        </w:rPr>
        <w:t>for modern contraception satisfied</w:t>
      </w:r>
      <w:r w:rsidRPr="00C26D87">
        <w:rPr>
          <w:lang w:val="en-US"/>
        </w:rPr>
        <w:t>: proportion of demand for modern contraception satisfied (PDS) is preferred to contraceptive prevalence rate (CPR) because PDS is both more meaningful and easier to interpret: PDS combines CPR and the unmet need for family planning rate into a single metric that provides a fuller picture of the contraceptive dynamics in a society, and also addresses a weakness in CPR, which is difficult to interpret since there is not an empirically well-defined maximum (</w:t>
      </w:r>
      <w:r>
        <w:rPr>
          <w:lang w:val="en-US"/>
        </w:rPr>
        <w:t>unlike PDS, which can reach 100 per cent</w:t>
      </w:r>
      <w:r w:rsidRPr="00C26D87">
        <w:rPr>
          <w:lang w:val="en-US"/>
        </w:rPr>
        <w:t>);</w:t>
      </w:r>
    </w:p>
    <w:p w:rsidR="00177EDF" w:rsidRDefault="00177EDF" w:rsidP="00177EDF">
      <w:pPr>
        <w:numPr>
          <w:ilvl w:val="1"/>
          <w:numId w:val="13"/>
        </w:numPr>
        <w:ind w:right="720"/>
        <w:jc w:val="both"/>
        <w:rPr>
          <w:lang w:val="en-US"/>
        </w:rPr>
      </w:pPr>
      <w:r w:rsidRPr="00C26D87">
        <w:rPr>
          <w:u w:val="single"/>
          <w:lang w:val="en-US"/>
        </w:rPr>
        <w:t>Adult HIV prevalence</w:t>
      </w:r>
      <w:r>
        <w:rPr>
          <w:u w:val="single"/>
          <w:lang w:val="en-US"/>
        </w:rPr>
        <w:t xml:space="preserve"> (amended to HIV prevalence, 15-24 year-olds)</w:t>
      </w:r>
      <w:r w:rsidRPr="00C26D87">
        <w:rPr>
          <w:lang w:val="en-US"/>
        </w:rPr>
        <w:t>: HIV prevalence will still be use</w:t>
      </w:r>
      <w:r>
        <w:rPr>
          <w:lang w:val="en-US"/>
        </w:rPr>
        <w:t>d, but will focus on 15-24 year-</w:t>
      </w:r>
      <w:r w:rsidRPr="00C26D87">
        <w:rPr>
          <w:lang w:val="en-US"/>
        </w:rPr>
        <w:t>olds, both because young people are a key target audience for UNFPA and because this indicator is considered a reasonable proxy for HIV incidence, which is the ideal focus for an organization that concentrates on HIV prevention but which i</w:t>
      </w:r>
      <w:r>
        <w:rPr>
          <w:lang w:val="en-US"/>
        </w:rPr>
        <w:t>s difficult to measure directly.  Additionally, this is the metric used in the Millennium Development Goals;</w:t>
      </w:r>
    </w:p>
    <w:p w:rsidR="00177EDF" w:rsidRDefault="00177EDF" w:rsidP="00177EDF">
      <w:pPr>
        <w:numPr>
          <w:ilvl w:val="0"/>
          <w:numId w:val="13"/>
        </w:numPr>
        <w:ind w:right="720"/>
        <w:jc w:val="both"/>
        <w:rPr>
          <w:lang w:val="en-US"/>
        </w:rPr>
      </w:pPr>
      <w:r w:rsidRPr="00C26D87">
        <w:rPr>
          <w:lang w:val="en-US"/>
        </w:rPr>
        <w:t>Deletions:</w:t>
      </w:r>
    </w:p>
    <w:p w:rsidR="00177EDF" w:rsidRDefault="00177EDF" w:rsidP="00177EDF">
      <w:pPr>
        <w:numPr>
          <w:ilvl w:val="1"/>
          <w:numId w:val="13"/>
        </w:numPr>
        <w:ind w:right="720"/>
        <w:jc w:val="both"/>
        <w:rPr>
          <w:lang w:val="en-US"/>
        </w:rPr>
      </w:pPr>
      <w:r w:rsidRPr="00C26D87">
        <w:rPr>
          <w:u w:val="single"/>
          <w:lang w:val="en-US"/>
        </w:rPr>
        <w:t xml:space="preserve">Under-five mortality </w:t>
      </w:r>
      <w:r w:rsidRPr="00E90105">
        <w:rPr>
          <w:u w:val="single"/>
          <w:lang w:val="en-US"/>
        </w:rPr>
        <w:t>rate and l</w:t>
      </w:r>
      <w:r w:rsidRPr="00C26D87">
        <w:rPr>
          <w:u w:val="single"/>
          <w:lang w:val="en-US"/>
        </w:rPr>
        <w:t>i</w:t>
      </w:r>
      <w:r>
        <w:rPr>
          <w:u w:val="single"/>
          <w:lang w:val="en-US"/>
        </w:rPr>
        <w:t>teracy rate among 15-24 year-</w:t>
      </w:r>
      <w:r w:rsidRPr="00C26D87">
        <w:rPr>
          <w:u w:val="single"/>
          <w:lang w:val="en-US"/>
        </w:rPr>
        <w:t>old females</w:t>
      </w:r>
      <w:r w:rsidRPr="00C26D87">
        <w:rPr>
          <w:lang w:val="en-US"/>
        </w:rPr>
        <w:t>: these will both be dropped because UNFPA does not work directly on either of these issues (although the organization’s efforts may indirec</w:t>
      </w:r>
      <w:r>
        <w:rPr>
          <w:lang w:val="en-US"/>
        </w:rPr>
        <w:t xml:space="preserve">tly contribute to both of them).  </w:t>
      </w:r>
      <w:r w:rsidRPr="00C26D87">
        <w:rPr>
          <w:lang w:val="en-US"/>
        </w:rPr>
        <w:t>Moreover, these two indicators add no predictive value to the model, because they are extremely highly correlated with the existing indicators: the correlation coefficient between the scores of countries with and without female literacy rate (scored at 10 points) is 0.9955, meaning that the inclusion of this indicator makes no material difference to the RAS.  The same pattern is seen with under 5 mortality (R</w:t>
      </w:r>
      <w:r w:rsidRPr="00C26D87">
        <w:rPr>
          <w:vertAlign w:val="superscript"/>
          <w:lang w:val="en-US"/>
        </w:rPr>
        <w:t>2</w:t>
      </w:r>
      <w:r w:rsidRPr="00C26D87">
        <w:rPr>
          <w:lang w:val="en-US"/>
        </w:rPr>
        <w:t xml:space="preserve"> = 0.9942).</w:t>
      </w:r>
    </w:p>
    <w:p w:rsidR="00177EDF" w:rsidRPr="008D4A1C" w:rsidRDefault="00177EDF" w:rsidP="00177EDF">
      <w:pPr>
        <w:numPr>
          <w:ilvl w:val="1"/>
          <w:numId w:val="13"/>
        </w:numPr>
        <w:ind w:right="720"/>
        <w:jc w:val="both"/>
        <w:rPr>
          <w:lang w:val="en-US"/>
        </w:rPr>
      </w:pPr>
      <w:r w:rsidRPr="008D4A1C">
        <w:rPr>
          <w:u w:val="single"/>
          <w:lang w:val="en-US"/>
        </w:rPr>
        <w:t>Proportion of population aged 10-24 years</w:t>
      </w:r>
      <w:r w:rsidRPr="008D4A1C">
        <w:rPr>
          <w:lang w:val="en-US"/>
        </w:rPr>
        <w:t xml:space="preserve">: population is an important variable, but including it in this way is problematic because there is </w:t>
      </w:r>
      <w:r w:rsidRPr="008B5654">
        <w:t xml:space="preserve">not a normative direction associated with </w:t>
      </w:r>
      <w:r>
        <w:t xml:space="preserve">it </w:t>
      </w:r>
      <w:r w:rsidRPr="008D4A1C">
        <w:rPr>
          <w:lang w:val="en-US"/>
        </w:rPr>
        <w:t xml:space="preserve">(i.e., a higher or lower value is not intrinsically better or worse), unlike all of the other indicators in the RAS (for example, a decline in the maternal mortality ratio is normatively a good thing, as is an increase in the </w:t>
      </w:r>
      <w:r w:rsidRPr="008B5654">
        <w:t xml:space="preserve">proportion of demand satisfied </w:t>
      </w:r>
      <w:r>
        <w:t>is normatively a good thing)</w:t>
      </w:r>
      <w:r w:rsidRPr="008B5654">
        <w:t xml:space="preserve">.  However, </w:t>
      </w:r>
      <w:r>
        <w:t xml:space="preserve">with </w:t>
      </w:r>
      <w:r w:rsidRPr="008B5654">
        <w:t>the share of the population aged 10-24</w:t>
      </w:r>
      <w:r>
        <w:t xml:space="preserve"> it is not possible to assign a directionality to changes</w:t>
      </w:r>
      <w:r w:rsidRPr="008B5654">
        <w:t>: it is not intrinsically better for that number to be either higher or lower</w:t>
      </w:r>
      <w:r>
        <w:t>, which makes including the indicator</w:t>
      </w:r>
      <w:r w:rsidRPr="008B5654">
        <w:t xml:space="preserve"> problematic in</w:t>
      </w:r>
      <w:r>
        <w:t xml:space="preserve"> a system that is otherwise based on clear indications of whether one value for an indicator reflects higher need than another value for the same indicator (i.e., a high maternal mortality ratio is unambiguously reflective of more need than a low maternal mortality </w:t>
      </w:r>
      <w:r>
        <w:lastRenderedPageBreak/>
        <w:t>ratio)</w:t>
      </w:r>
      <w:r w:rsidRPr="008B5654">
        <w:t xml:space="preserve">.  Similarly, the work that UNFPA does is generally not about working with countries to either increase or decrease the percentage of the population aged 10-24, but rather about how to plan for the implications of whatever the figure is (and is likely to be in the years to come).  This again is quite different from other indicators </w:t>
      </w:r>
      <w:r>
        <w:t xml:space="preserve">(e.g., </w:t>
      </w:r>
      <w:r w:rsidRPr="008B5654">
        <w:t xml:space="preserve">UNFPA is working directly to support countries to reduce maternal mortality, rather than just to </w:t>
      </w:r>
      <w:r>
        <w:t xml:space="preserve">plan for the consequences of it), </w:t>
      </w:r>
      <w:r w:rsidRPr="008B5654">
        <w:t xml:space="preserve">which </w:t>
      </w:r>
      <w:r>
        <w:t xml:space="preserve">also </w:t>
      </w:r>
      <w:r w:rsidRPr="008B5654">
        <w:t xml:space="preserve">makes </w:t>
      </w:r>
      <w:r>
        <w:t xml:space="preserve">the inclusion of this indicator </w:t>
      </w:r>
      <w:r w:rsidRPr="008B5654">
        <w:t>inappropriate.</w:t>
      </w:r>
      <w:r w:rsidRPr="008D4A1C">
        <w:rPr>
          <w:lang w:val="en-US"/>
        </w:rPr>
        <w:t xml:space="preserve"> This should not be interpreted as indicating that the organization does not consider this an important area of work.  Rather, population has been factored in separately, as discussed later;</w:t>
      </w:r>
    </w:p>
    <w:p w:rsidR="00177EDF" w:rsidRDefault="00177EDF" w:rsidP="00177EDF">
      <w:pPr>
        <w:ind w:left="2520" w:right="720"/>
        <w:jc w:val="both"/>
        <w:rPr>
          <w:lang w:val="en-US"/>
        </w:rPr>
      </w:pPr>
    </w:p>
    <w:p w:rsidR="00177EDF" w:rsidRDefault="00177EDF" w:rsidP="00177EDF">
      <w:pPr>
        <w:numPr>
          <w:ilvl w:val="0"/>
          <w:numId w:val="13"/>
        </w:numPr>
        <w:ind w:right="720"/>
        <w:jc w:val="both"/>
        <w:rPr>
          <w:lang w:val="en-US"/>
        </w:rPr>
      </w:pPr>
      <w:r w:rsidRPr="00C26D87">
        <w:rPr>
          <w:lang w:val="en-US"/>
        </w:rPr>
        <w:t>Additions:</w:t>
      </w:r>
    </w:p>
    <w:p w:rsidR="00177EDF" w:rsidRDefault="00177EDF" w:rsidP="00177EDF">
      <w:pPr>
        <w:numPr>
          <w:ilvl w:val="1"/>
          <w:numId w:val="13"/>
        </w:numPr>
        <w:ind w:right="720"/>
        <w:jc w:val="both"/>
        <w:rPr>
          <w:lang w:val="en-US"/>
        </w:rPr>
      </w:pPr>
      <w:r w:rsidRPr="00C26D87">
        <w:rPr>
          <w:u w:val="single"/>
          <w:lang w:val="en-US"/>
        </w:rPr>
        <w:t>Gender Inequality Index</w:t>
      </w:r>
      <w:r w:rsidRPr="00C26D87">
        <w:rPr>
          <w:lang w:val="en-US"/>
        </w:rPr>
        <w:t>: this is a relatively new indicator included in the Human Development Report that provides a “composite measure of inequality in achievement between women and men in three dimensions: reproductive health, empow</w:t>
      </w:r>
      <w:r>
        <w:rPr>
          <w:lang w:val="en-US"/>
        </w:rPr>
        <w:t>erment and the labour market”.  A</w:t>
      </w:r>
      <w:r w:rsidRPr="00C26D87">
        <w:rPr>
          <w:lang w:val="en-US"/>
        </w:rPr>
        <w:t>lthough UNFPA does not work directly on all of these areas</w:t>
      </w:r>
      <w:r>
        <w:rPr>
          <w:lang w:val="en-US"/>
        </w:rPr>
        <w:t xml:space="preserve">, </w:t>
      </w:r>
      <w:r w:rsidRPr="00E91A06">
        <w:t xml:space="preserve">the </w:t>
      </w:r>
      <w:r>
        <w:t xml:space="preserve">indicator was selected </w:t>
      </w:r>
      <w:r w:rsidRPr="00E91A06">
        <w:t>over other</w:t>
      </w:r>
      <w:r>
        <w:t xml:space="preserve"> possible metrics of gender equality</w:t>
      </w:r>
      <w:r w:rsidRPr="00E91A06">
        <w:t xml:space="preserve"> for several reasons</w:t>
      </w:r>
      <w:r>
        <w:t xml:space="preserve">.  </w:t>
      </w:r>
      <w:r w:rsidRPr="00E91A06">
        <w:t>First, it attempts to capture a holistic picture of the status of women in a given society, which is not the case for other indicators of gender equality.  Second, it includes in its composition a number of areas on which UNFPA works directly, as well as some for which the ca</w:t>
      </w:r>
      <w:r w:rsidR="009B383D">
        <w:t>u</w:t>
      </w:r>
      <w:r w:rsidRPr="00E91A06">
        <w:t>sal pathways are indirect, unlike other contenders, where the ca</w:t>
      </w:r>
      <w:r w:rsidR="009B383D">
        <w:t>u</w:t>
      </w:r>
      <w:r w:rsidRPr="00E91A06">
        <w:t xml:space="preserve">sal pathways are solely indirect.  Third, </w:t>
      </w:r>
      <w:r>
        <w:t xml:space="preserve">it reinforces the focus on </w:t>
      </w:r>
      <w:r w:rsidRPr="00E91A06">
        <w:t>inequality</w:t>
      </w:r>
      <w:r>
        <w:t>, which is a key element of the strategic plan more broadly</w:t>
      </w:r>
      <w:r w:rsidRPr="00E91A06">
        <w:t xml:space="preserve">.  Last but definitely not least, it has good data availability, which is not the case for </w:t>
      </w:r>
      <w:r>
        <w:t xml:space="preserve">most </w:t>
      </w:r>
      <w:r w:rsidRPr="00E91A06">
        <w:t>other indicators related to gender equality</w:t>
      </w:r>
      <w:r>
        <w:t>.</w:t>
      </w:r>
    </w:p>
    <w:p w:rsidR="00177EDF" w:rsidRPr="00445095" w:rsidRDefault="00177EDF" w:rsidP="00177EDF">
      <w:pPr>
        <w:ind w:left="1080" w:right="720"/>
        <w:jc w:val="both"/>
        <w:rPr>
          <w:lang w:val="en-US"/>
        </w:rPr>
      </w:pPr>
    </w:p>
    <w:p w:rsidR="00177EDF" w:rsidRDefault="00177EDF" w:rsidP="00177EDF">
      <w:pPr>
        <w:numPr>
          <w:ilvl w:val="0"/>
          <w:numId w:val="2"/>
        </w:numPr>
        <w:ind w:left="1080" w:right="720" w:firstLine="0"/>
        <w:jc w:val="both"/>
        <w:rPr>
          <w:lang w:val="en-US"/>
        </w:rPr>
      </w:pPr>
      <w:r w:rsidRPr="00445095">
        <w:rPr>
          <w:lang w:val="en-US"/>
        </w:rPr>
        <w:t>Each of the proposed indicators meets the criteria of having data for the majority of co</w:t>
      </w:r>
      <w:r>
        <w:rPr>
          <w:lang w:val="en-US"/>
        </w:rPr>
        <w:t>untries in which UNFPA operates</w:t>
      </w:r>
      <w:r w:rsidRPr="00445095">
        <w:rPr>
          <w:lang w:val="en-US"/>
        </w:rPr>
        <w:t xml:space="preserve"> </w:t>
      </w:r>
      <w:r>
        <w:rPr>
          <w:lang w:val="en-US"/>
        </w:rPr>
        <w:t xml:space="preserve">and of </w:t>
      </w:r>
      <w:r w:rsidRPr="00445095">
        <w:rPr>
          <w:lang w:val="en-US"/>
        </w:rPr>
        <w:t>coming from a c</w:t>
      </w:r>
      <w:r>
        <w:rPr>
          <w:lang w:val="en-US"/>
        </w:rPr>
        <w:t>redible international source, as follows.</w:t>
      </w:r>
    </w:p>
    <w:p w:rsidR="00177EDF" w:rsidRDefault="00177EDF" w:rsidP="00177EDF">
      <w:pPr>
        <w:numPr>
          <w:ilvl w:val="0"/>
          <w:numId w:val="14"/>
        </w:numPr>
        <w:ind w:right="720"/>
        <w:jc w:val="both"/>
        <w:rPr>
          <w:lang w:val="en-US"/>
        </w:rPr>
      </w:pPr>
      <w:r w:rsidRPr="007A04CC">
        <w:rPr>
          <w:lang w:val="en-US"/>
        </w:rPr>
        <w:t>Proportion of births attended by skilled health personnel</w:t>
      </w:r>
      <w:r>
        <w:rPr>
          <w:lang w:val="en-US"/>
        </w:rPr>
        <w:t xml:space="preserve"> for the poorest quintile of the population: UNICEF, State of the World’s Children report 2013 (latest available data);</w:t>
      </w:r>
    </w:p>
    <w:p w:rsidR="00177EDF" w:rsidRDefault="00177EDF" w:rsidP="00177EDF">
      <w:pPr>
        <w:numPr>
          <w:ilvl w:val="0"/>
          <w:numId w:val="14"/>
        </w:numPr>
        <w:ind w:right="720"/>
        <w:jc w:val="both"/>
        <w:rPr>
          <w:lang w:val="en-US"/>
        </w:rPr>
      </w:pPr>
      <w:r>
        <w:rPr>
          <w:lang w:val="en-US"/>
        </w:rPr>
        <w:t>Maternal mortality ratio: United Nations Statistical Division, MDG Database (2010 data);</w:t>
      </w:r>
    </w:p>
    <w:p w:rsidR="00177EDF" w:rsidRDefault="00177EDF" w:rsidP="00177EDF">
      <w:pPr>
        <w:numPr>
          <w:ilvl w:val="0"/>
          <w:numId w:val="14"/>
        </w:numPr>
        <w:ind w:right="720"/>
        <w:jc w:val="both"/>
        <w:rPr>
          <w:lang w:val="en-US"/>
        </w:rPr>
      </w:pPr>
      <w:r>
        <w:rPr>
          <w:lang w:val="en-US"/>
        </w:rPr>
        <w:t xml:space="preserve">Adolescent birth rate: United Nations Population Division, World Population Estimates </w:t>
      </w:r>
    </w:p>
    <w:p w:rsidR="00177EDF" w:rsidRDefault="00177EDF" w:rsidP="00177EDF">
      <w:pPr>
        <w:numPr>
          <w:ilvl w:val="0"/>
          <w:numId w:val="14"/>
        </w:numPr>
        <w:ind w:right="720"/>
        <w:jc w:val="both"/>
        <w:rPr>
          <w:lang w:val="en-US"/>
        </w:rPr>
      </w:pPr>
      <w:r>
        <w:rPr>
          <w:lang w:val="en-US"/>
        </w:rPr>
        <w:t>P</w:t>
      </w:r>
      <w:r w:rsidRPr="00C26D87">
        <w:rPr>
          <w:lang w:val="en-US"/>
        </w:rPr>
        <w:t>roportion of demand for modern contraception satisfied</w:t>
      </w:r>
      <w:r>
        <w:rPr>
          <w:lang w:val="en-US"/>
        </w:rPr>
        <w:t>: United Nations Population Division, World Contraceptive Use 2012 (2012 data);</w:t>
      </w:r>
    </w:p>
    <w:p w:rsidR="00177EDF" w:rsidRDefault="00177EDF" w:rsidP="00177EDF">
      <w:pPr>
        <w:numPr>
          <w:ilvl w:val="0"/>
          <w:numId w:val="14"/>
        </w:numPr>
        <w:ind w:right="720"/>
        <w:jc w:val="both"/>
        <w:rPr>
          <w:lang w:val="en-US"/>
        </w:rPr>
      </w:pPr>
      <w:r>
        <w:rPr>
          <w:lang w:val="en-US"/>
        </w:rPr>
        <w:t xml:space="preserve">HIV prevalence, aged 15-24: </w:t>
      </w:r>
      <w:r w:rsidRPr="00997C55">
        <w:rPr>
          <w:lang w:val="en-US"/>
        </w:rPr>
        <w:t>UNAIDS Repor</w:t>
      </w:r>
      <w:r>
        <w:rPr>
          <w:lang w:val="en-US"/>
        </w:rPr>
        <w:t xml:space="preserve">t on the Global AIDS Epidemic </w:t>
      </w:r>
      <w:r w:rsidRPr="00997C55">
        <w:rPr>
          <w:lang w:val="en-US"/>
        </w:rPr>
        <w:t>2012</w:t>
      </w:r>
      <w:r>
        <w:rPr>
          <w:lang w:val="en-US"/>
        </w:rPr>
        <w:t xml:space="preserve"> (2011 data);</w:t>
      </w:r>
    </w:p>
    <w:p w:rsidR="00177EDF" w:rsidRPr="00445095" w:rsidRDefault="00177EDF" w:rsidP="00177EDF">
      <w:pPr>
        <w:numPr>
          <w:ilvl w:val="0"/>
          <w:numId w:val="14"/>
        </w:numPr>
        <w:ind w:right="720"/>
        <w:jc w:val="both"/>
        <w:rPr>
          <w:lang w:val="en-US"/>
        </w:rPr>
      </w:pPr>
      <w:r>
        <w:rPr>
          <w:lang w:val="en-US"/>
        </w:rPr>
        <w:t>Gender Inequality Index: UNDP Human Development Report 2013 (2012 data).</w:t>
      </w:r>
    </w:p>
    <w:p w:rsidR="00177EDF" w:rsidRPr="00445095" w:rsidRDefault="00177EDF" w:rsidP="00177EDF">
      <w:pPr>
        <w:ind w:left="1080" w:right="720"/>
        <w:jc w:val="both"/>
        <w:rPr>
          <w:lang w:val="en-US"/>
        </w:rPr>
      </w:pPr>
    </w:p>
    <w:p w:rsidR="00177EDF" w:rsidRPr="00445095" w:rsidRDefault="00177EDF" w:rsidP="00177EDF">
      <w:pPr>
        <w:numPr>
          <w:ilvl w:val="0"/>
          <w:numId w:val="2"/>
        </w:numPr>
        <w:ind w:left="1080" w:right="720" w:firstLine="0"/>
        <w:jc w:val="both"/>
        <w:rPr>
          <w:lang w:val="en-US"/>
        </w:rPr>
      </w:pPr>
      <w:r w:rsidRPr="00445095">
        <w:rPr>
          <w:lang w:val="en-US"/>
        </w:rPr>
        <w:t>It will be noted that – as in the current RAS – there are no indicators that reflect the organization’s work on population dynamics and data.  This is a function of two facts: first, every country has issues related to population and data, and second, there are not metrics that provide an easy to interpret summary of these and that have clear directionalities associated with them (unlike, for example, maternal mortality ratio, where a decline is unequivocally good).  As a result, population dynamics and data issues are not factored into the calculation of need, although they are reflected in the mechanism of allocating resources, as described below.</w:t>
      </w:r>
    </w:p>
    <w:p w:rsidR="00177EDF" w:rsidRPr="00445095" w:rsidRDefault="00177EDF" w:rsidP="00177EDF">
      <w:pPr>
        <w:ind w:left="1080" w:right="720"/>
        <w:jc w:val="both"/>
        <w:rPr>
          <w:lang w:val="en-US"/>
        </w:rPr>
      </w:pPr>
    </w:p>
    <w:p w:rsidR="00177EDF" w:rsidRPr="00445095" w:rsidRDefault="00177EDF" w:rsidP="00177EDF">
      <w:pPr>
        <w:numPr>
          <w:ilvl w:val="0"/>
          <w:numId w:val="2"/>
        </w:numPr>
        <w:ind w:left="1080" w:right="720" w:firstLine="0"/>
        <w:jc w:val="both"/>
        <w:rPr>
          <w:lang w:val="en-US"/>
        </w:rPr>
      </w:pPr>
      <w:r w:rsidRPr="00445095">
        <w:rPr>
          <w:lang w:val="en-US"/>
        </w:rPr>
        <w:lastRenderedPageBreak/>
        <w:t>There are, however, two other topics that are proposed for inclusion as supplemental factors in the RAS:</w:t>
      </w:r>
    </w:p>
    <w:p w:rsidR="00177EDF" w:rsidRPr="00445095" w:rsidRDefault="00177EDF" w:rsidP="00177EDF">
      <w:pPr>
        <w:numPr>
          <w:ilvl w:val="0"/>
          <w:numId w:val="15"/>
        </w:numPr>
        <w:ind w:right="720"/>
        <w:jc w:val="both"/>
        <w:rPr>
          <w:lang w:val="en-US"/>
        </w:rPr>
      </w:pPr>
      <w:r>
        <w:rPr>
          <w:u w:val="single"/>
          <w:lang w:val="en-US"/>
        </w:rPr>
        <w:t>R</w:t>
      </w:r>
      <w:r w:rsidRPr="00445095">
        <w:rPr>
          <w:u w:val="single"/>
          <w:lang w:val="en-US"/>
        </w:rPr>
        <w:t>isk for humanitarian crises</w:t>
      </w:r>
      <w:r w:rsidRPr="00445095">
        <w:rPr>
          <w:lang w:val="en-US"/>
        </w:rPr>
        <w:t>: this is included because it is a factor that influences the ability of UNFPA to achieve impact, both by shifting the nature of the work that the organization carries out and by increasing the challenges (and thereby the costs) of delivering intervention</w:t>
      </w:r>
      <w:r>
        <w:rPr>
          <w:lang w:val="en-US"/>
        </w:rPr>
        <w:t>s; it is assessed through the OCHA</w:t>
      </w:r>
      <w:r w:rsidRPr="00445095">
        <w:rPr>
          <w:lang w:val="en-US"/>
        </w:rPr>
        <w:t xml:space="preserve"> Global Focus Model, which assesses the hazards facing countries, their vulnerability, and the capacity of populations to cope with risks;</w:t>
      </w:r>
    </w:p>
    <w:p w:rsidR="00177EDF" w:rsidRPr="00445095" w:rsidRDefault="00177EDF" w:rsidP="00177EDF">
      <w:pPr>
        <w:numPr>
          <w:ilvl w:val="0"/>
          <w:numId w:val="15"/>
        </w:numPr>
        <w:ind w:right="720"/>
        <w:jc w:val="both"/>
        <w:rPr>
          <w:lang w:val="en-US"/>
        </w:rPr>
      </w:pPr>
      <w:r w:rsidRPr="00445095">
        <w:rPr>
          <w:u w:val="single"/>
          <w:lang w:val="en-US"/>
        </w:rPr>
        <w:t>Income inequality</w:t>
      </w:r>
      <w:r w:rsidRPr="00445095">
        <w:rPr>
          <w:lang w:val="en-US"/>
        </w:rPr>
        <w:t>: this is included because higher income inequality is typically associated with larger pockets of poverty, w</w:t>
      </w:r>
      <w:r>
        <w:rPr>
          <w:lang w:val="en-US"/>
        </w:rPr>
        <w:t>hich shift the nature of UNFPA</w:t>
      </w:r>
      <w:r w:rsidRPr="00445095">
        <w:rPr>
          <w:lang w:val="en-US"/>
        </w:rPr>
        <w:t xml:space="preserve"> programming; it is assessed through the ratio of income of the poorest quintile to the richest quintile</w:t>
      </w:r>
      <w:r>
        <w:rPr>
          <w:lang w:val="en-US"/>
        </w:rPr>
        <w:t xml:space="preserve"> (from the UNDP Human Development Report 2013)</w:t>
      </w:r>
      <w:r w:rsidRPr="00445095">
        <w:rPr>
          <w:lang w:val="en-US"/>
        </w:rPr>
        <w:t>.</w:t>
      </w:r>
    </w:p>
    <w:p w:rsidR="00177EDF" w:rsidRPr="00445095" w:rsidRDefault="00177EDF" w:rsidP="00177EDF">
      <w:pPr>
        <w:ind w:left="1080" w:right="720"/>
        <w:jc w:val="both"/>
        <w:rPr>
          <w:lang w:val="en-US"/>
        </w:rPr>
      </w:pPr>
    </w:p>
    <w:p w:rsidR="00177EDF" w:rsidRPr="00445095" w:rsidRDefault="00177EDF" w:rsidP="00177EDF">
      <w:pPr>
        <w:numPr>
          <w:ilvl w:val="0"/>
          <w:numId w:val="2"/>
        </w:numPr>
        <w:ind w:left="1080" w:right="720" w:firstLine="0"/>
        <w:jc w:val="both"/>
        <w:rPr>
          <w:lang w:val="en-US"/>
        </w:rPr>
      </w:pPr>
      <w:r w:rsidRPr="00445095">
        <w:rPr>
          <w:lang w:val="en-US"/>
        </w:rPr>
        <w:t>These two have not been added to the list of six indicators above because they are not of the same nature: UNFPA directly works on the areas addressed by the six indicators, while these two supplemental factors are areas that affect the organization’s work but addressing them is not a core focus of the organization’s work (although there may be indirect effects, as, for example, efforts to promote gender equality may influence income inequality).</w:t>
      </w:r>
    </w:p>
    <w:p w:rsidR="00177EDF" w:rsidRPr="00445095" w:rsidRDefault="00177EDF" w:rsidP="00177EDF">
      <w:pPr>
        <w:ind w:left="1080" w:right="720"/>
        <w:jc w:val="both"/>
        <w:rPr>
          <w:lang w:val="en-US"/>
        </w:rPr>
      </w:pPr>
    </w:p>
    <w:p w:rsidR="00177EDF" w:rsidRDefault="00177EDF" w:rsidP="00177EDF">
      <w:pPr>
        <w:pStyle w:val="Heading3"/>
        <w:rPr>
          <w:lang w:val="en-US"/>
        </w:rPr>
      </w:pPr>
      <w:r w:rsidRPr="00445095">
        <w:t>Set indicator weighting</w:t>
      </w:r>
    </w:p>
    <w:p w:rsidR="00177EDF" w:rsidRPr="002033FE" w:rsidRDefault="00177EDF" w:rsidP="00177EDF">
      <w:pPr>
        <w:rPr>
          <w:lang w:val="en-US" w:eastAsia="x-none"/>
        </w:rPr>
      </w:pPr>
    </w:p>
    <w:p w:rsidR="00177EDF" w:rsidRPr="00445095" w:rsidRDefault="00177EDF" w:rsidP="00177EDF">
      <w:pPr>
        <w:numPr>
          <w:ilvl w:val="0"/>
          <w:numId w:val="2"/>
        </w:numPr>
        <w:ind w:left="1080" w:right="720" w:firstLine="0"/>
        <w:jc w:val="both"/>
        <w:rPr>
          <w:lang w:val="en-US"/>
        </w:rPr>
      </w:pPr>
      <w:r w:rsidRPr="00445095">
        <w:rPr>
          <w:lang w:val="en-US"/>
        </w:rPr>
        <w:t xml:space="preserve">In the current RAS, all </w:t>
      </w:r>
      <w:r>
        <w:rPr>
          <w:lang w:val="en-US"/>
        </w:rPr>
        <w:t>eight indicators are treated co</w:t>
      </w:r>
      <w:r w:rsidRPr="00445095">
        <w:rPr>
          <w:lang w:val="en-US"/>
        </w:rPr>
        <w:t>equally.  This is problematic because it implies that each is of equal importance for the organization, which is clearly not the case.  Therefore, an additional step is proposed to be added to the RAS to weight the indicators.</w:t>
      </w:r>
    </w:p>
    <w:p w:rsidR="00177EDF" w:rsidRPr="00445095" w:rsidRDefault="00177EDF" w:rsidP="00177EDF">
      <w:pPr>
        <w:ind w:left="1080" w:right="720"/>
        <w:jc w:val="both"/>
        <w:rPr>
          <w:lang w:val="en-US"/>
        </w:rPr>
      </w:pPr>
    </w:p>
    <w:p w:rsidR="00177EDF" w:rsidRPr="00445095" w:rsidRDefault="00177EDF" w:rsidP="00177EDF">
      <w:pPr>
        <w:numPr>
          <w:ilvl w:val="0"/>
          <w:numId w:val="2"/>
        </w:numPr>
        <w:ind w:left="1080" w:right="720" w:firstLine="0"/>
        <w:jc w:val="both"/>
        <w:rPr>
          <w:lang w:val="en-US"/>
        </w:rPr>
      </w:pPr>
      <w:r w:rsidRPr="00445095">
        <w:rPr>
          <w:lang w:val="en-US"/>
        </w:rPr>
        <w:t>Several methodological approaches to combining indicators were explored.  The approach ultimately settled upon is a simple, points-based system that assigns weights (points) first to each indicator (</w:t>
      </w:r>
      <w:r w:rsidRPr="00445095">
        <w:rPr>
          <w:i/>
          <w:u w:val="single"/>
          <w:lang w:val="en-US"/>
        </w:rPr>
        <w:t>inter</w:t>
      </w:r>
      <w:r w:rsidRPr="00445095">
        <w:rPr>
          <w:lang w:val="en-US"/>
        </w:rPr>
        <w:t>-indicator weighting) and then to levels of need within an indicator (</w:t>
      </w:r>
      <w:r w:rsidRPr="00445095">
        <w:rPr>
          <w:i/>
          <w:u w:val="single"/>
          <w:lang w:val="en-US"/>
        </w:rPr>
        <w:t>intra</w:t>
      </w:r>
      <w:r w:rsidRPr="00445095">
        <w:rPr>
          <w:lang w:val="en-US"/>
        </w:rPr>
        <w:t>-indicator weighting).  This approach has commonalities with systems used by UNICEF and the Global Fund to Fight AIDS, Tuberculosis and Malaria.</w:t>
      </w:r>
    </w:p>
    <w:p w:rsidR="00177EDF" w:rsidRPr="00445095" w:rsidRDefault="00177EDF" w:rsidP="00177EDF">
      <w:pPr>
        <w:ind w:left="1080" w:right="720"/>
        <w:jc w:val="both"/>
        <w:rPr>
          <w:lang w:val="en-US"/>
        </w:rPr>
      </w:pPr>
    </w:p>
    <w:p w:rsidR="00177EDF" w:rsidRPr="00445095" w:rsidRDefault="00177EDF" w:rsidP="00177EDF">
      <w:pPr>
        <w:numPr>
          <w:ilvl w:val="0"/>
          <w:numId w:val="2"/>
        </w:numPr>
        <w:ind w:left="1080" w:right="720" w:firstLine="0"/>
        <w:jc w:val="both"/>
        <w:rPr>
          <w:lang w:val="en-US"/>
        </w:rPr>
      </w:pPr>
      <w:r w:rsidRPr="00445095">
        <w:rPr>
          <w:lang w:val="en-US"/>
        </w:rPr>
        <w:t xml:space="preserve">The choice of inter-indicator weights is not a strictly statistical exercise that can be based on existing empirical information.  Instead, the weights should reflect strategic decision-making about the organization’s priorities.  Figure </w:t>
      </w:r>
      <w:r>
        <w:rPr>
          <w:lang w:val="en-US"/>
        </w:rPr>
        <w:t>5</w:t>
      </w:r>
      <w:r w:rsidRPr="00445095">
        <w:rPr>
          <w:lang w:val="en-US"/>
        </w:rPr>
        <w:t xml:space="preserve"> shows the weights for each of the six indicators listed above.</w:t>
      </w:r>
    </w:p>
    <w:p w:rsidR="00177EDF" w:rsidRPr="00445095" w:rsidRDefault="00177EDF" w:rsidP="00177EDF">
      <w:pPr>
        <w:ind w:left="1080" w:right="720"/>
        <w:jc w:val="both"/>
        <w:rPr>
          <w:lang w:val="en-US"/>
        </w:rPr>
      </w:pPr>
    </w:p>
    <w:p w:rsidR="00177EDF" w:rsidRPr="00445095" w:rsidRDefault="00177EDF" w:rsidP="00212013">
      <w:pPr>
        <w:keepNext/>
        <w:ind w:left="1080" w:right="720"/>
        <w:jc w:val="both"/>
        <w:rPr>
          <w:lang w:val="en-US"/>
        </w:rPr>
      </w:pPr>
      <w:r>
        <w:rPr>
          <w:b/>
          <w:lang w:val="en-US"/>
        </w:rPr>
        <w:lastRenderedPageBreak/>
        <w:t>Figure 5</w:t>
      </w:r>
      <w:r w:rsidRPr="00445095">
        <w:rPr>
          <w:b/>
          <w:lang w:val="en-US"/>
        </w:rPr>
        <w:t xml:space="preserve">: </w:t>
      </w:r>
      <w:r>
        <w:rPr>
          <w:b/>
          <w:lang w:val="en-US"/>
        </w:rPr>
        <w:t>W</w:t>
      </w:r>
      <w:r w:rsidRPr="00445095">
        <w:rPr>
          <w:b/>
          <w:lang w:val="en-US"/>
        </w:rPr>
        <w:t>eighting of RAS indicators</w:t>
      </w:r>
    </w:p>
    <w:p w:rsidR="00177EDF" w:rsidRPr="00445095" w:rsidRDefault="00177EDF" w:rsidP="00177EDF">
      <w:pPr>
        <w:ind w:left="1080" w:right="720"/>
        <w:jc w:val="both"/>
        <w:rPr>
          <w:lang w:val="en-US"/>
        </w:rPr>
      </w:pPr>
      <w:r>
        <w:rPr>
          <w:noProof/>
          <w:lang w:val="en-US"/>
        </w:rPr>
        <w:drawing>
          <wp:inline distT="0" distB="0" distL="0" distR="0" wp14:anchorId="045B9FD6" wp14:editId="4A0F93E8">
            <wp:extent cx="4882515" cy="3019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2515" cy="3019425"/>
                    </a:xfrm>
                    <a:prstGeom prst="rect">
                      <a:avLst/>
                    </a:prstGeom>
                    <a:noFill/>
                    <a:ln>
                      <a:noFill/>
                    </a:ln>
                  </pic:spPr>
                </pic:pic>
              </a:graphicData>
            </a:graphic>
          </wp:inline>
        </w:drawing>
      </w:r>
    </w:p>
    <w:p w:rsidR="00177EDF" w:rsidRPr="00445095" w:rsidRDefault="00177EDF" w:rsidP="00177EDF">
      <w:pPr>
        <w:ind w:left="1080" w:right="720"/>
        <w:jc w:val="both"/>
        <w:rPr>
          <w:lang w:val="en-US"/>
        </w:rPr>
      </w:pPr>
    </w:p>
    <w:p w:rsidR="00177EDF" w:rsidRPr="00445095" w:rsidRDefault="00177EDF" w:rsidP="00177EDF">
      <w:pPr>
        <w:ind w:left="1080" w:right="720"/>
        <w:jc w:val="both"/>
        <w:rPr>
          <w:lang w:val="en-US"/>
        </w:rPr>
      </w:pPr>
    </w:p>
    <w:p w:rsidR="00177EDF" w:rsidRPr="00445095" w:rsidRDefault="00177EDF" w:rsidP="00177EDF">
      <w:pPr>
        <w:numPr>
          <w:ilvl w:val="0"/>
          <w:numId w:val="2"/>
        </w:numPr>
        <w:ind w:left="1080" w:right="720" w:firstLine="0"/>
        <w:jc w:val="both"/>
        <w:rPr>
          <w:lang w:val="en-US"/>
        </w:rPr>
      </w:pPr>
      <w:r w:rsidRPr="00445095">
        <w:rPr>
          <w:lang w:val="en-US"/>
        </w:rPr>
        <w:t>This weighti</w:t>
      </w:r>
      <w:r>
        <w:rPr>
          <w:lang w:val="en-US"/>
        </w:rPr>
        <w:t>ng reflects the focus of UNFPA</w:t>
      </w:r>
      <w:r w:rsidRPr="00445095">
        <w:rPr>
          <w:lang w:val="en-US"/>
        </w:rPr>
        <w:t xml:space="preserve"> efforts on sexual and reproductive health, adolescents and youth, and wom</w:t>
      </w:r>
      <w:r>
        <w:rPr>
          <w:lang w:val="en-US"/>
        </w:rPr>
        <w:t xml:space="preserve">en, as reflected in the </w:t>
      </w:r>
      <w:r w:rsidR="00015F15">
        <w:rPr>
          <w:lang w:val="en-US"/>
        </w:rPr>
        <w:t>bull’s eye</w:t>
      </w:r>
      <w:r w:rsidRPr="00445095">
        <w:rPr>
          <w:lang w:val="en-US"/>
        </w:rPr>
        <w:t>.</w:t>
      </w:r>
    </w:p>
    <w:p w:rsidR="00177EDF" w:rsidRPr="00445095" w:rsidRDefault="00177EDF" w:rsidP="00177EDF">
      <w:pPr>
        <w:ind w:left="1080" w:right="720"/>
        <w:jc w:val="both"/>
        <w:rPr>
          <w:lang w:val="en-US"/>
        </w:rPr>
      </w:pPr>
    </w:p>
    <w:p w:rsidR="00177EDF" w:rsidRPr="00445095" w:rsidRDefault="00177EDF" w:rsidP="00177EDF">
      <w:pPr>
        <w:numPr>
          <w:ilvl w:val="0"/>
          <w:numId w:val="2"/>
        </w:numPr>
        <w:ind w:left="1080" w:right="720" w:firstLine="0"/>
        <w:jc w:val="both"/>
        <w:rPr>
          <w:lang w:val="en-US"/>
        </w:rPr>
      </w:pPr>
      <w:r w:rsidRPr="00445095">
        <w:rPr>
          <w:lang w:val="en-US"/>
        </w:rPr>
        <w:t xml:space="preserve">These percentages reflect the maximum points awarded to a country that faces the highest need for a given indicator.  For example, the country with the worst maternal mortality ratio in the world (Chad) receives 20 points.  Naturally, countries that have a lower maternal mortality ratio receive a lower number of points on this indicator than Chad does.  The number of points each receives is determined by what types of interventions UNFPA wishes to deliver in a country.  The typology of interventions is described in greater detail in the </w:t>
      </w:r>
      <w:r>
        <w:rPr>
          <w:lang w:val="en-US"/>
        </w:rPr>
        <w:t xml:space="preserve">Annex </w:t>
      </w:r>
      <w:r w:rsidRPr="00445095">
        <w:rPr>
          <w:lang w:val="en-US"/>
        </w:rPr>
        <w:t>on the business model, as the proposed approach for the RAS builds directly on the conceptual framework set out in the business model:</w:t>
      </w:r>
    </w:p>
    <w:p w:rsidR="00177EDF" w:rsidRPr="00445095" w:rsidRDefault="00177EDF" w:rsidP="00177EDF">
      <w:pPr>
        <w:numPr>
          <w:ilvl w:val="0"/>
          <w:numId w:val="16"/>
        </w:numPr>
        <w:ind w:right="720"/>
        <w:jc w:val="both"/>
        <w:rPr>
          <w:lang w:val="en-US"/>
        </w:rPr>
      </w:pPr>
      <w:r w:rsidRPr="00445095">
        <w:rPr>
          <w:lang w:val="en-US"/>
        </w:rPr>
        <w:t>In the highest need settings, UNFPA often delivers a full range of interventions, from advocacy and policy dialogue/advice, knowledge management, and capacity development to service delivery;</w:t>
      </w:r>
    </w:p>
    <w:p w:rsidR="00177EDF" w:rsidRPr="00445095" w:rsidRDefault="00177EDF" w:rsidP="00177EDF">
      <w:pPr>
        <w:numPr>
          <w:ilvl w:val="0"/>
          <w:numId w:val="16"/>
        </w:numPr>
        <w:ind w:right="720"/>
        <w:jc w:val="both"/>
        <w:rPr>
          <w:lang w:val="en-US"/>
        </w:rPr>
      </w:pPr>
      <w:r w:rsidRPr="00445095">
        <w:rPr>
          <w:lang w:val="en-US"/>
        </w:rPr>
        <w:t xml:space="preserve">In high need settings, UNFPA generally does not focus on service delivery but will </w:t>
      </w:r>
      <w:r>
        <w:rPr>
          <w:lang w:val="en-US"/>
        </w:rPr>
        <w:t xml:space="preserve">be involved in </w:t>
      </w:r>
      <w:r w:rsidRPr="00445095">
        <w:rPr>
          <w:lang w:val="en-US"/>
        </w:rPr>
        <w:t>the other three</w:t>
      </w:r>
      <w:r>
        <w:rPr>
          <w:lang w:val="en-US"/>
        </w:rPr>
        <w:t xml:space="preserve"> programme strategies</w:t>
      </w:r>
      <w:r w:rsidRPr="00445095">
        <w:rPr>
          <w:lang w:val="en-US"/>
        </w:rPr>
        <w:t>;</w:t>
      </w:r>
    </w:p>
    <w:p w:rsidR="00177EDF" w:rsidRPr="00445095" w:rsidRDefault="00177EDF" w:rsidP="00177EDF">
      <w:pPr>
        <w:numPr>
          <w:ilvl w:val="0"/>
          <w:numId w:val="16"/>
        </w:numPr>
        <w:ind w:right="720"/>
        <w:jc w:val="both"/>
        <w:rPr>
          <w:lang w:val="en-US"/>
        </w:rPr>
      </w:pPr>
      <w:r w:rsidRPr="00445095">
        <w:rPr>
          <w:lang w:val="en-US"/>
        </w:rPr>
        <w:t>In medium need settings, UNPFA typically concentrates on advocacy and policy dialogue/advice and knowledge management;</w:t>
      </w:r>
    </w:p>
    <w:p w:rsidR="00177EDF" w:rsidRPr="00445095" w:rsidRDefault="00177EDF" w:rsidP="00177EDF">
      <w:pPr>
        <w:numPr>
          <w:ilvl w:val="0"/>
          <w:numId w:val="16"/>
        </w:numPr>
        <w:ind w:right="720"/>
        <w:jc w:val="both"/>
        <w:rPr>
          <w:lang w:val="en-US"/>
        </w:rPr>
      </w:pPr>
      <w:r w:rsidRPr="00445095">
        <w:rPr>
          <w:lang w:val="en-US"/>
        </w:rPr>
        <w:t xml:space="preserve">In low need settings, UNFPA </w:t>
      </w:r>
      <w:r>
        <w:rPr>
          <w:lang w:val="en-US"/>
        </w:rPr>
        <w:t xml:space="preserve">is generally focused </w:t>
      </w:r>
      <w:r w:rsidRPr="00445095">
        <w:rPr>
          <w:lang w:val="en-US"/>
        </w:rPr>
        <w:t>solely on advocacy and policy dialogue/advice.</w:t>
      </w:r>
    </w:p>
    <w:p w:rsidR="00177EDF" w:rsidRPr="00445095" w:rsidRDefault="00177EDF" w:rsidP="00177EDF">
      <w:pPr>
        <w:ind w:left="1080" w:right="720"/>
        <w:jc w:val="both"/>
        <w:rPr>
          <w:lang w:val="en-US"/>
        </w:rPr>
      </w:pPr>
    </w:p>
    <w:p w:rsidR="00177EDF" w:rsidRPr="00445095" w:rsidRDefault="00177EDF" w:rsidP="00177EDF">
      <w:pPr>
        <w:numPr>
          <w:ilvl w:val="0"/>
          <w:numId w:val="2"/>
        </w:numPr>
        <w:ind w:left="1080" w:right="720" w:firstLine="0"/>
        <w:jc w:val="both"/>
        <w:rPr>
          <w:lang w:val="en-US"/>
        </w:rPr>
      </w:pPr>
      <w:r w:rsidRPr="00445095">
        <w:rPr>
          <w:lang w:val="en-US"/>
        </w:rPr>
        <w:t xml:space="preserve">These different modes of engagement determine the amount of points assigned for each need quartile: because UNFPA will deliver a full package of services in the highest need countries, countries in this quartile are assigned the maximum number of points for a particular indicator (in the case of maternal mortality, 20).  Conversely, in high </w:t>
      </w:r>
      <w:r>
        <w:rPr>
          <w:lang w:val="en-US"/>
        </w:rPr>
        <w:t xml:space="preserve">– as opposed to highest – </w:t>
      </w:r>
      <w:r w:rsidRPr="00445095">
        <w:rPr>
          <w:lang w:val="en-US"/>
        </w:rPr>
        <w:t>need</w:t>
      </w:r>
      <w:r>
        <w:rPr>
          <w:lang w:val="en-US"/>
        </w:rPr>
        <w:t xml:space="preserve"> </w:t>
      </w:r>
      <w:r w:rsidRPr="00445095">
        <w:rPr>
          <w:lang w:val="en-US"/>
        </w:rPr>
        <w:t xml:space="preserve">settings, UNFPA generally engages in all programme strategies except service delivery; since service delivery is expensive, removing this from the package of interventions reduces the number of points assigned to a country in high need.  In the case of maternal mortality, these countries receive only 12 points.  For countries with medium need and so receiving only advocacy and policy dialogue/advice, knowledge management, 6 points are assigned, while low need countries in which UNFPA is only engaged advocacy and policy </w:t>
      </w:r>
      <w:r w:rsidRPr="00445095">
        <w:rPr>
          <w:lang w:val="en-US"/>
        </w:rPr>
        <w:lastRenderedPageBreak/>
        <w:t>dialogue/advice do not receive any need points (zero points are assigned because the basic capacity to handle advocacy and policy dialogue/advice is factored in elsewhere in the model, as described further below).</w:t>
      </w:r>
    </w:p>
    <w:p w:rsidR="00177EDF" w:rsidRPr="00445095" w:rsidRDefault="00177EDF" w:rsidP="00177EDF">
      <w:pPr>
        <w:ind w:left="1080" w:right="720"/>
        <w:jc w:val="both"/>
        <w:rPr>
          <w:lang w:val="en-US"/>
        </w:rPr>
      </w:pPr>
    </w:p>
    <w:p w:rsidR="00177EDF" w:rsidRPr="00445095" w:rsidRDefault="00177EDF" w:rsidP="00177EDF">
      <w:pPr>
        <w:numPr>
          <w:ilvl w:val="0"/>
          <w:numId w:val="2"/>
        </w:numPr>
        <w:ind w:left="1080" w:right="720" w:firstLine="0"/>
        <w:jc w:val="both"/>
        <w:rPr>
          <w:lang w:val="en-US"/>
        </w:rPr>
      </w:pPr>
      <w:r w:rsidRPr="00445095">
        <w:rPr>
          <w:lang w:val="en-US"/>
        </w:rPr>
        <w:t>Using this approach, each country in which UNFPA operates can be assigned a scor</w:t>
      </w:r>
      <w:r>
        <w:rPr>
          <w:lang w:val="en-US"/>
        </w:rPr>
        <w:t>e, as in the examples in table 5</w:t>
      </w:r>
      <w:r w:rsidRPr="00445095">
        <w:rPr>
          <w:lang w:val="en-US"/>
        </w:rPr>
        <w:t>.</w:t>
      </w:r>
    </w:p>
    <w:p w:rsidR="00177EDF" w:rsidRDefault="00177EDF" w:rsidP="00177EDF">
      <w:pPr>
        <w:ind w:left="1080" w:right="720"/>
        <w:jc w:val="both"/>
        <w:rPr>
          <w:lang w:val="en-US"/>
        </w:rPr>
      </w:pPr>
    </w:p>
    <w:p w:rsidR="00177EDF" w:rsidRDefault="00177EDF" w:rsidP="00177EDF">
      <w:pPr>
        <w:ind w:left="1080" w:right="720"/>
        <w:jc w:val="both"/>
        <w:rPr>
          <w:lang w:val="en-US"/>
        </w:rPr>
      </w:pPr>
      <w:r w:rsidRPr="00445095">
        <w:rPr>
          <w:b/>
          <w:lang w:val="en-US"/>
        </w:rPr>
        <w:t xml:space="preserve">Table </w:t>
      </w:r>
      <w:r>
        <w:rPr>
          <w:b/>
          <w:lang w:val="en-US"/>
        </w:rPr>
        <w:t>5</w:t>
      </w:r>
      <w:r w:rsidRPr="00445095">
        <w:rPr>
          <w:b/>
          <w:lang w:val="en-US"/>
        </w:rPr>
        <w:t>: Examples of point-based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8"/>
        <w:gridCol w:w="900"/>
        <w:gridCol w:w="635"/>
        <w:gridCol w:w="715"/>
        <w:gridCol w:w="551"/>
        <w:gridCol w:w="709"/>
        <w:gridCol w:w="556"/>
        <w:gridCol w:w="704"/>
        <w:gridCol w:w="562"/>
        <w:gridCol w:w="698"/>
        <w:gridCol w:w="567"/>
        <w:gridCol w:w="693"/>
        <w:gridCol w:w="573"/>
        <w:gridCol w:w="705"/>
      </w:tblGrid>
      <w:tr w:rsidR="00177EDF" w:rsidRPr="00DB4B8A" w:rsidTr="009B383D">
        <w:tc>
          <w:tcPr>
            <w:tcW w:w="1008" w:type="dxa"/>
            <w:shd w:val="clear" w:color="auto" w:fill="auto"/>
          </w:tcPr>
          <w:p w:rsidR="00177EDF" w:rsidRPr="00DB4B8A" w:rsidRDefault="00177EDF" w:rsidP="009B383D">
            <w:pPr>
              <w:jc w:val="both"/>
              <w:rPr>
                <w:b/>
                <w:sz w:val="18"/>
                <w:szCs w:val="24"/>
                <w:lang w:val="en-US"/>
              </w:rPr>
            </w:pPr>
          </w:p>
        </w:tc>
        <w:tc>
          <w:tcPr>
            <w:tcW w:w="1535" w:type="dxa"/>
            <w:gridSpan w:val="2"/>
            <w:shd w:val="clear" w:color="auto" w:fill="auto"/>
          </w:tcPr>
          <w:p w:rsidR="00177EDF" w:rsidRPr="00DB4B8A" w:rsidRDefault="00177EDF" w:rsidP="009B383D">
            <w:pPr>
              <w:jc w:val="both"/>
              <w:rPr>
                <w:b/>
                <w:sz w:val="18"/>
                <w:szCs w:val="24"/>
                <w:lang w:val="en-US"/>
              </w:rPr>
            </w:pPr>
            <w:r w:rsidRPr="00DB4B8A">
              <w:rPr>
                <w:b/>
                <w:sz w:val="18"/>
                <w:szCs w:val="24"/>
              </w:rPr>
              <w:t>Proportion of births attended by skilled health personnel for the poorest quintile of the population</w:t>
            </w:r>
          </w:p>
        </w:tc>
        <w:tc>
          <w:tcPr>
            <w:tcW w:w="1266" w:type="dxa"/>
            <w:gridSpan w:val="2"/>
            <w:shd w:val="clear" w:color="auto" w:fill="auto"/>
          </w:tcPr>
          <w:p w:rsidR="00177EDF" w:rsidRPr="00DB4B8A" w:rsidRDefault="00177EDF" w:rsidP="009B383D">
            <w:pPr>
              <w:jc w:val="both"/>
              <w:rPr>
                <w:b/>
                <w:sz w:val="18"/>
                <w:szCs w:val="24"/>
                <w:lang w:val="en-US"/>
              </w:rPr>
            </w:pPr>
            <w:r w:rsidRPr="00DB4B8A">
              <w:rPr>
                <w:b/>
                <w:sz w:val="18"/>
                <w:szCs w:val="24"/>
                <w:lang w:val="en-US"/>
              </w:rPr>
              <w:t>Maternal mortality ratio</w:t>
            </w:r>
          </w:p>
        </w:tc>
        <w:tc>
          <w:tcPr>
            <w:tcW w:w="1265" w:type="dxa"/>
            <w:gridSpan w:val="2"/>
            <w:shd w:val="clear" w:color="auto" w:fill="auto"/>
          </w:tcPr>
          <w:p w:rsidR="00177EDF" w:rsidRPr="00DF6B08" w:rsidRDefault="00177EDF" w:rsidP="009B383D">
            <w:pPr>
              <w:jc w:val="both"/>
              <w:rPr>
                <w:lang w:val="en-US"/>
              </w:rPr>
            </w:pPr>
            <w:r w:rsidRPr="00DF6B08">
              <w:rPr>
                <w:b/>
                <w:sz w:val="18"/>
                <w:szCs w:val="24"/>
                <w:lang w:val="en-US"/>
              </w:rPr>
              <w:t>Adolescent birth rate</w:t>
            </w:r>
          </w:p>
        </w:tc>
        <w:tc>
          <w:tcPr>
            <w:tcW w:w="1266" w:type="dxa"/>
            <w:gridSpan w:val="2"/>
            <w:shd w:val="clear" w:color="auto" w:fill="auto"/>
          </w:tcPr>
          <w:p w:rsidR="00177EDF" w:rsidRPr="00DB4B8A" w:rsidRDefault="00177EDF" w:rsidP="009B383D">
            <w:pPr>
              <w:jc w:val="both"/>
              <w:rPr>
                <w:b/>
                <w:sz w:val="18"/>
                <w:szCs w:val="24"/>
                <w:lang w:val="en-US"/>
              </w:rPr>
            </w:pPr>
            <w:r w:rsidRPr="00DB4B8A">
              <w:rPr>
                <w:b/>
                <w:sz w:val="18"/>
                <w:szCs w:val="24"/>
                <w:lang w:val="en-US"/>
              </w:rPr>
              <w:t>Proportion of demand for modern contraception satisfied</w:t>
            </w:r>
          </w:p>
        </w:tc>
        <w:tc>
          <w:tcPr>
            <w:tcW w:w="1265" w:type="dxa"/>
            <w:gridSpan w:val="2"/>
            <w:shd w:val="clear" w:color="auto" w:fill="auto"/>
          </w:tcPr>
          <w:p w:rsidR="00177EDF" w:rsidRPr="00DB4B8A" w:rsidRDefault="00177EDF" w:rsidP="009B383D">
            <w:pPr>
              <w:jc w:val="both"/>
              <w:rPr>
                <w:b/>
                <w:sz w:val="18"/>
                <w:szCs w:val="24"/>
                <w:lang w:val="en-US"/>
              </w:rPr>
            </w:pPr>
            <w:r w:rsidRPr="00DB4B8A">
              <w:rPr>
                <w:b/>
                <w:sz w:val="18"/>
                <w:szCs w:val="24"/>
                <w:lang w:val="en-US"/>
              </w:rPr>
              <w:t>HIV prevalence, 15-24 year olds</w:t>
            </w:r>
          </w:p>
        </w:tc>
        <w:tc>
          <w:tcPr>
            <w:tcW w:w="1266" w:type="dxa"/>
            <w:gridSpan w:val="2"/>
            <w:shd w:val="clear" w:color="auto" w:fill="auto"/>
          </w:tcPr>
          <w:p w:rsidR="00177EDF" w:rsidRPr="00DB4B8A" w:rsidRDefault="00177EDF" w:rsidP="009B383D">
            <w:pPr>
              <w:jc w:val="both"/>
              <w:rPr>
                <w:b/>
                <w:sz w:val="18"/>
                <w:szCs w:val="24"/>
                <w:lang w:val="en-US"/>
              </w:rPr>
            </w:pPr>
            <w:r w:rsidRPr="00DB4B8A">
              <w:rPr>
                <w:b/>
                <w:sz w:val="18"/>
                <w:szCs w:val="24"/>
                <w:lang w:val="en-US"/>
              </w:rPr>
              <w:t>Gender Inequality Index</w:t>
            </w:r>
          </w:p>
        </w:tc>
        <w:tc>
          <w:tcPr>
            <w:tcW w:w="705" w:type="dxa"/>
            <w:shd w:val="clear" w:color="auto" w:fill="auto"/>
          </w:tcPr>
          <w:p w:rsidR="00177EDF" w:rsidRPr="00DB4B8A" w:rsidRDefault="00177EDF" w:rsidP="009B383D">
            <w:pPr>
              <w:jc w:val="both"/>
              <w:rPr>
                <w:b/>
                <w:sz w:val="18"/>
                <w:szCs w:val="24"/>
                <w:lang w:val="en-US"/>
              </w:rPr>
            </w:pPr>
            <w:r w:rsidRPr="00DB4B8A">
              <w:rPr>
                <w:b/>
                <w:sz w:val="18"/>
                <w:szCs w:val="24"/>
                <w:lang w:val="en-US"/>
              </w:rPr>
              <w:t>Total points</w:t>
            </w:r>
          </w:p>
        </w:tc>
      </w:tr>
      <w:tr w:rsidR="00177EDF" w:rsidRPr="00DB4B8A" w:rsidTr="009B383D">
        <w:tc>
          <w:tcPr>
            <w:tcW w:w="1008" w:type="dxa"/>
            <w:shd w:val="clear" w:color="auto" w:fill="auto"/>
          </w:tcPr>
          <w:p w:rsidR="00177EDF" w:rsidRPr="00DB4B8A" w:rsidRDefault="00177EDF" w:rsidP="009B383D">
            <w:pPr>
              <w:jc w:val="both"/>
              <w:rPr>
                <w:b/>
                <w:sz w:val="18"/>
                <w:szCs w:val="24"/>
                <w:lang w:val="en-US"/>
              </w:rPr>
            </w:pPr>
            <w:r w:rsidRPr="00DB4B8A">
              <w:rPr>
                <w:b/>
                <w:sz w:val="18"/>
                <w:szCs w:val="24"/>
                <w:lang w:val="en-US"/>
              </w:rPr>
              <w:t>Country</w:t>
            </w:r>
          </w:p>
        </w:tc>
        <w:tc>
          <w:tcPr>
            <w:tcW w:w="900" w:type="dxa"/>
            <w:shd w:val="clear" w:color="auto" w:fill="auto"/>
          </w:tcPr>
          <w:p w:rsidR="00177EDF" w:rsidRPr="00DB4B8A" w:rsidRDefault="00177EDF" w:rsidP="009B383D">
            <w:pPr>
              <w:jc w:val="both"/>
              <w:rPr>
                <w:b/>
                <w:sz w:val="18"/>
                <w:szCs w:val="24"/>
                <w:lang w:val="en-US"/>
              </w:rPr>
            </w:pPr>
            <w:r w:rsidRPr="00DB4B8A">
              <w:rPr>
                <w:b/>
                <w:sz w:val="18"/>
                <w:szCs w:val="24"/>
                <w:lang w:val="en-US"/>
              </w:rPr>
              <w:t>Quadrant</w:t>
            </w:r>
          </w:p>
        </w:tc>
        <w:tc>
          <w:tcPr>
            <w:tcW w:w="635" w:type="dxa"/>
            <w:shd w:val="clear" w:color="auto" w:fill="auto"/>
          </w:tcPr>
          <w:p w:rsidR="00177EDF" w:rsidRPr="00DB4B8A" w:rsidRDefault="00177EDF" w:rsidP="009B383D">
            <w:pPr>
              <w:jc w:val="both"/>
              <w:rPr>
                <w:b/>
                <w:sz w:val="18"/>
                <w:szCs w:val="24"/>
                <w:lang w:val="en-US"/>
              </w:rPr>
            </w:pPr>
            <w:r w:rsidRPr="00DB4B8A">
              <w:rPr>
                <w:b/>
                <w:sz w:val="18"/>
                <w:szCs w:val="24"/>
                <w:lang w:val="en-US"/>
              </w:rPr>
              <w:t>Points</w:t>
            </w:r>
          </w:p>
        </w:tc>
        <w:tc>
          <w:tcPr>
            <w:tcW w:w="715" w:type="dxa"/>
            <w:shd w:val="clear" w:color="auto" w:fill="auto"/>
          </w:tcPr>
          <w:p w:rsidR="00177EDF" w:rsidRPr="00DB4B8A" w:rsidRDefault="00177EDF" w:rsidP="009B383D">
            <w:pPr>
              <w:jc w:val="both"/>
              <w:rPr>
                <w:b/>
                <w:sz w:val="18"/>
                <w:szCs w:val="24"/>
                <w:lang w:val="en-US"/>
              </w:rPr>
            </w:pPr>
            <w:r w:rsidRPr="00DB4B8A">
              <w:rPr>
                <w:b/>
                <w:sz w:val="18"/>
                <w:szCs w:val="24"/>
                <w:lang w:val="en-US"/>
              </w:rPr>
              <w:t>Quadrant</w:t>
            </w:r>
          </w:p>
        </w:tc>
        <w:tc>
          <w:tcPr>
            <w:tcW w:w="551" w:type="dxa"/>
            <w:shd w:val="clear" w:color="auto" w:fill="auto"/>
          </w:tcPr>
          <w:p w:rsidR="00177EDF" w:rsidRPr="00DB4B8A" w:rsidRDefault="00177EDF" w:rsidP="009B383D">
            <w:pPr>
              <w:jc w:val="both"/>
              <w:rPr>
                <w:b/>
                <w:sz w:val="18"/>
                <w:szCs w:val="24"/>
                <w:lang w:val="en-US"/>
              </w:rPr>
            </w:pPr>
            <w:r w:rsidRPr="00DB4B8A">
              <w:rPr>
                <w:b/>
                <w:sz w:val="18"/>
                <w:szCs w:val="24"/>
                <w:lang w:val="en-US"/>
              </w:rPr>
              <w:t>Points</w:t>
            </w:r>
          </w:p>
        </w:tc>
        <w:tc>
          <w:tcPr>
            <w:tcW w:w="709" w:type="dxa"/>
            <w:shd w:val="clear" w:color="auto" w:fill="auto"/>
          </w:tcPr>
          <w:p w:rsidR="00177EDF" w:rsidRPr="00DB4B8A" w:rsidRDefault="00177EDF" w:rsidP="009B383D">
            <w:pPr>
              <w:jc w:val="both"/>
              <w:rPr>
                <w:b/>
                <w:sz w:val="18"/>
                <w:szCs w:val="24"/>
                <w:lang w:val="en-US"/>
              </w:rPr>
            </w:pPr>
            <w:r w:rsidRPr="00DB4B8A">
              <w:rPr>
                <w:b/>
                <w:sz w:val="18"/>
                <w:szCs w:val="24"/>
                <w:lang w:val="en-US"/>
              </w:rPr>
              <w:t>Quadrant</w:t>
            </w:r>
          </w:p>
        </w:tc>
        <w:tc>
          <w:tcPr>
            <w:tcW w:w="556" w:type="dxa"/>
            <w:shd w:val="clear" w:color="auto" w:fill="auto"/>
          </w:tcPr>
          <w:p w:rsidR="00177EDF" w:rsidRPr="00DB4B8A" w:rsidRDefault="00177EDF" w:rsidP="009B383D">
            <w:pPr>
              <w:jc w:val="both"/>
              <w:rPr>
                <w:b/>
                <w:sz w:val="18"/>
                <w:szCs w:val="24"/>
                <w:lang w:val="en-US"/>
              </w:rPr>
            </w:pPr>
            <w:r w:rsidRPr="00DB4B8A">
              <w:rPr>
                <w:b/>
                <w:sz w:val="18"/>
                <w:szCs w:val="24"/>
                <w:lang w:val="en-US"/>
              </w:rPr>
              <w:t>Points</w:t>
            </w:r>
          </w:p>
        </w:tc>
        <w:tc>
          <w:tcPr>
            <w:tcW w:w="704" w:type="dxa"/>
            <w:shd w:val="clear" w:color="auto" w:fill="auto"/>
          </w:tcPr>
          <w:p w:rsidR="00177EDF" w:rsidRPr="00DB4B8A" w:rsidRDefault="00177EDF" w:rsidP="009B383D">
            <w:pPr>
              <w:jc w:val="both"/>
              <w:rPr>
                <w:b/>
                <w:sz w:val="18"/>
                <w:szCs w:val="24"/>
                <w:lang w:val="en-US"/>
              </w:rPr>
            </w:pPr>
            <w:r w:rsidRPr="00DB4B8A">
              <w:rPr>
                <w:b/>
                <w:sz w:val="18"/>
                <w:szCs w:val="24"/>
                <w:lang w:val="en-US"/>
              </w:rPr>
              <w:t>Quadrant</w:t>
            </w:r>
          </w:p>
        </w:tc>
        <w:tc>
          <w:tcPr>
            <w:tcW w:w="562" w:type="dxa"/>
            <w:shd w:val="clear" w:color="auto" w:fill="auto"/>
          </w:tcPr>
          <w:p w:rsidR="00177EDF" w:rsidRPr="00DB4B8A" w:rsidRDefault="00177EDF" w:rsidP="009B383D">
            <w:pPr>
              <w:jc w:val="both"/>
              <w:rPr>
                <w:b/>
                <w:sz w:val="18"/>
                <w:szCs w:val="24"/>
                <w:lang w:val="en-US"/>
              </w:rPr>
            </w:pPr>
            <w:r w:rsidRPr="00DB4B8A">
              <w:rPr>
                <w:b/>
                <w:sz w:val="18"/>
                <w:szCs w:val="24"/>
                <w:lang w:val="en-US"/>
              </w:rPr>
              <w:t>Points</w:t>
            </w:r>
          </w:p>
        </w:tc>
        <w:tc>
          <w:tcPr>
            <w:tcW w:w="698" w:type="dxa"/>
            <w:shd w:val="clear" w:color="auto" w:fill="auto"/>
          </w:tcPr>
          <w:p w:rsidR="00177EDF" w:rsidRPr="00DB4B8A" w:rsidRDefault="00177EDF" w:rsidP="009B383D">
            <w:pPr>
              <w:jc w:val="both"/>
              <w:rPr>
                <w:b/>
                <w:sz w:val="18"/>
                <w:szCs w:val="24"/>
                <w:lang w:val="en-US"/>
              </w:rPr>
            </w:pPr>
            <w:r w:rsidRPr="00DB4B8A">
              <w:rPr>
                <w:b/>
                <w:sz w:val="18"/>
                <w:szCs w:val="24"/>
                <w:lang w:val="en-US"/>
              </w:rPr>
              <w:t>Quadrant</w:t>
            </w:r>
          </w:p>
        </w:tc>
        <w:tc>
          <w:tcPr>
            <w:tcW w:w="567" w:type="dxa"/>
            <w:shd w:val="clear" w:color="auto" w:fill="auto"/>
          </w:tcPr>
          <w:p w:rsidR="00177EDF" w:rsidRPr="00DB4B8A" w:rsidRDefault="00177EDF" w:rsidP="009B383D">
            <w:pPr>
              <w:jc w:val="both"/>
              <w:rPr>
                <w:b/>
                <w:sz w:val="18"/>
                <w:szCs w:val="24"/>
                <w:lang w:val="en-US"/>
              </w:rPr>
            </w:pPr>
            <w:r w:rsidRPr="00DB4B8A">
              <w:rPr>
                <w:b/>
                <w:sz w:val="18"/>
                <w:szCs w:val="24"/>
                <w:lang w:val="en-US"/>
              </w:rPr>
              <w:t>Points</w:t>
            </w:r>
          </w:p>
        </w:tc>
        <w:tc>
          <w:tcPr>
            <w:tcW w:w="693" w:type="dxa"/>
            <w:shd w:val="clear" w:color="auto" w:fill="auto"/>
          </w:tcPr>
          <w:p w:rsidR="00177EDF" w:rsidRPr="00DB4B8A" w:rsidRDefault="00177EDF" w:rsidP="009B383D">
            <w:pPr>
              <w:jc w:val="both"/>
              <w:rPr>
                <w:b/>
                <w:sz w:val="18"/>
                <w:szCs w:val="24"/>
                <w:lang w:val="en-US"/>
              </w:rPr>
            </w:pPr>
            <w:r w:rsidRPr="00DB4B8A">
              <w:rPr>
                <w:b/>
                <w:sz w:val="18"/>
                <w:szCs w:val="24"/>
                <w:lang w:val="en-US"/>
              </w:rPr>
              <w:t>Quadrant</w:t>
            </w:r>
          </w:p>
        </w:tc>
        <w:tc>
          <w:tcPr>
            <w:tcW w:w="573" w:type="dxa"/>
            <w:shd w:val="clear" w:color="auto" w:fill="auto"/>
          </w:tcPr>
          <w:p w:rsidR="00177EDF" w:rsidRPr="00DB4B8A" w:rsidRDefault="00177EDF" w:rsidP="009B383D">
            <w:pPr>
              <w:jc w:val="both"/>
              <w:rPr>
                <w:b/>
                <w:sz w:val="18"/>
                <w:szCs w:val="24"/>
                <w:lang w:val="en-US"/>
              </w:rPr>
            </w:pPr>
            <w:r w:rsidRPr="00DB4B8A">
              <w:rPr>
                <w:b/>
                <w:sz w:val="18"/>
                <w:szCs w:val="24"/>
                <w:lang w:val="en-US"/>
              </w:rPr>
              <w:t>Points</w:t>
            </w:r>
          </w:p>
        </w:tc>
        <w:tc>
          <w:tcPr>
            <w:tcW w:w="705" w:type="dxa"/>
            <w:shd w:val="clear" w:color="auto" w:fill="auto"/>
          </w:tcPr>
          <w:p w:rsidR="00177EDF" w:rsidRPr="00DB4B8A" w:rsidRDefault="00177EDF" w:rsidP="009B383D">
            <w:pPr>
              <w:jc w:val="both"/>
              <w:rPr>
                <w:b/>
                <w:sz w:val="18"/>
                <w:szCs w:val="24"/>
                <w:lang w:val="en-US"/>
              </w:rPr>
            </w:pPr>
          </w:p>
        </w:tc>
      </w:tr>
      <w:tr w:rsidR="00177EDF" w:rsidRPr="00DB4B8A" w:rsidTr="009B383D">
        <w:tc>
          <w:tcPr>
            <w:tcW w:w="1008" w:type="dxa"/>
            <w:shd w:val="clear" w:color="auto" w:fill="auto"/>
          </w:tcPr>
          <w:p w:rsidR="00177EDF" w:rsidRPr="00DB4B8A" w:rsidRDefault="00177EDF" w:rsidP="009B383D">
            <w:pPr>
              <w:jc w:val="both"/>
              <w:rPr>
                <w:sz w:val="18"/>
                <w:szCs w:val="24"/>
                <w:lang w:val="en-US"/>
              </w:rPr>
            </w:pPr>
            <w:r w:rsidRPr="00DB4B8A">
              <w:rPr>
                <w:sz w:val="18"/>
                <w:szCs w:val="24"/>
                <w:lang w:val="en-US"/>
              </w:rPr>
              <w:t>Botswana</w:t>
            </w:r>
          </w:p>
        </w:tc>
        <w:tc>
          <w:tcPr>
            <w:tcW w:w="900" w:type="dxa"/>
            <w:shd w:val="clear" w:color="auto" w:fill="auto"/>
          </w:tcPr>
          <w:p w:rsidR="00177EDF" w:rsidRPr="00DB4B8A" w:rsidRDefault="00177EDF" w:rsidP="009B383D">
            <w:pPr>
              <w:jc w:val="both"/>
              <w:rPr>
                <w:sz w:val="18"/>
                <w:szCs w:val="24"/>
                <w:lang w:val="en-US"/>
              </w:rPr>
            </w:pPr>
            <w:r w:rsidRPr="00DB4B8A">
              <w:rPr>
                <w:sz w:val="18"/>
                <w:szCs w:val="24"/>
                <w:lang w:val="en-US"/>
              </w:rPr>
              <w:t>Low</w:t>
            </w:r>
          </w:p>
        </w:tc>
        <w:tc>
          <w:tcPr>
            <w:tcW w:w="635" w:type="dxa"/>
            <w:shd w:val="clear" w:color="auto" w:fill="auto"/>
          </w:tcPr>
          <w:p w:rsidR="00177EDF" w:rsidRPr="00DB4B8A" w:rsidRDefault="00177EDF" w:rsidP="009B383D">
            <w:pPr>
              <w:jc w:val="both"/>
              <w:rPr>
                <w:sz w:val="18"/>
                <w:szCs w:val="24"/>
                <w:lang w:val="en-US"/>
              </w:rPr>
            </w:pPr>
            <w:r w:rsidRPr="00DB4B8A">
              <w:rPr>
                <w:sz w:val="18"/>
                <w:szCs w:val="24"/>
                <w:lang w:val="en-US"/>
              </w:rPr>
              <w:t>0</w:t>
            </w:r>
          </w:p>
        </w:tc>
        <w:tc>
          <w:tcPr>
            <w:tcW w:w="715" w:type="dxa"/>
            <w:shd w:val="clear" w:color="auto" w:fill="auto"/>
          </w:tcPr>
          <w:p w:rsidR="00177EDF" w:rsidRPr="00DB4B8A" w:rsidRDefault="00177EDF" w:rsidP="009B383D">
            <w:pPr>
              <w:jc w:val="both"/>
              <w:rPr>
                <w:sz w:val="18"/>
                <w:szCs w:val="24"/>
                <w:lang w:val="en-US"/>
              </w:rPr>
            </w:pPr>
            <w:r w:rsidRPr="00DB4B8A">
              <w:rPr>
                <w:sz w:val="18"/>
                <w:szCs w:val="24"/>
                <w:lang w:val="en-US"/>
              </w:rPr>
              <w:t>Medium</w:t>
            </w:r>
          </w:p>
        </w:tc>
        <w:tc>
          <w:tcPr>
            <w:tcW w:w="551" w:type="dxa"/>
            <w:shd w:val="clear" w:color="auto" w:fill="auto"/>
          </w:tcPr>
          <w:p w:rsidR="00177EDF" w:rsidRPr="00DB4B8A" w:rsidRDefault="00177EDF" w:rsidP="009B383D">
            <w:pPr>
              <w:jc w:val="both"/>
              <w:rPr>
                <w:sz w:val="18"/>
                <w:szCs w:val="24"/>
                <w:lang w:val="en-US"/>
              </w:rPr>
            </w:pPr>
            <w:r w:rsidRPr="00DB4B8A">
              <w:rPr>
                <w:sz w:val="18"/>
                <w:szCs w:val="24"/>
                <w:lang w:val="en-US"/>
              </w:rPr>
              <w:t>6</w:t>
            </w:r>
          </w:p>
        </w:tc>
        <w:tc>
          <w:tcPr>
            <w:tcW w:w="709" w:type="dxa"/>
            <w:shd w:val="clear" w:color="auto" w:fill="auto"/>
          </w:tcPr>
          <w:p w:rsidR="00177EDF" w:rsidRPr="00DB4B8A" w:rsidRDefault="00177EDF" w:rsidP="009B383D">
            <w:pPr>
              <w:jc w:val="both"/>
              <w:rPr>
                <w:sz w:val="18"/>
                <w:szCs w:val="24"/>
                <w:lang w:val="en-US"/>
              </w:rPr>
            </w:pPr>
            <w:r w:rsidRPr="00DB4B8A">
              <w:rPr>
                <w:sz w:val="18"/>
                <w:szCs w:val="24"/>
                <w:lang w:val="en-US"/>
              </w:rPr>
              <w:t>Medium</w:t>
            </w:r>
          </w:p>
        </w:tc>
        <w:tc>
          <w:tcPr>
            <w:tcW w:w="556" w:type="dxa"/>
            <w:shd w:val="clear" w:color="auto" w:fill="auto"/>
          </w:tcPr>
          <w:p w:rsidR="00177EDF" w:rsidRPr="00DB4B8A" w:rsidRDefault="00177EDF" w:rsidP="009B383D">
            <w:pPr>
              <w:jc w:val="both"/>
              <w:rPr>
                <w:sz w:val="18"/>
                <w:szCs w:val="24"/>
                <w:lang w:val="en-US"/>
              </w:rPr>
            </w:pPr>
            <w:r w:rsidRPr="00DB4B8A">
              <w:rPr>
                <w:sz w:val="18"/>
                <w:szCs w:val="24"/>
                <w:lang w:val="en-US"/>
              </w:rPr>
              <w:t>6</w:t>
            </w:r>
          </w:p>
        </w:tc>
        <w:tc>
          <w:tcPr>
            <w:tcW w:w="704" w:type="dxa"/>
            <w:shd w:val="clear" w:color="auto" w:fill="auto"/>
          </w:tcPr>
          <w:p w:rsidR="00177EDF" w:rsidRPr="00DB4B8A" w:rsidRDefault="00177EDF" w:rsidP="009B383D">
            <w:pPr>
              <w:jc w:val="both"/>
              <w:rPr>
                <w:sz w:val="18"/>
                <w:szCs w:val="24"/>
                <w:lang w:val="en-US"/>
              </w:rPr>
            </w:pPr>
            <w:r w:rsidRPr="00DB4B8A">
              <w:rPr>
                <w:sz w:val="18"/>
                <w:szCs w:val="24"/>
                <w:lang w:val="en-US"/>
              </w:rPr>
              <w:t>Medium</w:t>
            </w:r>
          </w:p>
        </w:tc>
        <w:tc>
          <w:tcPr>
            <w:tcW w:w="562" w:type="dxa"/>
            <w:shd w:val="clear" w:color="auto" w:fill="auto"/>
          </w:tcPr>
          <w:p w:rsidR="00177EDF" w:rsidRPr="00DB4B8A" w:rsidRDefault="00177EDF" w:rsidP="009B383D">
            <w:pPr>
              <w:jc w:val="both"/>
              <w:rPr>
                <w:sz w:val="18"/>
                <w:szCs w:val="24"/>
                <w:lang w:val="en-US"/>
              </w:rPr>
            </w:pPr>
            <w:r w:rsidRPr="00DB4B8A">
              <w:rPr>
                <w:sz w:val="18"/>
                <w:szCs w:val="24"/>
                <w:lang w:val="en-US"/>
              </w:rPr>
              <w:t>6</w:t>
            </w:r>
          </w:p>
        </w:tc>
        <w:tc>
          <w:tcPr>
            <w:tcW w:w="698" w:type="dxa"/>
            <w:shd w:val="clear" w:color="auto" w:fill="auto"/>
          </w:tcPr>
          <w:p w:rsidR="00177EDF" w:rsidRPr="00DB4B8A" w:rsidRDefault="00177EDF" w:rsidP="009B383D">
            <w:pPr>
              <w:jc w:val="both"/>
              <w:rPr>
                <w:sz w:val="18"/>
                <w:szCs w:val="24"/>
                <w:lang w:val="en-US"/>
              </w:rPr>
            </w:pPr>
            <w:r w:rsidRPr="00DB4B8A">
              <w:rPr>
                <w:sz w:val="18"/>
                <w:szCs w:val="24"/>
                <w:lang w:val="en-US"/>
              </w:rPr>
              <w:t>Highest</w:t>
            </w:r>
          </w:p>
        </w:tc>
        <w:tc>
          <w:tcPr>
            <w:tcW w:w="567" w:type="dxa"/>
            <w:shd w:val="clear" w:color="auto" w:fill="auto"/>
          </w:tcPr>
          <w:p w:rsidR="00177EDF" w:rsidRPr="00DB4B8A" w:rsidRDefault="00177EDF" w:rsidP="009B383D">
            <w:pPr>
              <w:jc w:val="both"/>
              <w:rPr>
                <w:sz w:val="18"/>
                <w:szCs w:val="24"/>
                <w:lang w:val="en-US"/>
              </w:rPr>
            </w:pPr>
            <w:r w:rsidRPr="00DB4B8A">
              <w:rPr>
                <w:sz w:val="18"/>
                <w:szCs w:val="24"/>
                <w:lang w:val="en-US"/>
              </w:rPr>
              <w:t>5</w:t>
            </w:r>
          </w:p>
        </w:tc>
        <w:tc>
          <w:tcPr>
            <w:tcW w:w="693" w:type="dxa"/>
            <w:shd w:val="clear" w:color="auto" w:fill="auto"/>
          </w:tcPr>
          <w:p w:rsidR="00177EDF" w:rsidRPr="00DB4B8A" w:rsidRDefault="00177EDF" w:rsidP="009B383D">
            <w:pPr>
              <w:jc w:val="both"/>
              <w:rPr>
                <w:sz w:val="18"/>
                <w:szCs w:val="24"/>
                <w:lang w:val="en-US"/>
              </w:rPr>
            </w:pPr>
            <w:r w:rsidRPr="00DB4B8A">
              <w:rPr>
                <w:sz w:val="18"/>
                <w:szCs w:val="24"/>
                <w:lang w:val="en-US"/>
              </w:rPr>
              <w:t>Medium</w:t>
            </w:r>
          </w:p>
        </w:tc>
        <w:tc>
          <w:tcPr>
            <w:tcW w:w="573" w:type="dxa"/>
            <w:shd w:val="clear" w:color="auto" w:fill="auto"/>
          </w:tcPr>
          <w:p w:rsidR="00177EDF" w:rsidRPr="00DB4B8A" w:rsidRDefault="00177EDF" w:rsidP="009B383D">
            <w:pPr>
              <w:jc w:val="both"/>
              <w:rPr>
                <w:sz w:val="18"/>
                <w:szCs w:val="24"/>
                <w:lang w:val="en-US"/>
              </w:rPr>
            </w:pPr>
            <w:r w:rsidRPr="00DB4B8A">
              <w:rPr>
                <w:sz w:val="18"/>
                <w:szCs w:val="24"/>
                <w:lang w:val="en-US"/>
              </w:rPr>
              <w:t>5</w:t>
            </w:r>
          </w:p>
        </w:tc>
        <w:tc>
          <w:tcPr>
            <w:tcW w:w="705" w:type="dxa"/>
            <w:shd w:val="clear" w:color="auto" w:fill="auto"/>
          </w:tcPr>
          <w:p w:rsidR="00177EDF" w:rsidRPr="00DB4B8A" w:rsidRDefault="00177EDF" w:rsidP="009B383D">
            <w:pPr>
              <w:jc w:val="both"/>
              <w:rPr>
                <w:sz w:val="18"/>
                <w:szCs w:val="24"/>
                <w:lang w:val="en-US"/>
              </w:rPr>
            </w:pPr>
            <w:r w:rsidRPr="00DB4B8A">
              <w:rPr>
                <w:sz w:val="18"/>
                <w:szCs w:val="24"/>
                <w:lang w:val="en-US"/>
              </w:rPr>
              <w:t>28</w:t>
            </w:r>
          </w:p>
        </w:tc>
      </w:tr>
      <w:tr w:rsidR="00177EDF" w:rsidRPr="00DB4B8A" w:rsidTr="009B383D">
        <w:tc>
          <w:tcPr>
            <w:tcW w:w="1008" w:type="dxa"/>
            <w:shd w:val="clear" w:color="auto" w:fill="auto"/>
          </w:tcPr>
          <w:p w:rsidR="00177EDF" w:rsidRPr="00DB4B8A" w:rsidRDefault="00177EDF" w:rsidP="009B383D">
            <w:pPr>
              <w:jc w:val="both"/>
              <w:rPr>
                <w:sz w:val="18"/>
                <w:szCs w:val="24"/>
                <w:lang w:val="en-US"/>
              </w:rPr>
            </w:pPr>
            <w:r w:rsidRPr="00DB4B8A">
              <w:rPr>
                <w:sz w:val="18"/>
                <w:szCs w:val="24"/>
                <w:lang w:val="en-US"/>
              </w:rPr>
              <w:t>Chad</w:t>
            </w:r>
          </w:p>
        </w:tc>
        <w:tc>
          <w:tcPr>
            <w:tcW w:w="900" w:type="dxa"/>
            <w:shd w:val="clear" w:color="auto" w:fill="auto"/>
          </w:tcPr>
          <w:p w:rsidR="00177EDF" w:rsidRPr="00DB4B8A" w:rsidRDefault="00177EDF" w:rsidP="009B383D">
            <w:pPr>
              <w:jc w:val="both"/>
              <w:rPr>
                <w:sz w:val="18"/>
                <w:szCs w:val="24"/>
                <w:lang w:val="en-US"/>
              </w:rPr>
            </w:pPr>
            <w:r w:rsidRPr="00DB4B8A">
              <w:rPr>
                <w:sz w:val="18"/>
                <w:szCs w:val="24"/>
                <w:lang w:val="en-US"/>
              </w:rPr>
              <w:t>Highest</w:t>
            </w:r>
          </w:p>
        </w:tc>
        <w:tc>
          <w:tcPr>
            <w:tcW w:w="635" w:type="dxa"/>
            <w:shd w:val="clear" w:color="auto" w:fill="auto"/>
          </w:tcPr>
          <w:p w:rsidR="00177EDF" w:rsidRPr="00DB4B8A" w:rsidRDefault="00177EDF" w:rsidP="009B383D">
            <w:pPr>
              <w:jc w:val="both"/>
              <w:rPr>
                <w:sz w:val="18"/>
                <w:szCs w:val="24"/>
                <w:lang w:val="en-US"/>
              </w:rPr>
            </w:pPr>
            <w:r w:rsidRPr="00DB4B8A">
              <w:rPr>
                <w:sz w:val="18"/>
                <w:szCs w:val="24"/>
                <w:lang w:val="en-US"/>
              </w:rPr>
              <w:t>20</w:t>
            </w:r>
          </w:p>
        </w:tc>
        <w:tc>
          <w:tcPr>
            <w:tcW w:w="715" w:type="dxa"/>
            <w:shd w:val="clear" w:color="auto" w:fill="auto"/>
          </w:tcPr>
          <w:p w:rsidR="00177EDF" w:rsidRPr="00DB4B8A" w:rsidRDefault="00177EDF" w:rsidP="009B383D">
            <w:pPr>
              <w:jc w:val="both"/>
              <w:rPr>
                <w:sz w:val="18"/>
                <w:szCs w:val="24"/>
                <w:lang w:val="en-US"/>
              </w:rPr>
            </w:pPr>
            <w:r w:rsidRPr="00DB4B8A">
              <w:rPr>
                <w:sz w:val="18"/>
                <w:szCs w:val="24"/>
                <w:lang w:val="en-US"/>
              </w:rPr>
              <w:t>Highest</w:t>
            </w:r>
          </w:p>
        </w:tc>
        <w:tc>
          <w:tcPr>
            <w:tcW w:w="551" w:type="dxa"/>
            <w:shd w:val="clear" w:color="auto" w:fill="auto"/>
          </w:tcPr>
          <w:p w:rsidR="00177EDF" w:rsidRPr="00DB4B8A" w:rsidRDefault="00177EDF" w:rsidP="009B383D">
            <w:pPr>
              <w:jc w:val="both"/>
              <w:rPr>
                <w:sz w:val="18"/>
                <w:szCs w:val="24"/>
                <w:lang w:val="en-US"/>
              </w:rPr>
            </w:pPr>
            <w:r w:rsidRPr="00DB4B8A">
              <w:rPr>
                <w:sz w:val="18"/>
                <w:szCs w:val="24"/>
                <w:lang w:val="en-US"/>
              </w:rPr>
              <w:t>20</w:t>
            </w:r>
          </w:p>
        </w:tc>
        <w:tc>
          <w:tcPr>
            <w:tcW w:w="709" w:type="dxa"/>
            <w:shd w:val="clear" w:color="auto" w:fill="auto"/>
          </w:tcPr>
          <w:p w:rsidR="00177EDF" w:rsidRPr="00DB4B8A" w:rsidRDefault="00177EDF" w:rsidP="009B383D">
            <w:pPr>
              <w:jc w:val="both"/>
              <w:rPr>
                <w:sz w:val="18"/>
                <w:szCs w:val="24"/>
                <w:lang w:val="en-US"/>
              </w:rPr>
            </w:pPr>
            <w:r w:rsidRPr="00DB4B8A">
              <w:rPr>
                <w:sz w:val="18"/>
                <w:szCs w:val="24"/>
                <w:lang w:val="en-US"/>
              </w:rPr>
              <w:t>Highest</w:t>
            </w:r>
          </w:p>
        </w:tc>
        <w:tc>
          <w:tcPr>
            <w:tcW w:w="556" w:type="dxa"/>
            <w:shd w:val="clear" w:color="auto" w:fill="auto"/>
          </w:tcPr>
          <w:p w:rsidR="00177EDF" w:rsidRPr="00DB4B8A" w:rsidRDefault="00177EDF" w:rsidP="009B383D">
            <w:pPr>
              <w:jc w:val="both"/>
              <w:rPr>
                <w:sz w:val="18"/>
                <w:szCs w:val="24"/>
                <w:lang w:val="en-US"/>
              </w:rPr>
            </w:pPr>
            <w:r w:rsidRPr="00DB4B8A">
              <w:rPr>
                <w:sz w:val="18"/>
                <w:szCs w:val="24"/>
                <w:lang w:val="en-US"/>
              </w:rPr>
              <w:t>20</w:t>
            </w:r>
          </w:p>
        </w:tc>
        <w:tc>
          <w:tcPr>
            <w:tcW w:w="704" w:type="dxa"/>
            <w:shd w:val="clear" w:color="auto" w:fill="auto"/>
          </w:tcPr>
          <w:p w:rsidR="00177EDF" w:rsidRPr="00DB4B8A" w:rsidRDefault="00177EDF" w:rsidP="009B383D">
            <w:pPr>
              <w:jc w:val="both"/>
              <w:rPr>
                <w:sz w:val="18"/>
                <w:szCs w:val="24"/>
                <w:lang w:val="en-US"/>
              </w:rPr>
            </w:pPr>
            <w:r w:rsidRPr="00DB4B8A">
              <w:rPr>
                <w:sz w:val="18"/>
                <w:szCs w:val="24"/>
                <w:lang w:val="en-US"/>
              </w:rPr>
              <w:t>Highest</w:t>
            </w:r>
          </w:p>
        </w:tc>
        <w:tc>
          <w:tcPr>
            <w:tcW w:w="562" w:type="dxa"/>
            <w:shd w:val="clear" w:color="auto" w:fill="auto"/>
          </w:tcPr>
          <w:p w:rsidR="00177EDF" w:rsidRPr="00DB4B8A" w:rsidRDefault="00177EDF" w:rsidP="009B383D">
            <w:pPr>
              <w:jc w:val="both"/>
              <w:rPr>
                <w:sz w:val="18"/>
                <w:szCs w:val="24"/>
                <w:lang w:val="en-US"/>
              </w:rPr>
            </w:pPr>
            <w:r w:rsidRPr="00DB4B8A">
              <w:rPr>
                <w:sz w:val="18"/>
                <w:szCs w:val="24"/>
                <w:lang w:val="en-US"/>
              </w:rPr>
              <w:t>20</w:t>
            </w:r>
          </w:p>
        </w:tc>
        <w:tc>
          <w:tcPr>
            <w:tcW w:w="698" w:type="dxa"/>
            <w:shd w:val="clear" w:color="auto" w:fill="auto"/>
          </w:tcPr>
          <w:p w:rsidR="00177EDF" w:rsidRPr="00DB4B8A" w:rsidRDefault="00177EDF" w:rsidP="009B383D">
            <w:pPr>
              <w:jc w:val="both"/>
              <w:rPr>
                <w:sz w:val="18"/>
                <w:szCs w:val="24"/>
                <w:lang w:val="en-US"/>
              </w:rPr>
            </w:pPr>
            <w:r w:rsidRPr="00DB4B8A">
              <w:rPr>
                <w:sz w:val="18"/>
                <w:szCs w:val="24"/>
                <w:lang w:val="en-US"/>
              </w:rPr>
              <w:t>High</w:t>
            </w:r>
          </w:p>
        </w:tc>
        <w:tc>
          <w:tcPr>
            <w:tcW w:w="567" w:type="dxa"/>
            <w:shd w:val="clear" w:color="auto" w:fill="auto"/>
          </w:tcPr>
          <w:p w:rsidR="00177EDF" w:rsidRPr="00DB4B8A" w:rsidRDefault="00177EDF" w:rsidP="009B383D">
            <w:pPr>
              <w:jc w:val="both"/>
              <w:rPr>
                <w:sz w:val="18"/>
                <w:szCs w:val="24"/>
                <w:lang w:val="en-US"/>
              </w:rPr>
            </w:pPr>
            <w:r w:rsidRPr="00DB4B8A">
              <w:rPr>
                <w:sz w:val="18"/>
                <w:szCs w:val="24"/>
                <w:lang w:val="en-US"/>
              </w:rPr>
              <w:t>3</w:t>
            </w:r>
          </w:p>
        </w:tc>
        <w:tc>
          <w:tcPr>
            <w:tcW w:w="693" w:type="dxa"/>
            <w:shd w:val="clear" w:color="auto" w:fill="auto"/>
          </w:tcPr>
          <w:p w:rsidR="00177EDF" w:rsidRPr="00DB4B8A" w:rsidRDefault="00177EDF" w:rsidP="009B383D">
            <w:pPr>
              <w:jc w:val="both"/>
              <w:rPr>
                <w:sz w:val="18"/>
                <w:szCs w:val="24"/>
                <w:lang w:val="en-US"/>
              </w:rPr>
            </w:pPr>
            <w:r w:rsidRPr="00DB4B8A">
              <w:rPr>
                <w:sz w:val="18"/>
                <w:szCs w:val="24"/>
                <w:lang w:val="en-US"/>
              </w:rPr>
              <w:t>High</w:t>
            </w:r>
          </w:p>
        </w:tc>
        <w:tc>
          <w:tcPr>
            <w:tcW w:w="573" w:type="dxa"/>
            <w:shd w:val="clear" w:color="auto" w:fill="auto"/>
          </w:tcPr>
          <w:p w:rsidR="00177EDF" w:rsidRPr="00DB4B8A" w:rsidRDefault="00177EDF" w:rsidP="009B383D">
            <w:pPr>
              <w:jc w:val="both"/>
              <w:rPr>
                <w:sz w:val="18"/>
                <w:szCs w:val="24"/>
                <w:lang w:val="en-US"/>
              </w:rPr>
            </w:pPr>
            <w:r w:rsidRPr="00DB4B8A">
              <w:rPr>
                <w:sz w:val="18"/>
                <w:szCs w:val="24"/>
                <w:lang w:val="en-US"/>
              </w:rPr>
              <w:t>9</w:t>
            </w:r>
          </w:p>
        </w:tc>
        <w:tc>
          <w:tcPr>
            <w:tcW w:w="705" w:type="dxa"/>
            <w:shd w:val="clear" w:color="auto" w:fill="auto"/>
          </w:tcPr>
          <w:p w:rsidR="00177EDF" w:rsidRPr="00DB4B8A" w:rsidRDefault="00177EDF" w:rsidP="009B383D">
            <w:pPr>
              <w:jc w:val="both"/>
              <w:rPr>
                <w:sz w:val="18"/>
                <w:szCs w:val="24"/>
                <w:lang w:val="en-US"/>
              </w:rPr>
            </w:pPr>
            <w:r w:rsidRPr="00DB4B8A">
              <w:rPr>
                <w:sz w:val="18"/>
                <w:szCs w:val="24"/>
                <w:lang w:val="en-US"/>
              </w:rPr>
              <w:t>92</w:t>
            </w:r>
          </w:p>
        </w:tc>
      </w:tr>
      <w:tr w:rsidR="00177EDF" w:rsidRPr="00DB4B8A" w:rsidTr="009B383D">
        <w:tc>
          <w:tcPr>
            <w:tcW w:w="1008" w:type="dxa"/>
            <w:shd w:val="clear" w:color="auto" w:fill="auto"/>
          </w:tcPr>
          <w:p w:rsidR="00177EDF" w:rsidRPr="00DB4B8A" w:rsidRDefault="00177EDF" w:rsidP="009B383D">
            <w:pPr>
              <w:jc w:val="both"/>
              <w:rPr>
                <w:sz w:val="18"/>
                <w:szCs w:val="24"/>
                <w:lang w:val="en-US"/>
              </w:rPr>
            </w:pPr>
            <w:r w:rsidRPr="00DB4B8A">
              <w:rPr>
                <w:sz w:val="18"/>
                <w:szCs w:val="24"/>
                <w:lang w:val="en-US"/>
              </w:rPr>
              <w:t>Yemen</w:t>
            </w:r>
          </w:p>
        </w:tc>
        <w:tc>
          <w:tcPr>
            <w:tcW w:w="900" w:type="dxa"/>
            <w:shd w:val="clear" w:color="auto" w:fill="auto"/>
          </w:tcPr>
          <w:p w:rsidR="00177EDF" w:rsidRPr="00DB4B8A" w:rsidRDefault="00177EDF" w:rsidP="009B383D">
            <w:pPr>
              <w:jc w:val="both"/>
              <w:rPr>
                <w:sz w:val="18"/>
                <w:szCs w:val="24"/>
                <w:lang w:val="en-US"/>
              </w:rPr>
            </w:pPr>
            <w:r w:rsidRPr="00DB4B8A">
              <w:rPr>
                <w:sz w:val="18"/>
                <w:szCs w:val="24"/>
                <w:lang w:val="en-US"/>
              </w:rPr>
              <w:t>High</w:t>
            </w:r>
          </w:p>
        </w:tc>
        <w:tc>
          <w:tcPr>
            <w:tcW w:w="635" w:type="dxa"/>
            <w:shd w:val="clear" w:color="auto" w:fill="auto"/>
          </w:tcPr>
          <w:p w:rsidR="00177EDF" w:rsidRPr="00DB4B8A" w:rsidRDefault="00177EDF" w:rsidP="009B383D">
            <w:pPr>
              <w:jc w:val="both"/>
              <w:rPr>
                <w:sz w:val="18"/>
                <w:szCs w:val="24"/>
                <w:lang w:val="en-US"/>
              </w:rPr>
            </w:pPr>
            <w:r w:rsidRPr="00DB4B8A">
              <w:rPr>
                <w:sz w:val="18"/>
                <w:szCs w:val="24"/>
                <w:lang w:val="en-US"/>
              </w:rPr>
              <w:t>12</w:t>
            </w:r>
          </w:p>
        </w:tc>
        <w:tc>
          <w:tcPr>
            <w:tcW w:w="715" w:type="dxa"/>
            <w:shd w:val="clear" w:color="auto" w:fill="auto"/>
          </w:tcPr>
          <w:p w:rsidR="00177EDF" w:rsidRPr="00DB4B8A" w:rsidRDefault="00177EDF" w:rsidP="009B383D">
            <w:pPr>
              <w:jc w:val="both"/>
              <w:rPr>
                <w:sz w:val="18"/>
                <w:szCs w:val="24"/>
                <w:lang w:val="en-US"/>
              </w:rPr>
            </w:pPr>
            <w:r w:rsidRPr="00DB4B8A">
              <w:rPr>
                <w:sz w:val="18"/>
                <w:szCs w:val="24"/>
                <w:lang w:val="en-US"/>
              </w:rPr>
              <w:t>Medium</w:t>
            </w:r>
          </w:p>
        </w:tc>
        <w:tc>
          <w:tcPr>
            <w:tcW w:w="551" w:type="dxa"/>
            <w:shd w:val="clear" w:color="auto" w:fill="auto"/>
          </w:tcPr>
          <w:p w:rsidR="00177EDF" w:rsidRPr="00DB4B8A" w:rsidRDefault="00177EDF" w:rsidP="009B383D">
            <w:pPr>
              <w:jc w:val="both"/>
              <w:rPr>
                <w:sz w:val="18"/>
                <w:szCs w:val="24"/>
                <w:lang w:val="en-US"/>
              </w:rPr>
            </w:pPr>
            <w:r w:rsidRPr="00DB4B8A">
              <w:rPr>
                <w:sz w:val="18"/>
                <w:szCs w:val="24"/>
                <w:lang w:val="en-US"/>
              </w:rPr>
              <w:t>6</w:t>
            </w:r>
          </w:p>
        </w:tc>
        <w:tc>
          <w:tcPr>
            <w:tcW w:w="709" w:type="dxa"/>
            <w:shd w:val="clear" w:color="auto" w:fill="auto"/>
          </w:tcPr>
          <w:p w:rsidR="00177EDF" w:rsidRPr="00DB4B8A" w:rsidRDefault="00177EDF" w:rsidP="009B383D">
            <w:pPr>
              <w:jc w:val="both"/>
              <w:rPr>
                <w:sz w:val="18"/>
                <w:szCs w:val="24"/>
                <w:lang w:val="en-US"/>
              </w:rPr>
            </w:pPr>
            <w:r w:rsidRPr="00DB4B8A">
              <w:rPr>
                <w:sz w:val="18"/>
                <w:szCs w:val="24"/>
                <w:lang w:val="en-US"/>
              </w:rPr>
              <w:t>High</w:t>
            </w:r>
          </w:p>
        </w:tc>
        <w:tc>
          <w:tcPr>
            <w:tcW w:w="556" w:type="dxa"/>
            <w:shd w:val="clear" w:color="auto" w:fill="auto"/>
          </w:tcPr>
          <w:p w:rsidR="00177EDF" w:rsidRPr="00DB4B8A" w:rsidRDefault="00177EDF" w:rsidP="009B383D">
            <w:pPr>
              <w:jc w:val="both"/>
              <w:rPr>
                <w:sz w:val="18"/>
                <w:szCs w:val="24"/>
                <w:lang w:val="en-US"/>
              </w:rPr>
            </w:pPr>
            <w:r w:rsidRPr="00DB4B8A">
              <w:rPr>
                <w:sz w:val="18"/>
                <w:szCs w:val="24"/>
                <w:lang w:val="en-US"/>
              </w:rPr>
              <w:t>12</w:t>
            </w:r>
          </w:p>
        </w:tc>
        <w:tc>
          <w:tcPr>
            <w:tcW w:w="704" w:type="dxa"/>
            <w:shd w:val="clear" w:color="auto" w:fill="auto"/>
          </w:tcPr>
          <w:p w:rsidR="00177EDF" w:rsidRPr="00DB4B8A" w:rsidRDefault="00177EDF" w:rsidP="009B383D">
            <w:pPr>
              <w:jc w:val="both"/>
              <w:rPr>
                <w:sz w:val="18"/>
                <w:szCs w:val="24"/>
                <w:lang w:val="en-US"/>
              </w:rPr>
            </w:pPr>
            <w:r w:rsidRPr="00DB4B8A">
              <w:rPr>
                <w:sz w:val="18"/>
                <w:szCs w:val="24"/>
                <w:lang w:val="en-US"/>
              </w:rPr>
              <w:t>High</w:t>
            </w:r>
          </w:p>
        </w:tc>
        <w:tc>
          <w:tcPr>
            <w:tcW w:w="562" w:type="dxa"/>
            <w:shd w:val="clear" w:color="auto" w:fill="auto"/>
          </w:tcPr>
          <w:p w:rsidR="00177EDF" w:rsidRPr="00DB4B8A" w:rsidRDefault="00177EDF" w:rsidP="009B383D">
            <w:pPr>
              <w:jc w:val="both"/>
              <w:rPr>
                <w:sz w:val="18"/>
                <w:szCs w:val="24"/>
                <w:lang w:val="en-US"/>
              </w:rPr>
            </w:pPr>
            <w:r w:rsidRPr="00DB4B8A">
              <w:rPr>
                <w:sz w:val="18"/>
                <w:szCs w:val="24"/>
                <w:lang w:val="en-US"/>
              </w:rPr>
              <w:t>12</w:t>
            </w:r>
          </w:p>
        </w:tc>
        <w:tc>
          <w:tcPr>
            <w:tcW w:w="698" w:type="dxa"/>
            <w:shd w:val="clear" w:color="auto" w:fill="auto"/>
          </w:tcPr>
          <w:p w:rsidR="00177EDF" w:rsidRPr="00DB4B8A" w:rsidRDefault="00177EDF" w:rsidP="009B383D">
            <w:pPr>
              <w:jc w:val="both"/>
              <w:rPr>
                <w:sz w:val="18"/>
                <w:szCs w:val="24"/>
                <w:lang w:val="en-US"/>
              </w:rPr>
            </w:pPr>
            <w:r w:rsidRPr="00DB4B8A">
              <w:rPr>
                <w:sz w:val="18"/>
                <w:szCs w:val="24"/>
                <w:lang w:val="en-US"/>
              </w:rPr>
              <w:t>Low</w:t>
            </w:r>
          </w:p>
        </w:tc>
        <w:tc>
          <w:tcPr>
            <w:tcW w:w="567" w:type="dxa"/>
            <w:shd w:val="clear" w:color="auto" w:fill="auto"/>
          </w:tcPr>
          <w:p w:rsidR="00177EDF" w:rsidRPr="00DB4B8A" w:rsidRDefault="00177EDF" w:rsidP="009B383D">
            <w:pPr>
              <w:jc w:val="both"/>
              <w:rPr>
                <w:sz w:val="18"/>
                <w:szCs w:val="24"/>
                <w:lang w:val="en-US"/>
              </w:rPr>
            </w:pPr>
            <w:r w:rsidRPr="00DB4B8A">
              <w:rPr>
                <w:sz w:val="18"/>
                <w:szCs w:val="24"/>
                <w:lang w:val="en-US"/>
              </w:rPr>
              <w:t>0</w:t>
            </w:r>
          </w:p>
        </w:tc>
        <w:tc>
          <w:tcPr>
            <w:tcW w:w="693" w:type="dxa"/>
            <w:shd w:val="clear" w:color="auto" w:fill="auto"/>
          </w:tcPr>
          <w:p w:rsidR="00177EDF" w:rsidRPr="00DB4B8A" w:rsidRDefault="00177EDF" w:rsidP="009B383D">
            <w:pPr>
              <w:jc w:val="both"/>
              <w:rPr>
                <w:sz w:val="18"/>
                <w:szCs w:val="24"/>
                <w:lang w:val="en-US"/>
              </w:rPr>
            </w:pPr>
            <w:r w:rsidRPr="00DB4B8A">
              <w:rPr>
                <w:sz w:val="18"/>
                <w:szCs w:val="24"/>
                <w:lang w:val="en-US"/>
              </w:rPr>
              <w:t>Highest</w:t>
            </w:r>
          </w:p>
        </w:tc>
        <w:tc>
          <w:tcPr>
            <w:tcW w:w="573" w:type="dxa"/>
            <w:shd w:val="clear" w:color="auto" w:fill="auto"/>
          </w:tcPr>
          <w:p w:rsidR="00177EDF" w:rsidRPr="00DB4B8A" w:rsidRDefault="00177EDF" w:rsidP="009B383D">
            <w:pPr>
              <w:jc w:val="both"/>
              <w:rPr>
                <w:sz w:val="18"/>
                <w:szCs w:val="24"/>
                <w:lang w:val="en-US"/>
              </w:rPr>
            </w:pPr>
            <w:r w:rsidRPr="00DB4B8A">
              <w:rPr>
                <w:sz w:val="18"/>
                <w:szCs w:val="24"/>
                <w:lang w:val="en-US"/>
              </w:rPr>
              <w:t>15</w:t>
            </w:r>
          </w:p>
        </w:tc>
        <w:tc>
          <w:tcPr>
            <w:tcW w:w="705" w:type="dxa"/>
            <w:shd w:val="clear" w:color="auto" w:fill="auto"/>
          </w:tcPr>
          <w:p w:rsidR="00177EDF" w:rsidRPr="00DB4B8A" w:rsidRDefault="00177EDF" w:rsidP="009B383D">
            <w:pPr>
              <w:jc w:val="both"/>
              <w:rPr>
                <w:sz w:val="18"/>
                <w:szCs w:val="24"/>
                <w:lang w:val="en-US"/>
              </w:rPr>
            </w:pPr>
            <w:r w:rsidRPr="00DB4B8A">
              <w:rPr>
                <w:sz w:val="18"/>
                <w:szCs w:val="24"/>
                <w:lang w:val="en-US"/>
              </w:rPr>
              <w:t>57</w:t>
            </w:r>
          </w:p>
        </w:tc>
      </w:tr>
    </w:tbl>
    <w:p w:rsidR="00177EDF" w:rsidRPr="00445095" w:rsidRDefault="00177EDF" w:rsidP="00177EDF">
      <w:pPr>
        <w:ind w:left="1080" w:right="720"/>
        <w:jc w:val="both"/>
        <w:rPr>
          <w:lang w:val="en-US"/>
        </w:rPr>
      </w:pPr>
    </w:p>
    <w:p w:rsidR="00177EDF" w:rsidRPr="00445095" w:rsidRDefault="00177EDF" w:rsidP="00177EDF">
      <w:pPr>
        <w:numPr>
          <w:ilvl w:val="0"/>
          <w:numId w:val="2"/>
        </w:numPr>
        <w:ind w:left="1080" w:right="720" w:firstLine="0"/>
        <w:jc w:val="both"/>
        <w:rPr>
          <w:lang w:val="en-US"/>
        </w:rPr>
      </w:pPr>
      <w:r w:rsidRPr="00445095">
        <w:rPr>
          <w:lang w:val="en-US"/>
        </w:rPr>
        <w:t xml:space="preserve">Finally, the two additional factors mentioned above – fragility and risk for humanitarian crises, and income inequality – are included by providing extra points.  Thus countries that are considered to be facing the highest risks in the OCHA Global Focus Model receive an extra 10 points, while those facing high risk receive 6 points, and those with medium risk 3 points.  Income inequality is scored in the same manner, with countries grouped into highest, high, medium, and low income inequality and receiving a sliding scale of points as a result, with 5 points the maximum.  Table </w:t>
      </w:r>
      <w:r>
        <w:rPr>
          <w:lang w:val="en-US"/>
        </w:rPr>
        <w:t>6</w:t>
      </w:r>
      <w:r w:rsidRPr="00445095">
        <w:rPr>
          <w:lang w:val="en-US"/>
        </w:rPr>
        <w:t xml:space="preserve"> provides an example of this.</w:t>
      </w:r>
    </w:p>
    <w:p w:rsidR="00177EDF" w:rsidRPr="00445095" w:rsidRDefault="00177EDF" w:rsidP="00177EDF">
      <w:pPr>
        <w:ind w:left="1080" w:right="720"/>
        <w:jc w:val="both"/>
        <w:rPr>
          <w:lang w:val="en-US"/>
        </w:rPr>
      </w:pPr>
    </w:p>
    <w:p w:rsidR="00177EDF" w:rsidRPr="00445095" w:rsidRDefault="00177EDF" w:rsidP="00177EDF">
      <w:pPr>
        <w:ind w:left="1080" w:right="720"/>
        <w:jc w:val="both"/>
        <w:rPr>
          <w:lang w:val="en-US"/>
        </w:rPr>
      </w:pPr>
      <w:r w:rsidRPr="00445095">
        <w:rPr>
          <w:b/>
          <w:lang w:val="en-US"/>
        </w:rPr>
        <w:t xml:space="preserve">Table </w:t>
      </w:r>
      <w:r>
        <w:rPr>
          <w:b/>
          <w:lang w:val="en-US"/>
        </w:rPr>
        <w:t>6</w:t>
      </w:r>
      <w:r w:rsidRPr="00445095">
        <w:rPr>
          <w:b/>
          <w:lang w:val="en-US"/>
        </w:rPr>
        <w:t>: Examples of additional points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8"/>
        <w:gridCol w:w="1350"/>
        <w:gridCol w:w="1350"/>
        <w:gridCol w:w="1350"/>
        <w:gridCol w:w="1350"/>
        <w:gridCol w:w="1080"/>
        <w:gridCol w:w="2070"/>
      </w:tblGrid>
      <w:tr w:rsidR="00177EDF" w:rsidRPr="00DB4B8A" w:rsidTr="009B383D">
        <w:tc>
          <w:tcPr>
            <w:tcW w:w="1008" w:type="dxa"/>
            <w:shd w:val="clear" w:color="auto" w:fill="auto"/>
          </w:tcPr>
          <w:p w:rsidR="00177EDF" w:rsidRPr="00DB4B8A" w:rsidRDefault="00177EDF" w:rsidP="009B383D">
            <w:pPr>
              <w:jc w:val="both"/>
              <w:rPr>
                <w:b/>
                <w:sz w:val="18"/>
                <w:szCs w:val="24"/>
                <w:lang w:val="en-US"/>
              </w:rPr>
            </w:pPr>
          </w:p>
        </w:tc>
        <w:tc>
          <w:tcPr>
            <w:tcW w:w="2700" w:type="dxa"/>
            <w:gridSpan w:val="2"/>
            <w:shd w:val="clear" w:color="auto" w:fill="auto"/>
          </w:tcPr>
          <w:p w:rsidR="00177EDF" w:rsidRPr="00DB4B8A" w:rsidRDefault="00177EDF" w:rsidP="009B383D">
            <w:pPr>
              <w:jc w:val="both"/>
              <w:rPr>
                <w:b/>
                <w:sz w:val="18"/>
                <w:szCs w:val="24"/>
                <w:lang w:val="en-US"/>
              </w:rPr>
            </w:pPr>
            <w:r w:rsidRPr="00DB4B8A">
              <w:rPr>
                <w:b/>
                <w:sz w:val="18"/>
                <w:szCs w:val="24"/>
              </w:rPr>
              <w:t>Fragility and risk for humanitarian crises</w:t>
            </w:r>
          </w:p>
        </w:tc>
        <w:tc>
          <w:tcPr>
            <w:tcW w:w="2700" w:type="dxa"/>
            <w:gridSpan w:val="2"/>
            <w:shd w:val="clear" w:color="auto" w:fill="auto"/>
          </w:tcPr>
          <w:p w:rsidR="00177EDF" w:rsidRPr="00DB4B8A" w:rsidRDefault="00177EDF" w:rsidP="009B383D">
            <w:pPr>
              <w:jc w:val="both"/>
              <w:rPr>
                <w:b/>
                <w:sz w:val="18"/>
                <w:szCs w:val="24"/>
                <w:lang w:val="en-US"/>
              </w:rPr>
            </w:pPr>
            <w:r w:rsidRPr="00DB4B8A">
              <w:rPr>
                <w:b/>
                <w:sz w:val="18"/>
                <w:szCs w:val="24"/>
                <w:lang w:val="en-US"/>
              </w:rPr>
              <w:t>Income inequality</w:t>
            </w:r>
          </w:p>
        </w:tc>
        <w:tc>
          <w:tcPr>
            <w:tcW w:w="1080" w:type="dxa"/>
            <w:shd w:val="clear" w:color="auto" w:fill="auto"/>
          </w:tcPr>
          <w:p w:rsidR="00177EDF" w:rsidRPr="00DB4B8A" w:rsidRDefault="00177EDF" w:rsidP="009B383D">
            <w:pPr>
              <w:jc w:val="both"/>
              <w:rPr>
                <w:b/>
                <w:sz w:val="18"/>
                <w:szCs w:val="24"/>
                <w:lang w:val="en-US"/>
              </w:rPr>
            </w:pPr>
            <w:r w:rsidRPr="00DB4B8A">
              <w:rPr>
                <w:b/>
                <w:sz w:val="18"/>
                <w:szCs w:val="24"/>
                <w:lang w:val="en-US"/>
              </w:rPr>
              <w:t>Additional points</w:t>
            </w:r>
          </w:p>
        </w:tc>
        <w:tc>
          <w:tcPr>
            <w:tcW w:w="2070" w:type="dxa"/>
            <w:shd w:val="clear" w:color="auto" w:fill="auto"/>
          </w:tcPr>
          <w:p w:rsidR="00177EDF" w:rsidRPr="00DB4B8A" w:rsidRDefault="00177EDF" w:rsidP="009B383D">
            <w:pPr>
              <w:jc w:val="both"/>
              <w:rPr>
                <w:b/>
                <w:sz w:val="18"/>
                <w:szCs w:val="24"/>
                <w:lang w:val="en-US"/>
              </w:rPr>
            </w:pPr>
            <w:r w:rsidRPr="00DB4B8A">
              <w:rPr>
                <w:b/>
                <w:sz w:val="18"/>
                <w:szCs w:val="24"/>
                <w:lang w:val="en-US"/>
              </w:rPr>
              <w:t>Final points (combining previous points with additional points)</w:t>
            </w:r>
          </w:p>
        </w:tc>
      </w:tr>
      <w:tr w:rsidR="00177EDF" w:rsidRPr="00DB4B8A" w:rsidTr="009B383D">
        <w:tc>
          <w:tcPr>
            <w:tcW w:w="1008" w:type="dxa"/>
            <w:shd w:val="clear" w:color="auto" w:fill="auto"/>
          </w:tcPr>
          <w:p w:rsidR="00177EDF" w:rsidRPr="00DB4B8A" w:rsidRDefault="00177EDF" w:rsidP="009B383D">
            <w:pPr>
              <w:jc w:val="both"/>
              <w:rPr>
                <w:b/>
                <w:sz w:val="18"/>
                <w:szCs w:val="24"/>
                <w:lang w:val="en-US"/>
              </w:rPr>
            </w:pPr>
            <w:r w:rsidRPr="00DB4B8A">
              <w:rPr>
                <w:b/>
                <w:sz w:val="18"/>
                <w:szCs w:val="24"/>
                <w:lang w:val="en-US"/>
              </w:rPr>
              <w:t>Country</w:t>
            </w:r>
          </w:p>
        </w:tc>
        <w:tc>
          <w:tcPr>
            <w:tcW w:w="1350" w:type="dxa"/>
            <w:shd w:val="clear" w:color="auto" w:fill="auto"/>
          </w:tcPr>
          <w:p w:rsidR="00177EDF" w:rsidRPr="00DB4B8A" w:rsidRDefault="00177EDF" w:rsidP="009B383D">
            <w:pPr>
              <w:jc w:val="both"/>
              <w:rPr>
                <w:b/>
                <w:sz w:val="18"/>
                <w:szCs w:val="24"/>
                <w:lang w:val="en-US"/>
              </w:rPr>
            </w:pPr>
            <w:r w:rsidRPr="00DB4B8A">
              <w:rPr>
                <w:b/>
                <w:sz w:val="18"/>
                <w:szCs w:val="24"/>
                <w:lang w:val="en-US"/>
              </w:rPr>
              <w:t>Status</w:t>
            </w:r>
          </w:p>
        </w:tc>
        <w:tc>
          <w:tcPr>
            <w:tcW w:w="1350" w:type="dxa"/>
            <w:shd w:val="clear" w:color="auto" w:fill="auto"/>
          </w:tcPr>
          <w:p w:rsidR="00177EDF" w:rsidRPr="00DB4B8A" w:rsidRDefault="00177EDF" w:rsidP="009B383D">
            <w:pPr>
              <w:jc w:val="both"/>
              <w:rPr>
                <w:b/>
                <w:sz w:val="18"/>
                <w:szCs w:val="24"/>
                <w:lang w:val="en-US"/>
              </w:rPr>
            </w:pPr>
            <w:r w:rsidRPr="00DB4B8A">
              <w:rPr>
                <w:b/>
                <w:sz w:val="18"/>
                <w:szCs w:val="24"/>
                <w:lang w:val="en-US"/>
              </w:rPr>
              <w:t>Points</w:t>
            </w:r>
          </w:p>
        </w:tc>
        <w:tc>
          <w:tcPr>
            <w:tcW w:w="1350" w:type="dxa"/>
            <w:shd w:val="clear" w:color="auto" w:fill="auto"/>
          </w:tcPr>
          <w:p w:rsidR="00177EDF" w:rsidRPr="00DB4B8A" w:rsidRDefault="00177EDF" w:rsidP="009B383D">
            <w:pPr>
              <w:jc w:val="both"/>
              <w:rPr>
                <w:b/>
                <w:sz w:val="18"/>
                <w:szCs w:val="24"/>
                <w:lang w:val="en-US"/>
              </w:rPr>
            </w:pPr>
            <w:r w:rsidRPr="00DB4B8A">
              <w:rPr>
                <w:b/>
                <w:sz w:val="18"/>
                <w:szCs w:val="24"/>
                <w:lang w:val="en-US"/>
              </w:rPr>
              <w:t>Quadrant</w:t>
            </w:r>
          </w:p>
        </w:tc>
        <w:tc>
          <w:tcPr>
            <w:tcW w:w="1350" w:type="dxa"/>
            <w:shd w:val="clear" w:color="auto" w:fill="auto"/>
          </w:tcPr>
          <w:p w:rsidR="00177EDF" w:rsidRPr="00DB4B8A" w:rsidRDefault="00177EDF" w:rsidP="009B383D">
            <w:pPr>
              <w:jc w:val="both"/>
              <w:rPr>
                <w:b/>
                <w:sz w:val="18"/>
                <w:szCs w:val="24"/>
                <w:lang w:val="en-US"/>
              </w:rPr>
            </w:pPr>
            <w:r w:rsidRPr="00DB4B8A">
              <w:rPr>
                <w:b/>
                <w:sz w:val="18"/>
                <w:szCs w:val="24"/>
                <w:lang w:val="en-US"/>
              </w:rPr>
              <w:t>Points</w:t>
            </w:r>
          </w:p>
        </w:tc>
        <w:tc>
          <w:tcPr>
            <w:tcW w:w="1080" w:type="dxa"/>
            <w:shd w:val="clear" w:color="auto" w:fill="auto"/>
          </w:tcPr>
          <w:p w:rsidR="00177EDF" w:rsidRPr="00DB4B8A" w:rsidRDefault="00177EDF" w:rsidP="009B383D">
            <w:pPr>
              <w:jc w:val="both"/>
              <w:rPr>
                <w:b/>
                <w:sz w:val="18"/>
                <w:szCs w:val="24"/>
                <w:lang w:val="en-US"/>
              </w:rPr>
            </w:pPr>
          </w:p>
        </w:tc>
        <w:tc>
          <w:tcPr>
            <w:tcW w:w="2070" w:type="dxa"/>
            <w:shd w:val="clear" w:color="auto" w:fill="auto"/>
          </w:tcPr>
          <w:p w:rsidR="00177EDF" w:rsidRPr="00DB4B8A" w:rsidRDefault="00177EDF" w:rsidP="009B383D">
            <w:pPr>
              <w:jc w:val="both"/>
              <w:rPr>
                <w:b/>
                <w:sz w:val="18"/>
                <w:szCs w:val="24"/>
                <w:lang w:val="en-US"/>
              </w:rPr>
            </w:pPr>
          </w:p>
        </w:tc>
      </w:tr>
      <w:tr w:rsidR="00177EDF" w:rsidRPr="00DB4B8A" w:rsidTr="009B383D">
        <w:tc>
          <w:tcPr>
            <w:tcW w:w="1008" w:type="dxa"/>
            <w:shd w:val="clear" w:color="auto" w:fill="auto"/>
          </w:tcPr>
          <w:p w:rsidR="00177EDF" w:rsidRPr="00DB4B8A" w:rsidRDefault="00177EDF" w:rsidP="009B383D">
            <w:pPr>
              <w:jc w:val="both"/>
              <w:rPr>
                <w:sz w:val="18"/>
                <w:szCs w:val="24"/>
                <w:lang w:val="en-US"/>
              </w:rPr>
            </w:pPr>
            <w:r w:rsidRPr="00DB4B8A">
              <w:rPr>
                <w:sz w:val="18"/>
                <w:szCs w:val="24"/>
                <w:lang w:val="en-US"/>
              </w:rPr>
              <w:t>Botswana</w:t>
            </w:r>
          </w:p>
        </w:tc>
        <w:tc>
          <w:tcPr>
            <w:tcW w:w="1350" w:type="dxa"/>
            <w:shd w:val="clear" w:color="auto" w:fill="auto"/>
          </w:tcPr>
          <w:p w:rsidR="00177EDF" w:rsidRPr="00DB4B8A" w:rsidRDefault="00177EDF" w:rsidP="009B383D">
            <w:pPr>
              <w:jc w:val="both"/>
              <w:rPr>
                <w:sz w:val="18"/>
                <w:szCs w:val="24"/>
                <w:lang w:val="en-US"/>
              </w:rPr>
            </w:pPr>
            <w:r w:rsidRPr="00DB4B8A">
              <w:rPr>
                <w:sz w:val="18"/>
                <w:szCs w:val="24"/>
                <w:lang w:val="en-US"/>
              </w:rPr>
              <w:t>None</w:t>
            </w:r>
          </w:p>
        </w:tc>
        <w:tc>
          <w:tcPr>
            <w:tcW w:w="1350" w:type="dxa"/>
            <w:shd w:val="clear" w:color="auto" w:fill="auto"/>
          </w:tcPr>
          <w:p w:rsidR="00177EDF" w:rsidRPr="00DB4B8A" w:rsidRDefault="00177EDF" w:rsidP="009B383D">
            <w:pPr>
              <w:jc w:val="both"/>
              <w:rPr>
                <w:sz w:val="18"/>
                <w:szCs w:val="24"/>
                <w:lang w:val="en-US"/>
              </w:rPr>
            </w:pPr>
            <w:r w:rsidRPr="00DB4B8A">
              <w:rPr>
                <w:sz w:val="18"/>
                <w:szCs w:val="24"/>
                <w:lang w:val="en-US"/>
              </w:rPr>
              <w:t>0</w:t>
            </w:r>
          </w:p>
        </w:tc>
        <w:tc>
          <w:tcPr>
            <w:tcW w:w="1350" w:type="dxa"/>
            <w:shd w:val="clear" w:color="auto" w:fill="auto"/>
          </w:tcPr>
          <w:p w:rsidR="00177EDF" w:rsidRPr="00DB4B8A" w:rsidRDefault="00177EDF" w:rsidP="009B383D">
            <w:pPr>
              <w:jc w:val="both"/>
              <w:rPr>
                <w:sz w:val="18"/>
                <w:szCs w:val="24"/>
                <w:lang w:val="en-US"/>
              </w:rPr>
            </w:pPr>
            <w:r w:rsidRPr="00DB4B8A">
              <w:rPr>
                <w:sz w:val="18"/>
                <w:szCs w:val="24"/>
                <w:lang w:val="en-US"/>
              </w:rPr>
              <w:t>High</w:t>
            </w:r>
          </w:p>
        </w:tc>
        <w:tc>
          <w:tcPr>
            <w:tcW w:w="1350" w:type="dxa"/>
            <w:shd w:val="clear" w:color="auto" w:fill="auto"/>
          </w:tcPr>
          <w:p w:rsidR="00177EDF" w:rsidRPr="00DB4B8A" w:rsidRDefault="00177EDF" w:rsidP="009B383D">
            <w:pPr>
              <w:jc w:val="both"/>
              <w:rPr>
                <w:sz w:val="18"/>
                <w:szCs w:val="24"/>
                <w:lang w:val="en-US"/>
              </w:rPr>
            </w:pPr>
            <w:r w:rsidRPr="00DB4B8A">
              <w:rPr>
                <w:sz w:val="18"/>
                <w:szCs w:val="24"/>
                <w:lang w:val="en-US"/>
              </w:rPr>
              <w:t>3</w:t>
            </w:r>
          </w:p>
        </w:tc>
        <w:tc>
          <w:tcPr>
            <w:tcW w:w="1080" w:type="dxa"/>
            <w:shd w:val="clear" w:color="auto" w:fill="auto"/>
          </w:tcPr>
          <w:p w:rsidR="00177EDF" w:rsidRPr="00DB4B8A" w:rsidRDefault="00177EDF" w:rsidP="009B383D">
            <w:pPr>
              <w:jc w:val="both"/>
              <w:rPr>
                <w:sz w:val="18"/>
                <w:szCs w:val="24"/>
                <w:lang w:val="en-US"/>
              </w:rPr>
            </w:pPr>
            <w:r w:rsidRPr="00DB4B8A">
              <w:rPr>
                <w:sz w:val="18"/>
                <w:szCs w:val="24"/>
                <w:lang w:val="en-US"/>
              </w:rPr>
              <w:t>3</w:t>
            </w:r>
          </w:p>
        </w:tc>
        <w:tc>
          <w:tcPr>
            <w:tcW w:w="2070" w:type="dxa"/>
            <w:shd w:val="clear" w:color="auto" w:fill="auto"/>
          </w:tcPr>
          <w:p w:rsidR="00177EDF" w:rsidRPr="00DB4B8A" w:rsidRDefault="00177EDF" w:rsidP="009B383D">
            <w:pPr>
              <w:jc w:val="both"/>
              <w:rPr>
                <w:sz w:val="18"/>
                <w:szCs w:val="24"/>
                <w:lang w:val="en-US"/>
              </w:rPr>
            </w:pPr>
            <w:r w:rsidRPr="00DB4B8A">
              <w:rPr>
                <w:sz w:val="18"/>
                <w:szCs w:val="24"/>
                <w:lang w:val="en-US"/>
              </w:rPr>
              <w:t>31</w:t>
            </w:r>
          </w:p>
        </w:tc>
      </w:tr>
      <w:tr w:rsidR="00177EDF" w:rsidRPr="00DB4B8A" w:rsidTr="009B383D">
        <w:tc>
          <w:tcPr>
            <w:tcW w:w="1008" w:type="dxa"/>
            <w:shd w:val="clear" w:color="auto" w:fill="auto"/>
          </w:tcPr>
          <w:p w:rsidR="00177EDF" w:rsidRPr="00DB4B8A" w:rsidRDefault="00177EDF" w:rsidP="009B383D">
            <w:pPr>
              <w:jc w:val="both"/>
              <w:rPr>
                <w:sz w:val="18"/>
                <w:szCs w:val="24"/>
                <w:lang w:val="en-US"/>
              </w:rPr>
            </w:pPr>
            <w:r w:rsidRPr="00DB4B8A">
              <w:rPr>
                <w:sz w:val="18"/>
                <w:szCs w:val="24"/>
                <w:lang w:val="en-US"/>
              </w:rPr>
              <w:t>Chad</w:t>
            </w:r>
          </w:p>
        </w:tc>
        <w:tc>
          <w:tcPr>
            <w:tcW w:w="1350" w:type="dxa"/>
            <w:shd w:val="clear" w:color="auto" w:fill="auto"/>
          </w:tcPr>
          <w:p w:rsidR="00177EDF" w:rsidRPr="00DB4B8A" w:rsidRDefault="00177EDF" w:rsidP="009B383D">
            <w:pPr>
              <w:jc w:val="both"/>
              <w:rPr>
                <w:sz w:val="18"/>
                <w:szCs w:val="24"/>
                <w:lang w:val="en-US"/>
              </w:rPr>
            </w:pPr>
            <w:r w:rsidRPr="00DB4B8A">
              <w:rPr>
                <w:sz w:val="18"/>
                <w:szCs w:val="24"/>
                <w:lang w:val="en-US"/>
              </w:rPr>
              <w:t>Highest</w:t>
            </w:r>
          </w:p>
        </w:tc>
        <w:tc>
          <w:tcPr>
            <w:tcW w:w="1350" w:type="dxa"/>
            <w:shd w:val="clear" w:color="auto" w:fill="auto"/>
          </w:tcPr>
          <w:p w:rsidR="00177EDF" w:rsidRPr="00DB4B8A" w:rsidRDefault="00177EDF" w:rsidP="009B383D">
            <w:pPr>
              <w:jc w:val="both"/>
              <w:rPr>
                <w:sz w:val="18"/>
                <w:szCs w:val="24"/>
                <w:lang w:val="en-US"/>
              </w:rPr>
            </w:pPr>
            <w:r w:rsidRPr="00DB4B8A">
              <w:rPr>
                <w:sz w:val="18"/>
                <w:szCs w:val="24"/>
                <w:lang w:val="en-US"/>
              </w:rPr>
              <w:t>10</w:t>
            </w:r>
          </w:p>
        </w:tc>
        <w:tc>
          <w:tcPr>
            <w:tcW w:w="1350" w:type="dxa"/>
            <w:shd w:val="clear" w:color="auto" w:fill="auto"/>
          </w:tcPr>
          <w:p w:rsidR="00177EDF" w:rsidRPr="00DB4B8A" w:rsidRDefault="00177EDF" w:rsidP="009B383D">
            <w:pPr>
              <w:jc w:val="both"/>
              <w:rPr>
                <w:sz w:val="18"/>
                <w:szCs w:val="24"/>
                <w:lang w:val="en-US"/>
              </w:rPr>
            </w:pPr>
            <w:r w:rsidRPr="00DB4B8A">
              <w:rPr>
                <w:sz w:val="18"/>
                <w:szCs w:val="24"/>
                <w:lang w:val="en-US"/>
              </w:rPr>
              <w:t>Medium</w:t>
            </w:r>
          </w:p>
        </w:tc>
        <w:tc>
          <w:tcPr>
            <w:tcW w:w="1350" w:type="dxa"/>
            <w:shd w:val="clear" w:color="auto" w:fill="auto"/>
          </w:tcPr>
          <w:p w:rsidR="00177EDF" w:rsidRPr="00DB4B8A" w:rsidRDefault="00177EDF" w:rsidP="009B383D">
            <w:pPr>
              <w:jc w:val="both"/>
              <w:rPr>
                <w:sz w:val="18"/>
                <w:szCs w:val="24"/>
                <w:lang w:val="en-US"/>
              </w:rPr>
            </w:pPr>
            <w:r w:rsidRPr="00DB4B8A">
              <w:rPr>
                <w:sz w:val="18"/>
                <w:szCs w:val="24"/>
                <w:lang w:val="en-US"/>
              </w:rPr>
              <w:t>1</w:t>
            </w:r>
          </w:p>
        </w:tc>
        <w:tc>
          <w:tcPr>
            <w:tcW w:w="1080" w:type="dxa"/>
            <w:shd w:val="clear" w:color="auto" w:fill="auto"/>
          </w:tcPr>
          <w:p w:rsidR="00177EDF" w:rsidRPr="00DB4B8A" w:rsidRDefault="00177EDF" w:rsidP="009B383D">
            <w:pPr>
              <w:jc w:val="both"/>
              <w:rPr>
                <w:sz w:val="18"/>
                <w:szCs w:val="24"/>
                <w:lang w:val="en-US"/>
              </w:rPr>
            </w:pPr>
            <w:r w:rsidRPr="00DB4B8A">
              <w:rPr>
                <w:sz w:val="18"/>
                <w:szCs w:val="24"/>
                <w:lang w:val="en-US"/>
              </w:rPr>
              <w:t>11</w:t>
            </w:r>
          </w:p>
        </w:tc>
        <w:tc>
          <w:tcPr>
            <w:tcW w:w="2070" w:type="dxa"/>
            <w:shd w:val="clear" w:color="auto" w:fill="auto"/>
          </w:tcPr>
          <w:p w:rsidR="00177EDF" w:rsidRPr="00DB4B8A" w:rsidRDefault="00177EDF" w:rsidP="009B383D">
            <w:pPr>
              <w:jc w:val="both"/>
              <w:rPr>
                <w:sz w:val="18"/>
                <w:szCs w:val="24"/>
                <w:lang w:val="en-US"/>
              </w:rPr>
            </w:pPr>
            <w:r w:rsidRPr="00DB4B8A">
              <w:rPr>
                <w:sz w:val="18"/>
                <w:szCs w:val="24"/>
                <w:lang w:val="en-US"/>
              </w:rPr>
              <w:t>103</w:t>
            </w:r>
          </w:p>
        </w:tc>
      </w:tr>
      <w:tr w:rsidR="00177EDF" w:rsidRPr="00DB4B8A" w:rsidTr="009B383D">
        <w:tc>
          <w:tcPr>
            <w:tcW w:w="1008" w:type="dxa"/>
            <w:shd w:val="clear" w:color="auto" w:fill="auto"/>
          </w:tcPr>
          <w:p w:rsidR="00177EDF" w:rsidRPr="00DB4B8A" w:rsidRDefault="00177EDF" w:rsidP="009B383D">
            <w:pPr>
              <w:jc w:val="both"/>
              <w:rPr>
                <w:sz w:val="18"/>
                <w:szCs w:val="24"/>
                <w:lang w:val="en-US"/>
              </w:rPr>
            </w:pPr>
            <w:r w:rsidRPr="00DB4B8A">
              <w:rPr>
                <w:sz w:val="18"/>
                <w:szCs w:val="24"/>
                <w:lang w:val="en-US"/>
              </w:rPr>
              <w:t>Yemen</w:t>
            </w:r>
          </w:p>
        </w:tc>
        <w:tc>
          <w:tcPr>
            <w:tcW w:w="1350" w:type="dxa"/>
            <w:shd w:val="clear" w:color="auto" w:fill="auto"/>
          </w:tcPr>
          <w:p w:rsidR="00177EDF" w:rsidRPr="00DB4B8A" w:rsidRDefault="00177EDF" w:rsidP="009B383D">
            <w:pPr>
              <w:jc w:val="both"/>
              <w:rPr>
                <w:sz w:val="18"/>
                <w:szCs w:val="24"/>
                <w:lang w:val="en-US"/>
              </w:rPr>
            </w:pPr>
            <w:r w:rsidRPr="00DB4B8A">
              <w:rPr>
                <w:sz w:val="18"/>
                <w:szCs w:val="24"/>
                <w:lang w:val="en-US"/>
              </w:rPr>
              <w:t>Highest</w:t>
            </w:r>
          </w:p>
        </w:tc>
        <w:tc>
          <w:tcPr>
            <w:tcW w:w="1350" w:type="dxa"/>
            <w:shd w:val="clear" w:color="auto" w:fill="auto"/>
          </w:tcPr>
          <w:p w:rsidR="00177EDF" w:rsidRPr="00DB4B8A" w:rsidRDefault="00177EDF" w:rsidP="009B383D">
            <w:pPr>
              <w:jc w:val="both"/>
              <w:rPr>
                <w:sz w:val="18"/>
                <w:szCs w:val="24"/>
                <w:lang w:val="en-US"/>
              </w:rPr>
            </w:pPr>
            <w:r w:rsidRPr="00DB4B8A">
              <w:rPr>
                <w:sz w:val="18"/>
                <w:szCs w:val="24"/>
                <w:lang w:val="en-US"/>
              </w:rPr>
              <w:t>10</w:t>
            </w:r>
          </w:p>
        </w:tc>
        <w:tc>
          <w:tcPr>
            <w:tcW w:w="1350" w:type="dxa"/>
            <w:shd w:val="clear" w:color="auto" w:fill="auto"/>
          </w:tcPr>
          <w:p w:rsidR="00177EDF" w:rsidRPr="00DB4B8A" w:rsidRDefault="00177EDF" w:rsidP="009B383D">
            <w:pPr>
              <w:jc w:val="both"/>
              <w:rPr>
                <w:sz w:val="18"/>
                <w:szCs w:val="24"/>
                <w:lang w:val="en-US"/>
              </w:rPr>
            </w:pPr>
            <w:r w:rsidRPr="00DB4B8A">
              <w:rPr>
                <w:sz w:val="18"/>
                <w:szCs w:val="24"/>
                <w:lang w:val="en-US"/>
              </w:rPr>
              <w:t>Medium</w:t>
            </w:r>
          </w:p>
        </w:tc>
        <w:tc>
          <w:tcPr>
            <w:tcW w:w="1350" w:type="dxa"/>
            <w:shd w:val="clear" w:color="auto" w:fill="auto"/>
          </w:tcPr>
          <w:p w:rsidR="00177EDF" w:rsidRPr="00DB4B8A" w:rsidRDefault="00177EDF" w:rsidP="009B383D">
            <w:pPr>
              <w:jc w:val="both"/>
              <w:rPr>
                <w:sz w:val="18"/>
                <w:szCs w:val="24"/>
                <w:lang w:val="en-US"/>
              </w:rPr>
            </w:pPr>
            <w:r w:rsidRPr="00DB4B8A">
              <w:rPr>
                <w:sz w:val="18"/>
                <w:szCs w:val="24"/>
                <w:lang w:val="en-US"/>
              </w:rPr>
              <w:t>1</w:t>
            </w:r>
          </w:p>
        </w:tc>
        <w:tc>
          <w:tcPr>
            <w:tcW w:w="1080" w:type="dxa"/>
            <w:shd w:val="clear" w:color="auto" w:fill="auto"/>
          </w:tcPr>
          <w:p w:rsidR="00177EDF" w:rsidRPr="00DB4B8A" w:rsidRDefault="00177EDF" w:rsidP="009B383D">
            <w:pPr>
              <w:jc w:val="both"/>
              <w:rPr>
                <w:sz w:val="18"/>
                <w:szCs w:val="24"/>
                <w:lang w:val="en-US"/>
              </w:rPr>
            </w:pPr>
            <w:r w:rsidRPr="00DB4B8A">
              <w:rPr>
                <w:sz w:val="18"/>
                <w:szCs w:val="24"/>
                <w:lang w:val="en-US"/>
              </w:rPr>
              <w:t>11</w:t>
            </w:r>
          </w:p>
        </w:tc>
        <w:tc>
          <w:tcPr>
            <w:tcW w:w="2070" w:type="dxa"/>
            <w:shd w:val="clear" w:color="auto" w:fill="auto"/>
          </w:tcPr>
          <w:p w:rsidR="00177EDF" w:rsidRPr="00DB4B8A" w:rsidRDefault="00177EDF" w:rsidP="009B383D">
            <w:pPr>
              <w:jc w:val="both"/>
              <w:rPr>
                <w:sz w:val="18"/>
                <w:szCs w:val="24"/>
                <w:lang w:val="en-US"/>
              </w:rPr>
            </w:pPr>
            <w:r w:rsidRPr="00DB4B8A">
              <w:rPr>
                <w:sz w:val="18"/>
                <w:szCs w:val="24"/>
                <w:lang w:val="en-US"/>
              </w:rPr>
              <w:t>68</w:t>
            </w:r>
          </w:p>
        </w:tc>
      </w:tr>
    </w:tbl>
    <w:p w:rsidR="00177EDF" w:rsidRDefault="00177EDF" w:rsidP="00177EDF">
      <w:pPr>
        <w:ind w:left="1080" w:right="720"/>
        <w:jc w:val="both"/>
        <w:rPr>
          <w:lang w:val="en-US"/>
        </w:rPr>
      </w:pPr>
    </w:p>
    <w:p w:rsidR="00177EDF" w:rsidRPr="00445095" w:rsidRDefault="00177EDF" w:rsidP="00177EDF">
      <w:pPr>
        <w:numPr>
          <w:ilvl w:val="0"/>
          <w:numId w:val="2"/>
        </w:numPr>
        <w:ind w:left="1080" w:right="720" w:firstLine="0"/>
        <w:jc w:val="both"/>
        <w:rPr>
          <w:lang w:val="en-US"/>
        </w:rPr>
      </w:pPr>
      <w:r w:rsidRPr="00445095">
        <w:rPr>
          <w:lang w:val="en-US"/>
        </w:rPr>
        <w:t>Countries are then assigned final need classifications based on their final point totals, with countries being split into quartiles (i.e., the quarter of countries with the highest scores are considered highest need).</w:t>
      </w:r>
    </w:p>
    <w:p w:rsidR="00177EDF" w:rsidRPr="00445095" w:rsidRDefault="00177EDF" w:rsidP="00177EDF">
      <w:pPr>
        <w:ind w:left="1080" w:right="720"/>
        <w:jc w:val="both"/>
        <w:rPr>
          <w:lang w:val="en-US"/>
        </w:rPr>
      </w:pPr>
    </w:p>
    <w:p w:rsidR="00177EDF" w:rsidRPr="00445095" w:rsidRDefault="00177EDF" w:rsidP="00177EDF">
      <w:pPr>
        <w:pStyle w:val="Heading3"/>
      </w:pPr>
      <w:r w:rsidRPr="00445095">
        <w:t>Calculate indicative allocations based on need</w:t>
      </w:r>
    </w:p>
    <w:p w:rsidR="00177EDF" w:rsidRDefault="00177EDF" w:rsidP="00177EDF">
      <w:pPr>
        <w:ind w:left="1080" w:right="720"/>
        <w:jc w:val="both"/>
        <w:rPr>
          <w:lang w:val="en-US"/>
        </w:rPr>
      </w:pPr>
    </w:p>
    <w:p w:rsidR="00177EDF" w:rsidRPr="00445095" w:rsidRDefault="00177EDF" w:rsidP="00177EDF">
      <w:pPr>
        <w:numPr>
          <w:ilvl w:val="0"/>
          <w:numId w:val="2"/>
        </w:numPr>
        <w:ind w:left="1080" w:right="720" w:firstLine="0"/>
        <w:jc w:val="both"/>
        <w:rPr>
          <w:lang w:val="en-US"/>
        </w:rPr>
      </w:pPr>
      <w:r w:rsidRPr="00445095">
        <w:rPr>
          <w:lang w:val="en-US"/>
        </w:rPr>
        <w:t>One of the challenges of the current RAS is that the percentage of resources going to each group of countries (the A, B, and C groups) is not based on any epidemiological or other criteria.  Instead, it is primarily based on the earlier versions of the RAS.</w:t>
      </w:r>
    </w:p>
    <w:p w:rsidR="00177EDF" w:rsidRPr="00445095" w:rsidRDefault="00177EDF" w:rsidP="00177EDF">
      <w:pPr>
        <w:ind w:left="1080" w:right="720"/>
        <w:jc w:val="both"/>
        <w:rPr>
          <w:lang w:val="en-US"/>
        </w:rPr>
      </w:pPr>
    </w:p>
    <w:p w:rsidR="00177EDF" w:rsidRPr="00445095" w:rsidRDefault="00177EDF" w:rsidP="00177EDF">
      <w:pPr>
        <w:numPr>
          <w:ilvl w:val="0"/>
          <w:numId w:val="2"/>
        </w:numPr>
        <w:ind w:left="1080" w:right="720" w:firstLine="0"/>
        <w:jc w:val="both"/>
        <w:rPr>
          <w:lang w:val="en-US"/>
        </w:rPr>
      </w:pPr>
      <w:r w:rsidRPr="00445095">
        <w:rPr>
          <w:lang w:val="en-US"/>
        </w:rPr>
        <w:t>This is clearly not an ideal approach, and the points-based system for categorizing countries by need offers a significantly more robust way to determine the appropriate level of resources going to each group.  The first step is to assess the volume of resources available for country programmes, based on income projections for 2014-2017 and the split of total resources available for country programmes.  The second step is to remove from consideration resources that are set aside for other purposes (e.g., the Emergency Fund for humanitarian programming).</w:t>
      </w:r>
    </w:p>
    <w:p w:rsidR="00177EDF" w:rsidRPr="00445095" w:rsidRDefault="00177EDF" w:rsidP="00177EDF">
      <w:pPr>
        <w:ind w:left="1080" w:right="720"/>
        <w:jc w:val="both"/>
        <w:rPr>
          <w:lang w:val="en-US"/>
        </w:rPr>
      </w:pPr>
    </w:p>
    <w:p w:rsidR="00177EDF" w:rsidRPr="00445095" w:rsidRDefault="00177EDF" w:rsidP="00177EDF">
      <w:pPr>
        <w:numPr>
          <w:ilvl w:val="0"/>
          <w:numId w:val="2"/>
        </w:numPr>
        <w:ind w:left="1080" w:right="720" w:firstLine="0"/>
        <w:jc w:val="both"/>
        <w:rPr>
          <w:lang w:val="en-US"/>
        </w:rPr>
      </w:pPr>
      <w:r w:rsidRPr="00445095">
        <w:rPr>
          <w:lang w:val="en-US"/>
        </w:rPr>
        <w:t>Then, a minimum amount of money is set aside fo</w:t>
      </w:r>
      <w:r>
        <w:rPr>
          <w:lang w:val="en-US"/>
        </w:rPr>
        <w:t>r programming in all countries</w:t>
      </w:r>
      <w:r w:rsidRPr="00445095">
        <w:rPr>
          <w:lang w:val="en-US"/>
        </w:rPr>
        <w:t xml:space="preserve">.  These resources constitute a “floor” that provide a foundation to enable country offices to carry out advocacy and policy dialogue/advice, and to engage on issues related to population dynamics and data.  The floor is </w:t>
      </w:r>
      <w:r>
        <w:rPr>
          <w:lang w:val="en-US"/>
        </w:rPr>
        <w:t xml:space="preserve">set at </w:t>
      </w:r>
      <w:r w:rsidRPr="00445095">
        <w:rPr>
          <w:lang w:val="en-US"/>
        </w:rPr>
        <w:t>$500,000 per annum per country</w:t>
      </w:r>
      <w:r w:rsidR="000B75F0" w:rsidRPr="000B75F0">
        <w:rPr>
          <w:color w:val="000000"/>
          <w:sz w:val="22"/>
          <w:szCs w:val="22"/>
          <w:lang w:val="en-US"/>
        </w:rPr>
        <w:t xml:space="preserve"> </w:t>
      </w:r>
      <w:r w:rsidR="000B75F0" w:rsidRPr="000B75F0">
        <w:rPr>
          <w:lang w:val="en-US"/>
        </w:rPr>
        <w:t>classified as low or lower-middle income by the World Bank, and $300,000 per annum per country classified as upper-middle or high income</w:t>
      </w:r>
      <w:r w:rsidR="000B75F0" w:rsidRPr="00E71096">
        <w:rPr>
          <w:rStyle w:val="FootnoteReference"/>
          <w:vertAlign w:val="superscript"/>
          <w:lang w:val="en-US"/>
        </w:rPr>
        <w:footnoteReference w:id="7"/>
      </w:r>
      <w:r w:rsidRPr="00445095">
        <w:rPr>
          <w:lang w:val="en-US"/>
        </w:rPr>
        <w:t>.</w:t>
      </w:r>
    </w:p>
    <w:p w:rsidR="00177EDF" w:rsidRPr="00445095" w:rsidRDefault="00177EDF" w:rsidP="00177EDF">
      <w:pPr>
        <w:ind w:left="1080" w:right="720"/>
        <w:jc w:val="both"/>
        <w:rPr>
          <w:lang w:val="en-US"/>
        </w:rPr>
      </w:pPr>
    </w:p>
    <w:p w:rsidR="00177EDF" w:rsidRPr="00445095" w:rsidRDefault="00177EDF" w:rsidP="00177EDF">
      <w:pPr>
        <w:numPr>
          <w:ilvl w:val="0"/>
          <w:numId w:val="2"/>
        </w:numPr>
        <w:ind w:left="1080" w:right="720" w:firstLine="0"/>
        <w:jc w:val="both"/>
        <w:rPr>
          <w:lang w:val="en-US"/>
        </w:rPr>
      </w:pPr>
      <w:r w:rsidRPr="00445095">
        <w:rPr>
          <w:lang w:val="en-US"/>
        </w:rPr>
        <w:t xml:space="preserve">However, this approach does raise an equity issue: some of the countries in which UNFPA operates are much more capable than others of providing resources to cover these basic costs themselves.  UNFPA is currently not one of the growing number of multilateral institutions that requires some level of co-financing from the richer countries in which it operates.  In an era in which an ever-increasing share of resources is being directed to the non-core part of the organization’s budget, this stance is increasingly untenable.  Therefore, the approach </w:t>
      </w:r>
      <w:r>
        <w:rPr>
          <w:lang w:val="en-US"/>
        </w:rPr>
        <w:t xml:space="preserve">is </w:t>
      </w:r>
      <w:r w:rsidRPr="00445095">
        <w:rPr>
          <w:lang w:val="en-US"/>
        </w:rPr>
        <w:t>to benefit from the discussions that have occurred in the context of UNDP’s programming arrangements, in which agreement was reached that some countries should finance a portion of costs themselves.</w:t>
      </w:r>
    </w:p>
    <w:p w:rsidR="00177EDF" w:rsidRPr="00445095" w:rsidRDefault="00177EDF" w:rsidP="00177EDF">
      <w:pPr>
        <w:ind w:left="1080" w:right="720"/>
        <w:jc w:val="both"/>
        <w:rPr>
          <w:lang w:val="en-US"/>
        </w:rPr>
      </w:pPr>
    </w:p>
    <w:p w:rsidR="00177EDF" w:rsidRPr="00445095" w:rsidRDefault="000B75F0" w:rsidP="00177EDF">
      <w:pPr>
        <w:numPr>
          <w:ilvl w:val="0"/>
          <w:numId w:val="2"/>
        </w:numPr>
        <w:ind w:left="1080" w:right="720" w:firstLine="0"/>
        <w:jc w:val="both"/>
        <w:rPr>
          <w:lang w:val="en-US"/>
        </w:rPr>
      </w:pPr>
      <w:r w:rsidRPr="000B75F0">
        <w:t xml:space="preserve">In </w:t>
      </w:r>
      <w:r w:rsidR="00015F15">
        <w:t>particular</w:t>
      </w:r>
      <w:r w:rsidRPr="000B75F0">
        <w:t xml:space="preserve">, if countries that are classified as upper-middle or high income make contributions to their own country programme, UNFPA will match these on a one-to-one basis up to a further $100,000 (on top of the $300,000 floor). </w:t>
      </w:r>
      <w:r w:rsidR="00015F15">
        <w:t xml:space="preserve"> </w:t>
      </w:r>
      <w:r w:rsidR="00015F15" w:rsidRPr="00015F15">
        <w:t>Therefore, if a country classified as upper-middle or high income provides a contribution</w:t>
      </w:r>
      <w:r w:rsidR="004F6B56">
        <w:t xml:space="preserve"> from its domestic resources</w:t>
      </w:r>
      <w:r w:rsidR="00015F15" w:rsidRPr="00015F15">
        <w:t xml:space="preserve"> of $100,000, the total resources for the floor would be $500,000 (the initial $300,000, the contribution from the country of $100,000, and the matching UNFPA contribution of $100,000).</w:t>
      </w:r>
    </w:p>
    <w:p w:rsidR="00177EDF" w:rsidRPr="00445095" w:rsidRDefault="00177EDF" w:rsidP="00177EDF">
      <w:pPr>
        <w:ind w:left="1080" w:right="720"/>
        <w:jc w:val="both"/>
        <w:rPr>
          <w:lang w:val="en-US"/>
        </w:rPr>
      </w:pPr>
    </w:p>
    <w:p w:rsidR="00177EDF" w:rsidRDefault="00177EDF" w:rsidP="00177EDF">
      <w:pPr>
        <w:numPr>
          <w:ilvl w:val="0"/>
          <w:numId w:val="2"/>
        </w:numPr>
        <w:ind w:left="1080" w:right="720" w:firstLine="0"/>
        <w:jc w:val="both"/>
        <w:rPr>
          <w:lang w:val="en-US"/>
        </w:rPr>
      </w:pPr>
      <w:r>
        <w:rPr>
          <w:lang w:val="en-US"/>
        </w:rPr>
        <w:t>The World Bank reclassifies countries each year.  However, the 2013 classifications will be used for the purposes of calculating the expected contributions for the entirety of the strategic plan period.</w:t>
      </w:r>
    </w:p>
    <w:p w:rsidR="00177EDF" w:rsidRDefault="00177EDF" w:rsidP="00177EDF">
      <w:pPr>
        <w:ind w:left="1080" w:right="720"/>
        <w:jc w:val="both"/>
        <w:rPr>
          <w:lang w:val="en-US"/>
        </w:rPr>
      </w:pPr>
    </w:p>
    <w:p w:rsidR="00177EDF" w:rsidRPr="00445095" w:rsidRDefault="00177EDF" w:rsidP="00177EDF">
      <w:pPr>
        <w:numPr>
          <w:ilvl w:val="0"/>
          <w:numId w:val="2"/>
        </w:numPr>
        <w:ind w:left="1080" w:right="720" w:firstLine="0"/>
        <w:jc w:val="both"/>
        <w:rPr>
          <w:lang w:val="en-US"/>
        </w:rPr>
      </w:pPr>
      <w:r w:rsidRPr="00445095">
        <w:rPr>
          <w:lang w:val="en-US"/>
        </w:rPr>
        <w:t>Once the resources for the floor are removed from the total available for country programmes, indicative individual country allocations can be calculated based on an initial assessment of the extent of programming that UNFPA is likely to undertake in a given setting.  This is primarily a function of the mode of engagement in a given country: as explained above, a country in which UNFPA is carrying out a full package of services from advocacy and policy dialogue through to service delivery will on average require more resources than a country in which the organization is only doing advocacy and policy dialogue/advice.</w:t>
      </w:r>
    </w:p>
    <w:p w:rsidR="00177EDF" w:rsidRPr="00445095" w:rsidRDefault="00177EDF" w:rsidP="00177EDF">
      <w:pPr>
        <w:ind w:left="1080" w:right="720"/>
        <w:jc w:val="both"/>
        <w:rPr>
          <w:lang w:val="en-US"/>
        </w:rPr>
      </w:pPr>
    </w:p>
    <w:p w:rsidR="00177EDF" w:rsidRDefault="00177EDF" w:rsidP="00177EDF">
      <w:pPr>
        <w:numPr>
          <w:ilvl w:val="0"/>
          <w:numId w:val="2"/>
        </w:numPr>
        <w:ind w:left="1080" w:right="720" w:firstLine="0"/>
        <w:jc w:val="both"/>
        <w:rPr>
          <w:lang w:val="en-US"/>
        </w:rPr>
      </w:pPr>
      <w:r w:rsidRPr="00445095">
        <w:rPr>
          <w:lang w:val="en-US"/>
        </w:rPr>
        <w:t xml:space="preserve">Therefore the need score from the preceding step is the starting point for the calculation.  However, this must be adjusted for two factors that influence the extent of programming that UNFPA will carry out: the size of a country’s population and the ability of a country to finance its own programming.  For population size, the indicator used is total female population aged 10-24.  Although this is not the </w:t>
      </w:r>
      <w:r>
        <w:rPr>
          <w:lang w:val="en-US"/>
        </w:rPr>
        <w:t>only target audience for UNFPA</w:t>
      </w:r>
      <w:r w:rsidRPr="00445095">
        <w:rPr>
          <w:lang w:val="en-US"/>
        </w:rPr>
        <w:t xml:space="preserve"> programming, the organization does put a particular emphasis on this group and so it is appropriate to use it as a population metric.  For ability to finance, gross national income per capita </w:t>
      </w:r>
      <w:r>
        <w:rPr>
          <w:lang w:val="en-US"/>
        </w:rPr>
        <w:t xml:space="preserve">(as reported by the World Bank, using the Atlas method) </w:t>
      </w:r>
      <w:r w:rsidRPr="00445095">
        <w:rPr>
          <w:lang w:val="en-US"/>
        </w:rPr>
        <w:t>is used</w:t>
      </w:r>
      <w:r>
        <w:rPr>
          <w:lang w:val="en-US"/>
        </w:rPr>
        <w:t>, with an average figure over the preceding three years used to avoid distortions from sudden swings in income</w:t>
      </w:r>
      <w:r w:rsidRPr="00445095">
        <w:rPr>
          <w:lang w:val="en-US"/>
        </w:rPr>
        <w:t>.</w:t>
      </w:r>
    </w:p>
    <w:p w:rsidR="00177EDF" w:rsidRDefault="00177EDF" w:rsidP="00177EDF">
      <w:pPr>
        <w:ind w:left="1080" w:right="720"/>
        <w:jc w:val="both"/>
        <w:rPr>
          <w:lang w:val="en-US"/>
        </w:rPr>
      </w:pPr>
    </w:p>
    <w:p w:rsidR="00177EDF" w:rsidRDefault="00177EDF" w:rsidP="00177EDF">
      <w:pPr>
        <w:numPr>
          <w:ilvl w:val="0"/>
          <w:numId w:val="2"/>
        </w:numPr>
        <w:ind w:left="1080" w:right="720" w:firstLine="0"/>
        <w:jc w:val="both"/>
        <w:rPr>
          <w:lang w:val="en-US"/>
        </w:rPr>
      </w:pPr>
      <w:r>
        <w:rPr>
          <w:lang w:val="en-US"/>
        </w:rPr>
        <w:t xml:space="preserve">An additional step is required for </w:t>
      </w:r>
      <w:r w:rsidRPr="00A5345D">
        <w:rPr>
          <w:lang w:val="en-US"/>
        </w:rPr>
        <w:t>the two multi-country island programmes in the Pacific and the</w:t>
      </w:r>
      <w:r>
        <w:rPr>
          <w:lang w:val="en-US"/>
        </w:rPr>
        <w:t xml:space="preserve"> Caribbean, for which existing country programme d</w:t>
      </w:r>
      <w:r w:rsidRPr="00A5345D">
        <w:rPr>
          <w:lang w:val="en-US"/>
        </w:rPr>
        <w:t xml:space="preserve">ocuments </w:t>
      </w:r>
      <w:r>
        <w:rPr>
          <w:lang w:val="en-US"/>
        </w:rPr>
        <w:t xml:space="preserve">approved by the Executive Board, existing staffing, and anticipated changes in non-core contributions have </w:t>
      </w:r>
      <w:r w:rsidRPr="00A5345D">
        <w:rPr>
          <w:lang w:val="en-US"/>
        </w:rPr>
        <w:t xml:space="preserve">been used </w:t>
      </w:r>
      <w:r>
        <w:rPr>
          <w:lang w:val="en-US"/>
        </w:rPr>
        <w:t xml:space="preserve">for determining </w:t>
      </w:r>
      <w:r w:rsidRPr="00A5345D">
        <w:rPr>
          <w:lang w:val="en-US"/>
        </w:rPr>
        <w:t xml:space="preserve">the </w:t>
      </w:r>
      <w:r>
        <w:rPr>
          <w:lang w:val="en-US"/>
        </w:rPr>
        <w:t>indicative allocations.</w:t>
      </w:r>
    </w:p>
    <w:p w:rsidR="00177EDF" w:rsidRDefault="00177EDF" w:rsidP="00177EDF">
      <w:pPr>
        <w:ind w:left="1080" w:right="720"/>
        <w:jc w:val="both"/>
        <w:rPr>
          <w:lang w:val="en-US"/>
        </w:rPr>
      </w:pPr>
    </w:p>
    <w:p w:rsidR="00177EDF" w:rsidRPr="00A5345D" w:rsidRDefault="00177EDF" w:rsidP="00177EDF">
      <w:pPr>
        <w:numPr>
          <w:ilvl w:val="0"/>
          <w:numId w:val="2"/>
        </w:numPr>
        <w:ind w:left="1080" w:right="720" w:firstLine="0"/>
        <w:jc w:val="both"/>
        <w:rPr>
          <w:lang w:val="en-US"/>
        </w:rPr>
      </w:pPr>
      <w:r>
        <w:rPr>
          <w:lang w:val="en-US"/>
        </w:rPr>
        <w:lastRenderedPageBreak/>
        <w:t xml:space="preserve">The resulting calculations produce </w:t>
      </w:r>
      <w:r w:rsidRPr="00445095">
        <w:rPr>
          <w:lang w:val="en-US"/>
        </w:rPr>
        <w:t>indicative individual country allocations</w:t>
      </w:r>
      <w:r>
        <w:rPr>
          <w:lang w:val="en-US"/>
        </w:rPr>
        <w:t xml:space="preserve">. </w:t>
      </w:r>
      <w:r w:rsidR="00015F15">
        <w:rPr>
          <w:lang w:val="en-US"/>
        </w:rPr>
        <w:t xml:space="preserve"> </w:t>
      </w:r>
      <w:r>
        <w:rPr>
          <w:lang w:val="en-US"/>
        </w:rPr>
        <w:t xml:space="preserve">However, to avoid disruptions to programming, the change to the RAS will only be phased in progressively. </w:t>
      </w:r>
      <w:r w:rsidR="00015F15">
        <w:rPr>
          <w:lang w:val="en-US"/>
        </w:rPr>
        <w:t xml:space="preserve"> </w:t>
      </w:r>
      <w:r>
        <w:rPr>
          <w:color w:val="000000"/>
        </w:rPr>
        <w:t>The transition will begin in 2015 for the small number of countries that have new country programme documents beginning that year, while for the majority of countries, the transition will only occur in 2016 to ensure that countries have adequate time to adjust.</w:t>
      </w:r>
    </w:p>
    <w:p w:rsidR="00177EDF" w:rsidRPr="00445095" w:rsidRDefault="00177EDF" w:rsidP="00177EDF">
      <w:pPr>
        <w:ind w:left="1080" w:right="720"/>
        <w:jc w:val="both"/>
        <w:rPr>
          <w:lang w:val="en-US"/>
        </w:rPr>
      </w:pPr>
    </w:p>
    <w:p w:rsidR="00177EDF" w:rsidRPr="00445095" w:rsidRDefault="00177EDF" w:rsidP="00177EDF">
      <w:pPr>
        <w:pStyle w:val="Heading3"/>
      </w:pPr>
      <w:r w:rsidRPr="00445095">
        <w:t>Group countries into coherent categories</w:t>
      </w:r>
    </w:p>
    <w:p w:rsidR="00177EDF" w:rsidRDefault="00177EDF" w:rsidP="00177EDF">
      <w:pPr>
        <w:ind w:left="1080" w:right="720"/>
        <w:jc w:val="both"/>
        <w:rPr>
          <w:lang w:val="en-US"/>
        </w:rPr>
      </w:pPr>
    </w:p>
    <w:p w:rsidR="00177EDF" w:rsidRPr="00445095" w:rsidRDefault="00177EDF" w:rsidP="00177EDF">
      <w:pPr>
        <w:numPr>
          <w:ilvl w:val="0"/>
          <w:numId w:val="2"/>
        </w:numPr>
        <w:ind w:left="1080" w:right="720" w:firstLine="0"/>
        <w:jc w:val="both"/>
        <w:rPr>
          <w:lang w:val="en-US"/>
        </w:rPr>
      </w:pPr>
      <w:r w:rsidRPr="00445095">
        <w:rPr>
          <w:lang w:val="en-US"/>
        </w:rPr>
        <w:t xml:space="preserve">The next step is to group countries together into categories that are coherent.  In the current RAS, countries are grouped into categories A, B, and C.  However, in the new RAS, </w:t>
      </w:r>
      <w:r>
        <w:rPr>
          <w:lang w:val="en-US"/>
        </w:rPr>
        <w:t xml:space="preserve">the grouping will </w:t>
      </w:r>
      <w:r w:rsidRPr="00445095">
        <w:rPr>
          <w:lang w:val="en-US"/>
        </w:rPr>
        <w:t>be link</w:t>
      </w:r>
      <w:r>
        <w:rPr>
          <w:lang w:val="en-US"/>
        </w:rPr>
        <w:t>ed</w:t>
      </w:r>
      <w:r w:rsidRPr="00445095">
        <w:rPr>
          <w:lang w:val="en-US"/>
        </w:rPr>
        <w:t xml:space="preserve"> to the business model, in which countries are split in colo</w:t>
      </w:r>
      <w:r>
        <w:rPr>
          <w:lang w:val="en-US"/>
        </w:rPr>
        <w:t>u</w:t>
      </w:r>
      <w:r w:rsidRPr="00445095">
        <w:rPr>
          <w:lang w:val="en-US"/>
        </w:rPr>
        <w:t xml:space="preserve">r quadrants based on the combination of need and ability to finance, as shown in Table </w:t>
      </w:r>
      <w:r w:rsidR="005B0755">
        <w:rPr>
          <w:lang w:val="en-US"/>
        </w:rPr>
        <w:t>7</w:t>
      </w:r>
      <w:r w:rsidRPr="00445095">
        <w:rPr>
          <w:lang w:val="en-US"/>
        </w:rPr>
        <w:t>.  Determining the number of countries falling into each category is a simple process of combining the final need classification from step 2 above with the country’s income classification, which produces the results shown below.  As additional information, the table also includes the share of the population living in countries in which UNFPA operates.</w:t>
      </w:r>
    </w:p>
    <w:p w:rsidR="00177EDF" w:rsidRPr="00445095" w:rsidRDefault="00177EDF" w:rsidP="00177EDF">
      <w:pPr>
        <w:ind w:left="1080" w:right="720"/>
        <w:jc w:val="both"/>
        <w:rPr>
          <w:lang w:val="en-US"/>
        </w:rPr>
      </w:pPr>
    </w:p>
    <w:p w:rsidR="00177EDF" w:rsidRPr="00445095" w:rsidRDefault="00177EDF" w:rsidP="00177EDF">
      <w:pPr>
        <w:ind w:left="1080" w:right="720"/>
        <w:jc w:val="both"/>
        <w:rPr>
          <w:lang w:val="en-US"/>
        </w:rPr>
      </w:pPr>
      <w:r w:rsidRPr="00445095">
        <w:rPr>
          <w:b/>
          <w:lang w:val="en-US"/>
        </w:rPr>
        <w:t xml:space="preserve">Table </w:t>
      </w:r>
      <w:r w:rsidR="004B56A0">
        <w:rPr>
          <w:b/>
          <w:lang w:val="en-US"/>
        </w:rPr>
        <w:t>7</w:t>
      </w:r>
      <w:r w:rsidRPr="00445095">
        <w:rPr>
          <w:b/>
          <w:lang w:val="en-US"/>
        </w:rPr>
        <w:t>: Number of countries in each quadrant</w:t>
      </w:r>
      <w:r w:rsidRPr="007A5110">
        <w:rPr>
          <w:rStyle w:val="FootnoteReference"/>
          <w:b/>
          <w:vertAlign w:val="superscript"/>
          <w:lang w:val="en-US"/>
        </w:rPr>
        <w:footnoteReference w:id="8"/>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3"/>
        <w:gridCol w:w="932"/>
        <w:gridCol w:w="1136"/>
        <w:gridCol w:w="1003"/>
        <w:gridCol w:w="1136"/>
        <w:gridCol w:w="1003"/>
        <w:gridCol w:w="1136"/>
        <w:gridCol w:w="1003"/>
        <w:gridCol w:w="1136"/>
      </w:tblGrid>
      <w:tr w:rsidR="00177EDF" w:rsidRPr="00A5345D" w:rsidTr="009B383D">
        <w:trPr>
          <w:cantSplit/>
        </w:trPr>
        <w:tc>
          <w:tcPr>
            <w:tcW w:w="983" w:type="dxa"/>
            <w:shd w:val="clear" w:color="auto" w:fill="auto"/>
          </w:tcPr>
          <w:p w:rsidR="00177EDF" w:rsidRPr="00A5345D" w:rsidRDefault="00177EDF" w:rsidP="009B383D">
            <w:pPr>
              <w:jc w:val="both"/>
              <w:rPr>
                <w:rFonts w:eastAsia="Calibri"/>
                <w:b/>
                <w:sz w:val="18"/>
                <w:lang w:val="en-US"/>
              </w:rPr>
            </w:pPr>
          </w:p>
        </w:tc>
        <w:tc>
          <w:tcPr>
            <w:tcW w:w="8485" w:type="dxa"/>
            <w:gridSpan w:val="8"/>
            <w:shd w:val="clear" w:color="auto" w:fill="auto"/>
          </w:tcPr>
          <w:p w:rsidR="00177EDF" w:rsidRPr="00A5345D" w:rsidRDefault="00177EDF" w:rsidP="009B383D">
            <w:pPr>
              <w:ind w:left="16" w:right="-10"/>
              <w:jc w:val="both"/>
              <w:rPr>
                <w:rFonts w:eastAsia="Calibri"/>
                <w:b/>
                <w:i/>
                <w:sz w:val="18"/>
                <w:lang w:val="en-US"/>
              </w:rPr>
            </w:pPr>
            <w:r w:rsidRPr="00A5345D">
              <w:rPr>
                <w:rFonts w:eastAsia="Calibri"/>
                <w:b/>
                <w:i/>
                <w:sz w:val="18"/>
                <w:lang w:val="en-US"/>
              </w:rPr>
              <w:t>Need</w:t>
            </w:r>
          </w:p>
        </w:tc>
      </w:tr>
      <w:tr w:rsidR="00177EDF" w:rsidRPr="00A5345D" w:rsidTr="009B383D">
        <w:trPr>
          <w:cantSplit/>
        </w:trPr>
        <w:tc>
          <w:tcPr>
            <w:tcW w:w="983" w:type="dxa"/>
            <w:vMerge w:val="restart"/>
            <w:shd w:val="clear" w:color="auto" w:fill="auto"/>
          </w:tcPr>
          <w:p w:rsidR="00177EDF" w:rsidRPr="00A5345D" w:rsidRDefault="00177EDF" w:rsidP="009B383D">
            <w:pPr>
              <w:jc w:val="both"/>
              <w:rPr>
                <w:rFonts w:eastAsia="Calibri"/>
                <w:b/>
                <w:i/>
                <w:sz w:val="18"/>
                <w:lang w:val="en-US"/>
              </w:rPr>
            </w:pPr>
            <w:r w:rsidRPr="00A5345D">
              <w:rPr>
                <w:rFonts w:eastAsia="Calibri"/>
                <w:b/>
                <w:i/>
                <w:sz w:val="18"/>
                <w:lang w:val="en-US"/>
              </w:rPr>
              <w:t>Ability to finance</w:t>
            </w:r>
          </w:p>
        </w:tc>
        <w:tc>
          <w:tcPr>
            <w:tcW w:w="2068" w:type="dxa"/>
            <w:gridSpan w:val="2"/>
            <w:shd w:val="clear" w:color="auto" w:fill="auto"/>
          </w:tcPr>
          <w:p w:rsidR="00177EDF" w:rsidRPr="00A5345D" w:rsidRDefault="00177EDF" w:rsidP="009B383D">
            <w:pPr>
              <w:ind w:left="16" w:right="-10"/>
              <w:jc w:val="both"/>
              <w:rPr>
                <w:rFonts w:eastAsia="Calibri"/>
                <w:b/>
                <w:sz w:val="18"/>
                <w:lang w:val="en-US"/>
              </w:rPr>
            </w:pPr>
            <w:r w:rsidRPr="00A5345D">
              <w:rPr>
                <w:rFonts w:eastAsia="Calibri"/>
                <w:b/>
                <w:sz w:val="18"/>
                <w:lang w:val="en-US"/>
              </w:rPr>
              <w:t>Highest</w:t>
            </w:r>
          </w:p>
        </w:tc>
        <w:tc>
          <w:tcPr>
            <w:tcW w:w="2139" w:type="dxa"/>
            <w:gridSpan w:val="2"/>
            <w:shd w:val="clear" w:color="auto" w:fill="auto"/>
          </w:tcPr>
          <w:p w:rsidR="00177EDF" w:rsidRPr="00A5345D" w:rsidRDefault="00177EDF" w:rsidP="009B383D">
            <w:pPr>
              <w:ind w:left="16" w:right="-10"/>
              <w:jc w:val="both"/>
              <w:rPr>
                <w:rFonts w:eastAsia="Calibri"/>
                <w:b/>
                <w:sz w:val="18"/>
                <w:lang w:val="en-US"/>
              </w:rPr>
            </w:pPr>
            <w:r w:rsidRPr="00A5345D">
              <w:rPr>
                <w:rFonts w:eastAsia="Calibri"/>
                <w:b/>
                <w:sz w:val="18"/>
                <w:lang w:val="en-US"/>
              </w:rPr>
              <w:t>High</w:t>
            </w:r>
          </w:p>
        </w:tc>
        <w:tc>
          <w:tcPr>
            <w:tcW w:w="2139" w:type="dxa"/>
            <w:gridSpan w:val="2"/>
            <w:shd w:val="clear" w:color="auto" w:fill="auto"/>
          </w:tcPr>
          <w:p w:rsidR="00177EDF" w:rsidRPr="00A5345D" w:rsidRDefault="00177EDF" w:rsidP="009B383D">
            <w:pPr>
              <w:ind w:left="16" w:right="-10"/>
              <w:jc w:val="both"/>
              <w:rPr>
                <w:rFonts w:eastAsia="Calibri"/>
                <w:b/>
                <w:sz w:val="18"/>
                <w:lang w:val="en-US"/>
              </w:rPr>
            </w:pPr>
            <w:r w:rsidRPr="00A5345D">
              <w:rPr>
                <w:rFonts w:eastAsia="Calibri"/>
                <w:b/>
                <w:sz w:val="18"/>
                <w:lang w:val="en-US"/>
              </w:rPr>
              <w:t>Medium</w:t>
            </w:r>
          </w:p>
        </w:tc>
        <w:tc>
          <w:tcPr>
            <w:tcW w:w="2139" w:type="dxa"/>
            <w:gridSpan w:val="2"/>
            <w:shd w:val="clear" w:color="auto" w:fill="auto"/>
          </w:tcPr>
          <w:p w:rsidR="00177EDF" w:rsidRPr="00A5345D" w:rsidRDefault="00177EDF" w:rsidP="009B383D">
            <w:pPr>
              <w:ind w:left="16" w:right="-10"/>
              <w:jc w:val="both"/>
              <w:rPr>
                <w:rFonts w:eastAsia="Calibri"/>
                <w:b/>
                <w:sz w:val="18"/>
                <w:lang w:val="en-US"/>
              </w:rPr>
            </w:pPr>
            <w:r w:rsidRPr="00A5345D">
              <w:rPr>
                <w:rFonts w:eastAsia="Calibri"/>
                <w:b/>
                <w:sz w:val="18"/>
                <w:lang w:val="en-US"/>
              </w:rPr>
              <w:t>Low</w:t>
            </w:r>
          </w:p>
        </w:tc>
      </w:tr>
      <w:tr w:rsidR="00177EDF" w:rsidRPr="00A5345D" w:rsidTr="009B383D">
        <w:trPr>
          <w:cantSplit/>
        </w:trPr>
        <w:tc>
          <w:tcPr>
            <w:tcW w:w="983" w:type="dxa"/>
            <w:vMerge/>
            <w:shd w:val="clear" w:color="auto" w:fill="auto"/>
          </w:tcPr>
          <w:p w:rsidR="00177EDF" w:rsidRPr="00A5345D" w:rsidRDefault="00177EDF" w:rsidP="009B383D">
            <w:pPr>
              <w:jc w:val="both"/>
              <w:rPr>
                <w:rFonts w:eastAsia="Calibri"/>
                <w:b/>
                <w:i/>
                <w:sz w:val="18"/>
                <w:lang w:val="en-US"/>
              </w:rPr>
            </w:pPr>
          </w:p>
        </w:tc>
        <w:tc>
          <w:tcPr>
            <w:tcW w:w="932" w:type="dxa"/>
            <w:shd w:val="clear" w:color="auto" w:fill="auto"/>
          </w:tcPr>
          <w:p w:rsidR="00177EDF" w:rsidRPr="00A5345D" w:rsidRDefault="00177EDF" w:rsidP="009B383D">
            <w:pPr>
              <w:ind w:left="16" w:right="-10"/>
              <w:jc w:val="both"/>
              <w:rPr>
                <w:rFonts w:eastAsia="Calibri"/>
                <w:b/>
                <w:sz w:val="18"/>
                <w:lang w:val="en-US"/>
              </w:rPr>
            </w:pPr>
            <w:r w:rsidRPr="00A5345D">
              <w:rPr>
                <w:rFonts w:eastAsia="Calibri"/>
                <w:b/>
                <w:sz w:val="18"/>
                <w:lang w:val="en-US"/>
              </w:rPr>
              <w:t>Number of countries</w:t>
            </w:r>
          </w:p>
        </w:tc>
        <w:tc>
          <w:tcPr>
            <w:tcW w:w="1136" w:type="dxa"/>
            <w:shd w:val="clear" w:color="auto" w:fill="auto"/>
          </w:tcPr>
          <w:p w:rsidR="00177EDF" w:rsidRPr="00A5345D" w:rsidRDefault="00177EDF" w:rsidP="009B383D">
            <w:pPr>
              <w:ind w:left="16" w:right="-10"/>
              <w:jc w:val="both"/>
              <w:rPr>
                <w:rFonts w:eastAsia="Calibri"/>
                <w:b/>
                <w:sz w:val="18"/>
                <w:lang w:val="en-US"/>
              </w:rPr>
            </w:pPr>
            <w:r w:rsidRPr="00A5345D">
              <w:rPr>
                <w:rFonts w:eastAsia="Calibri"/>
                <w:b/>
                <w:sz w:val="18"/>
                <w:lang w:val="en-US"/>
              </w:rPr>
              <w:t>Share of population</w:t>
            </w:r>
          </w:p>
        </w:tc>
        <w:tc>
          <w:tcPr>
            <w:tcW w:w="1003" w:type="dxa"/>
            <w:shd w:val="clear" w:color="auto" w:fill="auto"/>
          </w:tcPr>
          <w:p w:rsidR="00177EDF" w:rsidRPr="00A5345D" w:rsidRDefault="00177EDF" w:rsidP="009B383D">
            <w:pPr>
              <w:ind w:left="16" w:right="-10"/>
              <w:jc w:val="both"/>
              <w:rPr>
                <w:rFonts w:eastAsia="Calibri"/>
                <w:b/>
                <w:sz w:val="18"/>
                <w:lang w:val="en-US"/>
              </w:rPr>
            </w:pPr>
            <w:r w:rsidRPr="00A5345D">
              <w:rPr>
                <w:rFonts w:eastAsia="Calibri"/>
                <w:b/>
                <w:sz w:val="18"/>
                <w:lang w:val="en-US"/>
              </w:rPr>
              <w:t>Number of countries</w:t>
            </w:r>
          </w:p>
        </w:tc>
        <w:tc>
          <w:tcPr>
            <w:tcW w:w="1136" w:type="dxa"/>
            <w:shd w:val="clear" w:color="auto" w:fill="auto"/>
          </w:tcPr>
          <w:p w:rsidR="00177EDF" w:rsidRPr="00A5345D" w:rsidRDefault="00177EDF" w:rsidP="009B383D">
            <w:pPr>
              <w:ind w:left="16" w:right="-10"/>
              <w:jc w:val="both"/>
              <w:rPr>
                <w:rFonts w:eastAsia="Calibri"/>
                <w:b/>
                <w:sz w:val="18"/>
                <w:lang w:val="en-US"/>
              </w:rPr>
            </w:pPr>
            <w:r w:rsidRPr="00A5345D">
              <w:rPr>
                <w:rFonts w:eastAsia="Calibri"/>
                <w:b/>
                <w:sz w:val="18"/>
                <w:lang w:val="en-US"/>
              </w:rPr>
              <w:t>Share of population</w:t>
            </w:r>
          </w:p>
        </w:tc>
        <w:tc>
          <w:tcPr>
            <w:tcW w:w="1003" w:type="dxa"/>
            <w:shd w:val="clear" w:color="auto" w:fill="auto"/>
          </w:tcPr>
          <w:p w:rsidR="00177EDF" w:rsidRPr="00A5345D" w:rsidRDefault="00177EDF" w:rsidP="009B383D">
            <w:pPr>
              <w:ind w:left="16" w:right="-10"/>
              <w:jc w:val="both"/>
              <w:rPr>
                <w:rFonts w:eastAsia="Calibri"/>
                <w:b/>
                <w:sz w:val="18"/>
                <w:lang w:val="en-US"/>
              </w:rPr>
            </w:pPr>
            <w:r w:rsidRPr="00A5345D">
              <w:rPr>
                <w:rFonts w:eastAsia="Calibri"/>
                <w:b/>
                <w:sz w:val="18"/>
                <w:lang w:val="en-US"/>
              </w:rPr>
              <w:t>Number of countries</w:t>
            </w:r>
          </w:p>
        </w:tc>
        <w:tc>
          <w:tcPr>
            <w:tcW w:w="1136" w:type="dxa"/>
            <w:shd w:val="clear" w:color="auto" w:fill="auto"/>
          </w:tcPr>
          <w:p w:rsidR="00177EDF" w:rsidRPr="00A5345D" w:rsidRDefault="00177EDF" w:rsidP="009B383D">
            <w:pPr>
              <w:ind w:left="16" w:right="-10"/>
              <w:jc w:val="both"/>
              <w:rPr>
                <w:rFonts w:eastAsia="Calibri"/>
                <w:b/>
                <w:sz w:val="18"/>
                <w:lang w:val="en-US"/>
              </w:rPr>
            </w:pPr>
            <w:r w:rsidRPr="00A5345D">
              <w:rPr>
                <w:rFonts w:eastAsia="Calibri"/>
                <w:b/>
                <w:sz w:val="18"/>
                <w:lang w:val="en-US"/>
              </w:rPr>
              <w:t>Share of population</w:t>
            </w:r>
          </w:p>
        </w:tc>
        <w:tc>
          <w:tcPr>
            <w:tcW w:w="1003" w:type="dxa"/>
            <w:shd w:val="clear" w:color="auto" w:fill="auto"/>
          </w:tcPr>
          <w:p w:rsidR="00177EDF" w:rsidRPr="00A5345D" w:rsidRDefault="00177EDF" w:rsidP="009B383D">
            <w:pPr>
              <w:ind w:left="16" w:right="-10"/>
              <w:jc w:val="both"/>
              <w:rPr>
                <w:rFonts w:eastAsia="Calibri"/>
                <w:b/>
                <w:sz w:val="18"/>
                <w:lang w:val="en-US"/>
              </w:rPr>
            </w:pPr>
            <w:r w:rsidRPr="00A5345D">
              <w:rPr>
                <w:rFonts w:eastAsia="Calibri"/>
                <w:b/>
                <w:sz w:val="18"/>
                <w:lang w:val="en-US"/>
              </w:rPr>
              <w:t>Number of countries</w:t>
            </w:r>
          </w:p>
        </w:tc>
        <w:tc>
          <w:tcPr>
            <w:tcW w:w="1136" w:type="dxa"/>
            <w:shd w:val="clear" w:color="auto" w:fill="auto"/>
          </w:tcPr>
          <w:p w:rsidR="00177EDF" w:rsidRPr="00A5345D" w:rsidRDefault="00177EDF" w:rsidP="009B383D">
            <w:pPr>
              <w:ind w:left="16" w:right="-10"/>
              <w:jc w:val="both"/>
              <w:rPr>
                <w:rFonts w:eastAsia="Calibri"/>
                <w:b/>
                <w:sz w:val="18"/>
                <w:lang w:val="en-US"/>
              </w:rPr>
            </w:pPr>
            <w:r w:rsidRPr="00A5345D">
              <w:rPr>
                <w:rFonts w:eastAsia="Calibri"/>
                <w:b/>
                <w:sz w:val="18"/>
                <w:lang w:val="en-US"/>
              </w:rPr>
              <w:t>Share of population</w:t>
            </w:r>
          </w:p>
        </w:tc>
      </w:tr>
      <w:tr w:rsidR="00177EDF" w:rsidRPr="00A5345D" w:rsidTr="009B383D">
        <w:trPr>
          <w:cantSplit/>
        </w:trPr>
        <w:tc>
          <w:tcPr>
            <w:tcW w:w="983" w:type="dxa"/>
            <w:shd w:val="clear" w:color="auto" w:fill="auto"/>
          </w:tcPr>
          <w:p w:rsidR="00177EDF" w:rsidRPr="00A5345D" w:rsidRDefault="00177EDF" w:rsidP="009B383D">
            <w:pPr>
              <w:jc w:val="both"/>
              <w:rPr>
                <w:rFonts w:eastAsia="Calibri"/>
                <w:b/>
                <w:sz w:val="18"/>
                <w:lang w:val="en-US"/>
              </w:rPr>
            </w:pPr>
            <w:r w:rsidRPr="00A5345D">
              <w:rPr>
                <w:rFonts w:eastAsia="Calibri"/>
                <w:b/>
                <w:sz w:val="18"/>
                <w:lang w:val="en-US"/>
              </w:rPr>
              <w:t>Low</w:t>
            </w:r>
          </w:p>
        </w:tc>
        <w:tc>
          <w:tcPr>
            <w:tcW w:w="932" w:type="dxa"/>
            <w:shd w:val="clear" w:color="auto" w:fill="FF2929"/>
          </w:tcPr>
          <w:p w:rsidR="00177EDF" w:rsidRPr="00A5345D" w:rsidRDefault="00177EDF" w:rsidP="009B383D">
            <w:pPr>
              <w:ind w:left="16" w:right="-10"/>
              <w:jc w:val="both"/>
              <w:rPr>
                <w:rFonts w:eastAsia="Calibri"/>
                <w:sz w:val="18"/>
                <w:lang w:val="en-US"/>
              </w:rPr>
            </w:pPr>
            <w:r w:rsidRPr="00A5345D">
              <w:rPr>
                <w:rFonts w:eastAsia="Calibri"/>
                <w:sz w:val="18"/>
                <w:lang w:val="en-US"/>
              </w:rPr>
              <w:t>2</w:t>
            </w:r>
            <w:r>
              <w:rPr>
                <w:rFonts w:eastAsia="Calibri"/>
                <w:sz w:val="18"/>
                <w:lang w:val="en-US"/>
              </w:rPr>
              <w:t>2</w:t>
            </w:r>
          </w:p>
        </w:tc>
        <w:tc>
          <w:tcPr>
            <w:tcW w:w="1136" w:type="dxa"/>
            <w:shd w:val="clear" w:color="auto" w:fill="FF2929"/>
          </w:tcPr>
          <w:p w:rsidR="00177EDF" w:rsidRPr="00A5345D" w:rsidRDefault="00177EDF" w:rsidP="009B383D">
            <w:pPr>
              <w:ind w:left="16" w:right="-10"/>
              <w:jc w:val="both"/>
              <w:rPr>
                <w:rFonts w:eastAsia="Calibri"/>
                <w:sz w:val="18"/>
                <w:lang w:val="en-US"/>
              </w:rPr>
            </w:pPr>
            <w:r w:rsidRPr="00A5345D">
              <w:rPr>
                <w:rFonts w:eastAsia="Calibri"/>
                <w:sz w:val="18"/>
                <w:lang w:val="en-US"/>
              </w:rPr>
              <w:t>7%</w:t>
            </w:r>
          </w:p>
        </w:tc>
        <w:tc>
          <w:tcPr>
            <w:tcW w:w="1003" w:type="dxa"/>
            <w:shd w:val="clear" w:color="auto" w:fill="FF2929"/>
          </w:tcPr>
          <w:p w:rsidR="00177EDF" w:rsidRPr="00A5345D" w:rsidRDefault="00177EDF" w:rsidP="009B383D">
            <w:pPr>
              <w:ind w:left="16" w:right="-10"/>
              <w:jc w:val="both"/>
              <w:rPr>
                <w:rFonts w:eastAsia="Calibri"/>
                <w:sz w:val="18"/>
                <w:lang w:val="en-US"/>
              </w:rPr>
            </w:pPr>
            <w:r w:rsidRPr="00A5345D">
              <w:rPr>
                <w:rFonts w:eastAsia="Calibri"/>
                <w:sz w:val="18"/>
                <w:lang w:val="en-US"/>
              </w:rPr>
              <w:t>10</w:t>
            </w:r>
          </w:p>
        </w:tc>
        <w:tc>
          <w:tcPr>
            <w:tcW w:w="1136" w:type="dxa"/>
            <w:shd w:val="clear" w:color="auto" w:fill="FF2929"/>
          </w:tcPr>
          <w:p w:rsidR="00177EDF" w:rsidRPr="00A5345D" w:rsidRDefault="00177EDF" w:rsidP="009B383D">
            <w:pPr>
              <w:ind w:left="16" w:right="-10"/>
              <w:jc w:val="both"/>
              <w:rPr>
                <w:rFonts w:eastAsia="Calibri"/>
                <w:sz w:val="18"/>
                <w:lang w:val="en-US"/>
              </w:rPr>
            </w:pPr>
            <w:r w:rsidRPr="00A5345D">
              <w:rPr>
                <w:rFonts w:eastAsia="Calibri"/>
                <w:sz w:val="18"/>
                <w:lang w:val="en-US"/>
              </w:rPr>
              <w:t>5%</w:t>
            </w:r>
          </w:p>
        </w:tc>
        <w:tc>
          <w:tcPr>
            <w:tcW w:w="1003" w:type="dxa"/>
            <w:shd w:val="clear" w:color="auto" w:fill="FFC000"/>
          </w:tcPr>
          <w:p w:rsidR="00177EDF" w:rsidRPr="00A5345D" w:rsidRDefault="00177EDF" w:rsidP="009B383D">
            <w:pPr>
              <w:ind w:left="16" w:right="-10"/>
              <w:jc w:val="both"/>
              <w:rPr>
                <w:rFonts w:eastAsia="Calibri"/>
                <w:sz w:val="18"/>
                <w:lang w:val="en-US"/>
              </w:rPr>
            </w:pPr>
            <w:r w:rsidRPr="00A5345D">
              <w:rPr>
                <w:rFonts w:eastAsia="Calibri"/>
                <w:sz w:val="18"/>
                <w:lang w:val="en-US"/>
              </w:rPr>
              <w:t>4</w:t>
            </w:r>
          </w:p>
        </w:tc>
        <w:tc>
          <w:tcPr>
            <w:tcW w:w="1136" w:type="dxa"/>
            <w:shd w:val="clear" w:color="auto" w:fill="FFC000"/>
          </w:tcPr>
          <w:p w:rsidR="00177EDF" w:rsidRPr="00A5345D" w:rsidRDefault="00177EDF" w:rsidP="009B383D">
            <w:pPr>
              <w:ind w:left="16" w:right="-10"/>
              <w:jc w:val="both"/>
              <w:rPr>
                <w:rFonts w:eastAsia="Calibri"/>
                <w:sz w:val="18"/>
                <w:lang w:val="en-US"/>
              </w:rPr>
            </w:pPr>
            <w:r w:rsidRPr="00A5345D">
              <w:rPr>
                <w:rFonts w:eastAsia="Calibri"/>
                <w:sz w:val="18"/>
                <w:lang w:val="en-US"/>
              </w:rPr>
              <w:t>2%</w:t>
            </w:r>
          </w:p>
        </w:tc>
        <w:tc>
          <w:tcPr>
            <w:tcW w:w="1003" w:type="dxa"/>
            <w:shd w:val="clear" w:color="auto" w:fill="FFFF00"/>
          </w:tcPr>
          <w:p w:rsidR="00177EDF" w:rsidRPr="00A5345D" w:rsidRDefault="00177EDF" w:rsidP="009B383D">
            <w:pPr>
              <w:ind w:left="16" w:right="-10"/>
              <w:jc w:val="both"/>
              <w:rPr>
                <w:rFonts w:eastAsia="Calibri"/>
                <w:sz w:val="18"/>
                <w:lang w:val="en-US"/>
              </w:rPr>
            </w:pPr>
            <w:r>
              <w:rPr>
                <w:rFonts w:eastAsia="Calibri"/>
                <w:sz w:val="18"/>
                <w:lang w:val="en-US"/>
              </w:rPr>
              <w:t>0</w:t>
            </w:r>
          </w:p>
        </w:tc>
        <w:tc>
          <w:tcPr>
            <w:tcW w:w="1136" w:type="dxa"/>
            <w:shd w:val="clear" w:color="auto" w:fill="FFFF00"/>
          </w:tcPr>
          <w:p w:rsidR="00177EDF" w:rsidRPr="00A5345D" w:rsidRDefault="00177EDF" w:rsidP="009B383D">
            <w:pPr>
              <w:ind w:left="16" w:right="-10"/>
              <w:jc w:val="both"/>
              <w:rPr>
                <w:rFonts w:eastAsia="Calibri"/>
                <w:sz w:val="18"/>
                <w:lang w:val="en-US"/>
              </w:rPr>
            </w:pPr>
            <w:r>
              <w:rPr>
                <w:rFonts w:eastAsia="Calibri"/>
                <w:sz w:val="18"/>
                <w:lang w:val="en-US"/>
              </w:rPr>
              <w:t>0</w:t>
            </w:r>
            <w:r w:rsidRPr="00A5345D">
              <w:rPr>
                <w:rFonts w:eastAsia="Calibri"/>
                <w:sz w:val="18"/>
                <w:lang w:val="en-US"/>
              </w:rPr>
              <w:t>%</w:t>
            </w:r>
          </w:p>
        </w:tc>
      </w:tr>
      <w:tr w:rsidR="00177EDF" w:rsidRPr="00A5345D" w:rsidTr="009B383D">
        <w:trPr>
          <w:cantSplit/>
        </w:trPr>
        <w:tc>
          <w:tcPr>
            <w:tcW w:w="983" w:type="dxa"/>
            <w:shd w:val="clear" w:color="auto" w:fill="auto"/>
          </w:tcPr>
          <w:p w:rsidR="00177EDF" w:rsidRPr="00A5345D" w:rsidRDefault="00177EDF" w:rsidP="009B383D">
            <w:pPr>
              <w:jc w:val="both"/>
              <w:rPr>
                <w:rFonts w:eastAsia="Calibri"/>
                <w:b/>
                <w:sz w:val="18"/>
                <w:lang w:val="en-US"/>
              </w:rPr>
            </w:pPr>
            <w:r w:rsidRPr="00A5345D">
              <w:rPr>
                <w:rFonts w:eastAsia="Calibri"/>
                <w:b/>
                <w:sz w:val="18"/>
                <w:lang w:val="en-US"/>
              </w:rPr>
              <w:t>Lower-middle</w:t>
            </w:r>
          </w:p>
        </w:tc>
        <w:tc>
          <w:tcPr>
            <w:tcW w:w="932" w:type="dxa"/>
            <w:shd w:val="clear" w:color="auto" w:fill="FF2929"/>
          </w:tcPr>
          <w:p w:rsidR="00177EDF" w:rsidRPr="00A5345D" w:rsidRDefault="00177EDF" w:rsidP="009B383D">
            <w:pPr>
              <w:ind w:left="16" w:right="-10"/>
              <w:jc w:val="both"/>
              <w:rPr>
                <w:rFonts w:eastAsia="Calibri"/>
                <w:sz w:val="18"/>
                <w:lang w:val="en-US"/>
              </w:rPr>
            </w:pPr>
            <w:r w:rsidRPr="00A5345D">
              <w:rPr>
                <w:rFonts w:eastAsia="Calibri"/>
                <w:sz w:val="18"/>
                <w:lang w:val="en-US"/>
              </w:rPr>
              <w:t>8</w:t>
            </w:r>
          </w:p>
        </w:tc>
        <w:tc>
          <w:tcPr>
            <w:tcW w:w="1136" w:type="dxa"/>
            <w:shd w:val="clear" w:color="auto" w:fill="FF2929"/>
          </w:tcPr>
          <w:p w:rsidR="00177EDF" w:rsidRPr="00A5345D" w:rsidRDefault="00177EDF" w:rsidP="009B383D">
            <w:pPr>
              <w:ind w:left="16" w:right="-10"/>
              <w:jc w:val="both"/>
              <w:rPr>
                <w:rFonts w:eastAsia="Calibri"/>
                <w:sz w:val="18"/>
                <w:lang w:val="en-US"/>
              </w:rPr>
            </w:pPr>
            <w:r w:rsidRPr="00A5345D">
              <w:rPr>
                <w:rFonts w:eastAsia="Calibri"/>
                <w:sz w:val="18"/>
                <w:lang w:val="en-US"/>
              </w:rPr>
              <w:t>5%</w:t>
            </w:r>
          </w:p>
        </w:tc>
        <w:tc>
          <w:tcPr>
            <w:tcW w:w="1003" w:type="dxa"/>
            <w:shd w:val="clear" w:color="auto" w:fill="FFC000"/>
          </w:tcPr>
          <w:p w:rsidR="00177EDF" w:rsidRPr="00A5345D" w:rsidRDefault="00177EDF" w:rsidP="009B383D">
            <w:pPr>
              <w:ind w:left="16" w:right="-10"/>
              <w:jc w:val="both"/>
              <w:rPr>
                <w:rFonts w:eastAsia="Calibri"/>
                <w:sz w:val="18"/>
                <w:lang w:val="en-US"/>
              </w:rPr>
            </w:pPr>
            <w:r w:rsidRPr="00A5345D">
              <w:rPr>
                <w:rFonts w:eastAsia="Calibri"/>
                <w:sz w:val="18"/>
                <w:lang w:val="en-US"/>
              </w:rPr>
              <w:t>16</w:t>
            </w:r>
          </w:p>
        </w:tc>
        <w:tc>
          <w:tcPr>
            <w:tcW w:w="1136" w:type="dxa"/>
            <w:shd w:val="clear" w:color="auto" w:fill="FFC000"/>
          </w:tcPr>
          <w:p w:rsidR="00177EDF" w:rsidRPr="00A5345D" w:rsidRDefault="00177EDF" w:rsidP="009B383D">
            <w:pPr>
              <w:ind w:left="16" w:right="-10"/>
              <w:jc w:val="both"/>
              <w:rPr>
                <w:rFonts w:eastAsia="Calibri"/>
                <w:sz w:val="18"/>
                <w:lang w:val="en-US"/>
              </w:rPr>
            </w:pPr>
            <w:r w:rsidRPr="00A5345D">
              <w:rPr>
                <w:rFonts w:eastAsia="Calibri"/>
                <w:sz w:val="18"/>
                <w:lang w:val="en-US"/>
              </w:rPr>
              <w:t>28%</w:t>
            </w:r>
          </w:p>
        </w:tc>
        <w:tc>
          <w:tcPr>
            <w:tcW w:w="1003" w:type="dxa"/>
            <w:shd w:val="clear" w:color="auto" w:fill="FFFF00"/>
          </w:tcPr>
          <w:p w:rsidR="00177EDF" w:rsidRPr="00A5345D" w:rsidRDefault="00177EDF" w:rsidP="009B383D">
            <w:pPr>
              <w:ind w:left="16" w:right="-10"/>
              <w:jc w:val="both"/>
              <w:rPr>
                <w:rFonts w:eastAsia="Calibri"/>
                <w:sz w:val="18"/>
                <w:lang w:val="en-US"/>
              </w:rPr>
            </w:pPr>
            <w:r w:rsidRPr="00A5345D">
              <w:rPr>
                <w:rFonts w:eastAsia="Calibri"/>
                <w:sz w:val="18"/>
                <w:lang w:val="en-US"/>
              </w:rPr>
              <w:t>1</w:t>
            </w:r>
            <w:r w:rsidR="00D667AF">
              <w:rPr>
                <w:rFonts w:eastAsia="Calibri"/>
                <w:sz w:val="18"/>
                <w:lang w:val="en-US"/>
              </w:rPr>
              <w:t>2</w:t>
            </w:r>
          </w:p>
        </w:tc>
        <w:tc>
          <w:tcPr>
            <w:tcW w:w="1136" w:type="dxa"/>
            <w:shd w:val="clear" w:color="auto" w:fill="FFFF00"/>
          </w:tcPr>
          <w:p w:rsidR="00177EDF" w:rsidRPr="00A5345D" w:rsidRDefault="00177EDF" w:rsidP="009B383D">
            <w:pPr>
              <w:ind w:left="16" w:right="-10"/>
              <w:jc w:val="both"/>
              <w:rPr>
                <w:rFonts w:eastAsia="Calibri"/>
                <w:sz w:val="18"/>
                <w:lang w:val="en-US"/>
              </w:rPr>
            </w:pPr>
            <w:r>
              <w:rPr>
                <w:rFonts w:eastAsia="Calibri"/>
                <w:sz w:val="18"/>
                <w:lang w:val="en-US"/>
              </w:rPr>
              <w:t>8</w:t>
            </w:r>
            <w:r w:rsidRPr="00A5345D">
              <w:rPr>
                <w:rFonts w:eastAsia="Calibri"/>
                <w:sz w:val="18"/>
                <w:lang w:val="en-US"/>
              </w:rPr>
              <w:t>%</w:t>
            </w:r>
          </w:p>
        </w:tc>
        <w:tc>
          <w:tcPr>
            <w:tcW w:w="1003" w:type="dxa"/>
            <w:shd w:val="clear" w:color="auto" w:fill="FF99FF"/>
          </w:tcPr>
          <w:p w:rsidR="00177EDF" w:rsidRPr="00A5345D" w:rsidRDefault="00D667AF" w:rsidP="009B383D">
            <w:pPr>
              <w:ind w:left="16" w:right="-10"/>
              <w:jc w:val="both"/>
              <w:rPr>
                <w:rFonts w:eastAsia="Calibri"/>
                <w:sz w:val="18"/>
                <w:lang w:val="en-US"/>
              </w:rPr>
            </w:pPr>
            <w:r>
              <w:rPr>
                <w:rFonts w:eastAsia="Calibri"/>
                <w:sz w:val="18"/>
                <w:lang w:val="en-US"/>
              </w:rPr>
              <w:t>9</w:t>
            </w:r>
          </w:p>
        </w:tc>
        <w:tc>
          <w:tcPr>
            <w:tcW w:w="1136" w:type="dxa"/>
            <w:shd w:val="clear" w:color="auto" w:fill="FF99FF"/>
          </w:tcPr>
          <w:p w:rsidR="00177EDF" w:rsidRPr="00A5345D" w:rsidRDefault="00177EDF" w:rsidP="009B383D">
            <w:pPr>
              <w:ind w:left="16" w:right="-10"/>
              <w:jc w:val="both"/>
              <w:rPr>
                <w:rFonts w:eastAsia="Calibri"/>
                <w:sz w:val="18"/>
                <w:lang w:val="en-US"/>
              </w:rPr>
            </w:pPr>
            <w:r w:rsidRPr="00A5345D">
              <w:rPr>
                <w:rFonts w:eastAsia="Calibri"/>
                <w:sz w:val="18"/>
                <w:lang w:val="en-US"/>
              </w:rPr>
              <w:t>4%</w:t>
            </w:r>
          </w:p>
        </w:tc>
      </w:tr>
      <w:tr w:rsidR="00177EDF" w:rsidRPr="00A5345D" w:rsidTr="009B383D">
        <w:trPr>
          <w:cantSplit/>
        </w:trPr>
        <w:tc>
          <w:tcPr>
            <w:tcW w:w="983" w:type="dxa"/>
            <w:shd w:val="clear" w:color="auto" w:fill="auto"/>
          </w:tcPr>
          <w:p w:rsidR="00177EDF" w:rsidRPr="00A5345D" w:rsidRDefault="00177EDF" w:rsidP="009B383D">
            <w:pPr>
              <w:jc w:val="both"/>
              <w:rPr>
                <w:rFonts w:eastAsia="Calibri"/>
                <w:b/>
                <w:sz w:val="18"/>
                <w:lang w:val="en-US"/>
              </w:rPr>
            </w:pPr>
            <w:r w:rsidRPr="00A5345D">
              <w:rPr>
                <w:rFonts w:eastAsia="Calibri"/>
                <w:b/>
                <w:sz w:val="18"/>
                <w:lang w:val="en-US"/>
              </w:rPr>
              <w:t>Upper-middle</w:t>
            </w:r>
          </w:p>
        </w:tc>
        <w:tc>
          <w:tcPr>
            <w:tcW w:w="932" w:type="dxa"/>
            <w:shd w:val="clear" w:color="auto" w:fill="FFC000"/>
          </w:tcPr>
          <w:p w:rsidR="00177EDF" w:rsidRPr="00A5345D" w:rsidRDefault="00177EDF" w:rsidP="009B383D">
            <w:pPr>
              <w:ind w:left="16" w:right="-10"/>
              <w:jc w:val="both"/>
              <w:rPr>
                <w:rFonts w:eastAsia="Calibri"/>
                <w:sz w:val="18"/>
                <w:lang w:val="en-US"/>
              </w:rPr>
            </w:pPr>
            <w:r w:rsidRPr="00A5345D">
              <w:rPr>
                <w:rFonts w:eastAsia="Calibri"/>
                <w:sz w:val="18"/>
                <w:lang w:val="en-US"/>
              </w:rPr>
              <w:t>1</w:t>
            </w:r>
          </w:p>
        </w:tc>
        <w:tc>
          <w:tcPr>
            <w:tcW w:w="1136" w:type="dxa"/>
            <w:shd w:val="clear" w:color="auto" w:fill="FFC000"/>
          </w:tcPr>
          <w:p w:rsidR="00177EDF" w:rsidRPr="00A5345D" w:rsidRDefault="00177EDF" w:rsidP="009B383D">
            <w:pPr>
              <w:ind w:left="16" w:right="-10"/>
              <w:jc w:val="both"/>
              <w:rPr>
                <w:rFonts w:eastAsia="Calibri"/>
                <w:sz w:val="18"/>
                <w:lang w:val="en-US"/>
              </w:rPr>
            </w:pPr>
            <w:r w:rsidRPr="00A5345D">
              <w:rPr>
                <w:rFonts w:eastAsia="Calibri"/>
                <w:sz w:val="18"/>
                <w:lang w:val="en-US"/>
              </w:rPr>
              <w:t>0.3%</w:t>
            </w:r>
          </w:p>
        </w:tc>
        <w:tc>
          <w:tcPr>
            <w:tcW w:w="1003" w:type="dxa"/>
            <w:shd w:val="clear" w:color="auto" w:fill="FFFF00"/>
          </w:tcPr>
          <w:p w:rsidR="00177EDF" w:rsidRPr="00A5345D" w:rsidRDefault="00177EDF" w:rsidP="009B383D">
            <w:pPr>
              <w:ind w:left="16" w:right="-10"/>
              <w:jc w:val="both"/>
              <w:rPr>
                <w:rFonts w:eastAsia="Calibri"/>
                <w:sz w:val="18"/>
                <w:lang w:val="en-US"/>
              </w:rPr>
            </w:pPr>
            <w:r w:rsidRPr="00A5345D">
              <w:rPr>
                <w:rFonts w:eastAsia="Calibri"/>
                <w:sz w:val="18"/>
                <w:lang w:val="en-US"/>
              </w:rPr>
              <w:t>4</w:t>
            </w:r>
          </w:p>
        </w:tc>
        <w:tc>
          <w:tcPr>
            <w:tcW w:w="1136" w:type="dxa"/>
            <w:shd w:val="clear" w:color="auto" w:fill="FFFF00"/>
          </w:tcPr>
          <w:p w:rsidR="00177EDF" w:rsidRPr="00A5345D" w:rsidRDefault="00177EDF" w:rsidP="009B383D">
            <w:pPr>
              <w:ind w:left="16" w:right="-10"/>
              <w:jc w:val="both"/>
              <w:rPr>
                <w:rFonts w:eastAsia="Calibri"/>
                <w:sz w:val="18"/>
                <w:lang w:val="en-US"/>
              </w:rPr>
            </w:pPr>
            <w:r w:rsidRPr="00A5345D">
              <w:rPr>
                <w:rFonts w:eastAsia="Calibri"/>
                <w:sz w:val="18"/>
                <w:lang w:val="en-US"/>
              </w:rPr>
              <w:t>1%</w:t>
            </w:r>
          </w:p>
        </w:tc>
        <w:tc>
          <w:tcPr>
            <w:tcW w:w="1003" w:type="dxa"/>
            <w:shd w:val="clear" w:color="auto" w:fill="FF99FF"/>
          </w:tcPr>
          <w:p w:rsidR="00177EDF" w:rsidRPr="00A5345D" w:rsidRDefault="00177EDF" w:rsidP="009B383D">
            <w:pPr>
              <w:ind w:left="16" w:right="-10"/>
              <w:jc w:val="both"/>
              <w:rPr>
                <w:rFonts w:eastAsia="Calibri"/>
                <w:sz w:val="18"/>
                <w:lang w:val="en-US"/>
              </w:rPr>
            </w:pPr>
            <w:r>
              <w:rPr>
                <w:rFonts w:eastAsia="Calibri"/>
                <w:sz w:val="18"/>
                <w:lang w:val="en-US"/>
              </w:rPr>
              <w:t>14</w:t>
            </w:r>
          </w:p>
        </w:tc>
        <w:tc>
          <w:tcPr>
            <w:tcW w:w="1136" w:type="dxa"/>
            <w:shd w:val="clear" w:color="auto" w:fill="FF99FF"/>
          </w:tcPr>
          <w:p w:rsidR="00177EDF" w:rsidRPr="00A5345D" w:rsidRDefault="00177EDF" w:rsidP="009B383D">
            <w:pPr>
              <w:ind w:left="16" w:right="-10"/>
              <w:jc w:val="both"/>
              <w:rPr>
                <w:rFonts w:eastAsia="Calibri"/>
                <w:sz w:val="18"/>
                <w:lang w:val="en-US"/>
              </w:rPr>
            </w:pPr>
            <w:r>
              <w:rPr>
                <w:rFonts w:eastAsia="Calibri"/>
                <w:sz w:val="18"/>
                <w:lang w:val="en-US"/>
              </w:rPr>
              <w:t>9</w:t>
            </w:r>
            <w:r w:rsidRPr="00A5345D">
              <w:rPr>
                <w:rFonts w:eastAsia="Calibri"/>
                <w:sz w:val="18"/>
                <w:lang w:val="en-US"/>
              </w:rPr>
              <w:t>%</w:t>
            </w:r>
          </w:p>
        </w:tc>
        <w:tc>
          <w:tcPr>
            <w:tcW w:w="1003" w:type="dxa"/>
            <w:shd w:val="clear" w:color="auto" w:fill="FF99FF"/>
          </w:tcPr>
          <w:p w:rsidR="00177EDF" w:rsidRPr="00A5345D" w:rsidRDefault="00177EDF" w:rsidP="009B383D">
            <w:pPr>
              <w:ind w:left="16" w:right="-10"/>
              <w:jc w:val="both"/>
              <w:rPr>
                <w:rFonts w:eastAsia="Calibri"/>
                <w:sz w:val="18"/>
                <w:lang w:val="en-US"/>
              </w:rPr>
            </w:pPr>
            <w:r>
              <w:rPr>
                <w:rFonts w:eastAsia="Calibri"/>
                <w:sz w:val="18"/>
                <w:lang w:val="en-US"/>
              </w:rPr>
              <w:t>19</w:t>
            </w:r>
          </w:p>
        </w:tc>
        <w:tc>
          <w:tcPr>
            <w:tcW w:w="1136" w:type="dxa"/>
            <w:shd w:val="clear" w:color="auto" w:fill="FF99FF"/>
          </w:tcPr>
          <w:p w:rsidR="00177EDF" w:rsidRPr="00A5345D" w:rsidRDefault="00177EDF" w:rsidP="009B383D">
            <w:pPr>
              <w:ind w:left="16" w:right="-10"/>
              <w:jc w:val="both"/>
              <w:rPr>
                <w:rFonts w:eastAsia="Calibri"/>
                <w:sz w:val="18"/>
                <w:lang w:val="en-US"/>
              </w:rPr>
            </w:pPr>
            <w:r>
              <w:rPr>
                <w:rFonts w:eastAsia="Calibri"/>
                <w:sz w:val="18"/>
                <w:lang w:val="en-US"/>
              </w:rPr>
              <w:t>31</w:t>
            </w:r>
            <w:r w:rsidRPr="00A5345D">
              <w:rPr>
                <w:rFonts w:eastAsia="Calibri"/>
                <w:sz w:val="18"/>
                <w:lang w:val="en-US"/>
              </w:rPr>
              <w:t>%</w:t>
            </w:r>
          </w:p>
        </w:tc>
      </w:tr>
      <w:tr w:rsidR="00177EDF" w:rsidRPr="00A5345D" w:rsidTr="009B383D">
        <w:trPr>
          <w:cantSplit/>
        </w:trPr>
        <w:tc>
          <w:tcPr>
            <w:tcW w:w="983" w:type="dxa"/>
            <w:shd w:val="clear" w:color="auto" w:fill="auto"/>
          </w:tcPr>
          <w:p w:rsidR="00177EDF" w:rsidRPr="00A5345D" w:rsidRDefault="00177EDF" w:rsidP="009B383D">
            <w:pPr>
              <w:jc w:val="both"/>
              <w:rPr>
                <w:rFonts w:eastAsia="Calibri"/>
                <w:b/>
                <w:sz w:val="18"/>
                <w:lang w:val="en-US"/>
              </w:rPr>
            </w:pPr>
            <w:r w:rsidRPr="00A5345D">
              <w:rPr>
                <w:rFonts w:eastAsia="Calibri"/>
                <w:b/>
                <w:sz w:val="18"/>
                <w:lang w:val="en-US"/>
              </w:rPr>
              <w:t>High</w:t>
            </w:r>
          </w:p>
        </w:tc>
        <w:tc>
          <w:tcPr>
            <w:tcW w:w="932" w:type="dxa"/>
            <w:shd w:val="clear" w:color="auto" w:fill="FF99FF"/>
          </w:tcPr>
          <w:p w:rsidR="00177EDF" w:rsidRPr="00A5345D" w:rsidRDefault="00177EDF" w:rsidP="009B383D">
            <w:pPr>
              <w:ind w:left="16" w:right="-10"/>
              <w:jc w:val="both"/>
              <w:rPr>
                <w:rFonts w:eastAsia="Calibri"/>
                <w:sz w:val="18"/>
                <w:lang w:val="en-US"/>
              </w:rPr>
            </w:pPr>
            <w:r w:rsidRPr="00A5345D">
              <w:rPr>
                <w:rFonts w:eastAsia="Calibri"/>
                <w:sz w:val="18"/>
                <w:lang w:val="en-US"/>
              </w:rPr>
              <w:t>0</w:t>
            </w:r>
          </w:p>
        </w:tc>
        <w:tc>
          <w:tcPr>
            <w:tcW w:w="1136" w:type="dxa"/>
            <w:shd w:val="clear" w:color="auto" w:fill="FF99FF"/>
          </w:tcPr>
          <w:p w:rsidR="00177EDF" w:rsidRPr="00A5345D" w:rsidRDefault="00177EDF" w:rsidP="009B383D">
            <w:pPr>
              <w:ind w:left="16" w:right="-10"/>
              <w:jc w:val="both"/>
              <w:rPr>
                <w:rFonts w:eastAsia="Calibri"/>
                <w:sz w:val="18"/>
                <w:lang w:val="en-US"/>
              </w:rPr>
            </w:pPr>
            <w:r w:rsidRPr="00A5345D">
              <w:rPr>
                <w:rFonts w:eastAsia="Calibri"/>
                <w:sz w:val="18"/>
                <w:lang w:val="en-US"/>
              </w:rPr>
              <w:t>0%</w:t>
            </w:r>
          </w:p>
        </w:tc>
        <w:tc>
          <w:tcPr>
            <w:tcW w:w="1003" w:type="dxa"/>
            <w:shd w:val="clear" w:color="auto" w:fill="FF99FF"/>
          </w:tcPr>
          <w:p w:rsidR="00177EDF" w:rsidRPr="00A5345D" w:rsidRDefault="00177EDF" w:rsidP="009B383D">
            <w:pPr>
              <w:ind w:left="16" w:right="-10"/>
              <w:jc w:val="both"/>
              <w:rPr>
                <w:rFonts w:eastAsia="Calibri"/>
                <w:sz w:val="18"/>
                <w:lang w:val="en-US"/>
              </w:rPr>
            </w:pPr>
            <w:r w:rsidRPr="00A5345D">
              <w:rPr>
                <w:rFonts w:eastAsia="Calibri"/>
                <w:sz w:val="18"/>
                <w:lang w:val="en-US"/>
              </w:rPr>
              <w:t>1</w:t>
            </w:r>
          </w:p>
        </w:tc>
        <w:tc>
          <w:tcPr>
            <w:tcW w:w="1136" w:type="dxa"/>
            <w:shd w:val="clear" w:color="auto" w:fill="FF99FF"/>
          </w:tcPr>
          <w:p w:rsidR="00177EDF" w:rsidRPr="00A5345D" w:rsidRDefault="00177EDF" w:rsidP="009B383D">
            <w:pPr>
              <w:ind w:left="16" w:right="-10"/>
              <w:jc w:val="both"/>
              <w:rPr>
                <w:rFonts w:eastAsia="Calibri"/>
                <w:sz w:val="18"/>
                <w:lang w:val="en-US"/>
              </w:rPr>
            </w:pPr>
            <w:r w:rsidRPr="00A5345D">
              <w:rPr>
                <w:rFonts w:eastAsia="Calibri"/>
                <w:sz w:val="18"/>
                <w:lang w:val="en-US"/>
              </w:rPr>
              <w:t>0.01%</w:t>
            </w:r>
          </w:p>
        </w:tc>
        <w:tc>
          <w:tcPr>
            <w:tcW w:w="1003" w:type="dxa"/>
            <w:shd w:val="clear" w:color="auto" w:fill="FF99FF"/>
          </w:tcPr>
          <w:p w:rsidR="00177EDF" w:rsidRPr="00A5345D" w:rsidRDefault="00177EDF" w:rsidP="009B383D">
            <w:pPr>
              <w:ind w:left="16" w:right="-10"/>
              <w:jc w:val="both"/>
              <w:rPr>
                <w:rFonts w:eastAsia="Calibri"/>
                <w:sz w:val="18"/>
                <w:lang w:val="en-US"/>
              </w:rPr>
            </w:pPr>
            <w:r w:rsidRPr="00A5345D">
              <w:rPr>
                <w:rFonts w:eastAsia="Calibri"/>
                <w:sz w:val="18"/>
                <w:lang w:val="en-US"/>
              </w:rPr>
              <w:t>0</w:t>
            </w:r>
          </w:p>
        </w:tc>
        <w:tc>
          <w:tcPr>
            <w:tcW w:w="1136" w:type="dxa"/>
            <w:shd w:val="clear" w:color="auto" w:fill="FF99FF"/>
          </w:tcPr>
          <w:p w:rsidR="00177EDF" w:rsidRPr="00A5345D" w:rsidRDefault="00177EDF" w:rsidP="009B383D">
            <w:pPr>
              <w:ind w:left="16" w:right="-10"/>
              <w:jc w:val="both"/>
              <w:rPr>
                <w:rFonts w:eastAsia="Calibri"/>
                <w:sz w:val="18"/>
                <w:lang w:val="en-US"/>
              </w:rPr>
            </w:pPr>
            <w:r w:rsidRPr="00A5345D">
              <w:rPr>
                <w:rFonts w:eastAsia="Calibri"/>
                <w:sz w:val="18"/>
                <w:lang w:val="en-US"/>
              </w:rPr>
              <w:t>0%</w:t>
            </w:r>
          </w:p>
        </w:tc>
        <w:tc>
          <w:tcPr>
            <w:tcW w:w="1003" w:type="dxa"/>
            <w:shd w:val="clear" w:color="auto" w:fill="FF99FF"/>
          </w:tcPr>
          <w:p w:rsidR="00177EDF" w:rsidRPr="00A5345D" w:rsidRDefault="00177EDF" w:rsidP="009B383D">
            <w:pPr>
              <w:ind w:left="16" w:right="-10"/>
              <w:jc w:val="both"/>
              <w:rPr>
                <w:rFonts w:eastAsia="Calibri"/>
                <w:sz w:val="18"/>
                <w:lang w:val="en-US"/>
              </w:rPr>
            </w:pPr>
            <w:r>
              <w:rPr>
                <w:rFonts w:eastAsia="Calibri"/>
                <w:sz w:val="18"/>
                <w:lang w:val="en-US"/>
              </w:rPr>
              <w:t>1</w:t>
            </w:r>
          </w:p>
        </w:tc>
        <w:tc>
          <w:tcPr>
            <w:tcW w:w="1136" w:type="dxa"/>
            <w:shd w:val="clear" w:color="auto" w:fill="FF99FF"/>
          </w:tcPr>
          <w:p w:rsidR="00177EDF" w:rsidRPr="00A5345D" w:rsidRDefault="00177EDF" w:rsidP="009B383D">
            <w:pPr>
              <w:ind w:left="16" w:right="-10"/>
              <w:jc w:val="both"/>
              <w:rPr>
                <w:rFonts w:eastAsia="Calibri"/>
                <w:sz w:val="18"/>
                <w:lang w:val="en-US"/>
              </w:rPr>
            </w:pPr>
            <w:r w:rsidRPr="00A5345D">
              <w:rPr>
                <w:rFonts w:eastAsia="Calibri"/>
                <w:sz w:val="18"/>
                <w:lang w:val="en-US"/>
              </w:rPr>
              <w:t>0.05%</w:t>
            </w:r>
          </w:p>
        </w:tc>
      </w:tr>
    </w:tbl>
    <w:p w:rsidR="00177EDF" w:rsidRPr="00445095" w:rsidRDefault="00177EDF" w:rsidP="00177EDF">
      <w:pPr>
        <w:ind w:left="1080" w:right="720"/>
        <w:jc w:val="both"/>
        <w:rPr>
          <w:lang w:val="en-US"/>
        </w:rPr>
      </w:pPr>
    </w:p>
    <w:p w:rsidR="00177EDF" w:rsidRDefault="00177EDF" w:rsidP="00BD63A1">
      <w:pPr>
        <w:numPr>
          <w:ilvl w:val="0"/>
          <w:numId w:val="2"/>
        </w:numPr>
        <w:tabs>
          <w:tab w:val="left" w:pos="1620"/>
        </w:tabs>
        <w:ind w:left="1080" w:right="720" w:firstLine="0"/>
        <w:jc w:val="both"/>
        <w:rPr>
          <w:lang w:val="en-US"/>
        </w:rPr>
      </w:pPr>
      <w:r>
        <w:rPr>
          <w:lang w:val="en-US"/>
        </w:rPr>
        <w:t>Thus in total there are 40</w:t>
      </w:r>
      <w:r w:rsidRPr="00445095">
        <w:rPr>
          <w:lang w:val="en-US"/>
        </w:rPr>
        <w:t xml:space="preserve"> c</w:t>
      </w:r>
      <w:r>
        <w:rPr>
          <w:lang w:val="en-US"/>
        </w:rPr>
        <w:t>ountries in the red quadrant (18</w:t>
      </w:r>
      <w:r w:rsidRPr="00445095">
        <w:rPr>
          <w:lang w:val="en-US"/>
        </w:rPr>
        <w:t>% of total population), 21 orange (3</w:t>
      </w:r>
      <w:r>
        <w:rPr>
          <w:lang w:val="en-US"/>
        </w:rPr>
        <w:t>0</w:t>
      </w:r>
      <w:r w:rsidRPr="00445095">
        <w:rPr>
          <w:lang w:val="en-US"/>
        </w:rPr>
        <w:t>%, or 1</w:t>
      </w:r>
      <w:r>
        <w:rPr>
          <w:lang w:val="en-US"/>
        </w:rPr>
        <w:t>1</w:t>
      </w:r>
      <w:r w:rsidRPr="00445095">
        <w:rPr>
          <w:lang w:val="en-US"/>
        </w:rPr>
        <w:t>% if India is r</w:t>
      </w:r>
      <w:r>
        <w:rPr>
          <w:lang w:val="en-US"/>
        </w:rPr>
        <w:t>emoved from the calculation), 16</w:t>
      </w:r>
      <w:r w:rsidRPr="00445095">
        <w:rPr>
          <w:lang w:val="en-US"/>
        </w:rPr>
        <w:t xml:space="preserve"> yellow (</w:t>
      </w:r>
      <w:r>
        <w:rPr>
          <w:lang w:val="en-US"/>
        </w:rPr>
        <w:t>9</w:t>
      </w:r>
      <w:r w:rsidRPr="00445095">
        <w:rPr>
          <w:lang w:val="en-US"/>
        </w:rPr>
        <w:t>%), and 4</w:t>
      </w:r>
      <w:r>
        <w:rPr>
          <w:lang w:val="en-US"/>
        </w:rPr>
        <w:t>4</w:t>
      </w:r>
      <w:r w:rsidRPr="00445095">
        <w:rPr>
          <w:lang w:val="en-US"/>
        </w:rPr>
        <w:t xml:space="preserve"> pink (4</w:t>
      </w:r>
      <w:r>
        <w:rPr>
          <w:lang w:val="en-US"/>
        </w:rPr>
        <w:t>4</w:t>
      </w:r>
      <w:r w:rsidRPr="00445095">
        <w:rPr>
          <w:lang w:val="en-US"/>
        </w:rPr>
        <w:t>%, or 2</w:t>
      </w:r>
      <w:r>
        <w:rPr>
          <w:lang w:val="en-US"/>
        </w:rPr>
        <w:t>6</w:t>
      </w:r>
      <w:r w:rsidRPr="00445095">
        <w:rPr>
          <w:lang w:val="en-US"/>
        </w:rPr>
        <w:t>% if China is removed from the calculation).</w:t>
      </w:r>
      <w:r w:rsidRPr="00445095">
        <w:rPr>
          <w:vertAlign w:val="superscript"/>
          <w:lang w:val="en-US"/>
        </w:rPr>
        <w:footnoteReference w:id="9"/>
      </w:r>
    </w:p>
    <w:p w:rsidR="00177EDF" w:rsidRDefault="00177EDF" w:rsidP="00177EDF">
      <w:pPr>
        <w:ind w:left="1080" w:right="720"/>
        <w:jc w:val="both"/>
        <w:rPr>
          <w:lang w:val="en-US"/>
        </w:rPr>
      </w:pPr>
    </w:p>
    <w:p w:rsidR="00177EDF" w:rsidRDefault="00177EDF" w:rsidP="00BD63A1">
      <w:pPr>
        <w:numPr>
          <w:ilvl w:val="0"/>
          <w:numId w:val="2"/>
        </w:numPr>
        <w:tabs>
          <w:tab w:val="left" w:pos="1620"/>
        </w:tabs>
        <w:ind w:left="1080" w:right="720" w:firstLine="0"/>
        <w:jc w:val="both"/>
        <w:rPr>
          <w:lang w:val="en-US"/>
        </w:rPr>
      </w:pPr>
      <w:r>
        <w:rPr>
          <w:lang w:val="en-US"/>
        </w:rPr>
        <w:t>The appendix to this document provides a list by quadrant of the countries in which UNFPA operates (</w:t>
      </w:r>
      <w:r>
        <w:t>including listing</w:t>
      </w:r>
      <w:r w:rsidRPr="007D322D">
        <w:t xml:space="preserve"> all of the countries contained in</w:t>
      </w:r>
      <w:r>
        <w:t xml:space="preserve"> each multi-country programme)</w:t>
      </w:r>
      <w:r>
        <w:rPr>
          <w:lang w:val="en-US"/>
        </w:rPr>
        <w:t>, while the map below (figure 6) provides a visual depiction.</w:t>
      </w:r>
    </w:p>
    <w:p w:rsidR="00177EDF" w:rsidRDefault="00177EDF" w:rsidP="00177EDF">
      <w:pPr>
        <w:pStyle w:val="ListParagraph"/>
        <w:rPr>
          <w:lang w:val="en-US"/>
        </w:rPr>
      </w:pPr>
    </w:p>
    <w:p w:rsidR="00177EDF" w:rsidRDefault="00177EDF" w:rsidP="00177EDF">
      <w:pPr>
        <w:keepNext/>
        <w:ind w:left="360" w:right="720"/>
        <w:jc w:val="both"/>
        <w:rPr>
          <w:b/>
          <w:lang w:val="en-US"/>
        </w:rPr>
      </w:pPr>
      <w:r w:rsidRPr="00445095">
        <w:rPr>
          <w:b/>
          <w:lang w:val="en-US"/>
        </w:rPr>
        <w:lastRenderedPageBreak/>
        <w:t xml:space="preserve">Figure </w:t>
      </w:r>
      <w:r>
        <w:rPr>
          <w:b/>
          <w:lang w:val="en-US"/>
        </w:rPr>
        <w:t>6</w:t>
      </w:r>
      <w:r w:rsidRPr="00445095">
        <w:rPr>
          <w:b/>
          <w:lang w:val="en-US"/>
        </w:rPr>
        <w:t xml:space="preserve">: </w:t>
      </w:r>
      <w:r>
        <w:rPr>
          <w:b/>
          <w:lang w:val="en-US"/>
        </w:rPr>
        <w:t>Map of UNFPA programme countries</w:t>
      </w:r>
      <w:r w:rsidR="002A3E7D">
        <w:rPr>
          <w:b/>
          <w:lang w:val="en-US"/>
        </w:rPr>
        <w:t>/territories</w:t>
      </w:r>
      <w:r>
        <w:rPr>
          <w:b/>
          <w:lang w:val="en-US"/>
        </w:rPr>
        <w:t xml:space="preserve"> by quadrant</w:t>
      </w:r>
    </w:p>
    <w:p w:rsidR="002A3E7D" w:rsidRPr="00445095" w:rsidRDefault="002A3E7D" w:rsidP="00177EDF">
      <w:pPr>
        <w:keepNext/>
        <w:ind w:left="360" w:right="720"/>
        <w:jc w:val="both"/>
        <w:rPr>
          <w:lang w:val="en-US"/>
        </w:rPr>
      </w:pPr>
    </w:p>
    <w:p w:rsidR="00177EDF" w:rsidRDefault="00177EDF" w:rsidP="00177EDF">
      <w:pPr>
        <w:ind w:left="360" w:right="720"/>
        <w:jc w:val="both"/>
        <w:rPr>
          <w:lang w:val="en-US"/>
        </w:rPr>
      </w:pPr>
      <w:r>
        <w:rPr>
          <w:noProof/>
          <w:lang w:val="en-US"/>
        </w:rPr>
        <w:drawing>
          <wp:inline distT="0" distB="0" distL="0" distR="0" wp14:anchorId="52AA09D7" wp14:editId="60485FC9">
            <wp:extent cx="5917565" cy="2898775"/>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7565" cy="2898775"/>
                    </a:xfrm>
                    <a:prstGeom prst="rect">
                      <a:avLst/>
                    </a:prstGeom>
                    <a:noFill/>
                    <a:ln>
                      <a:noFill/>
                    </a:ln>
                  </pic:spPr>
                </pic:pic>
              </a:graphicData>
            </a:graphic>
          </wp:inline>
        </w:drawing>
      </w:r>
    </w:p>
    <w:p w:rsidR="00177EDF" w:rsidRDefault="00177EDF" w:rsidP="00177EDF">
      <w:pPr>
        <w:pStyle w:val="ListParagraph"/>
        <w:rPr>
          <w:lang w:val="en-US"/>
        </w:rPr>
      </w:pPr>
    </w:p>
    <w:p w:rsidR="00177EDF" w:rsidRDefault="00177EDF" w:rsidP="00177EDF">
      <w:pPr>
        <w:ind w:left="1080" w:right="720"/>
        <w:jc w:val="both"/>
        <w:rPr>
          <w:lang w:val="en-US"/>
        </w:rPr>
      </w:pPr>
    </w:p>
    <w:p w:rsidR="00D667AF" w:rsidRDefault="00D667AF" w:rsidP="00177EDF">
      <w:pPr>
        <w:ind w:left="1080" w:right="720"/>
        <w:jc w:val="both"/>
        <w:rPr>
          <w:lang w:val="en-US"/>
        </w:rPr>
      </w:pPr>
    </w:p>
    <w:p w:rsidR="00D667AF" w:rsidRPr="00445095" w:rsidRDefault="00D667AF" w:rsidP="00177EDF">
      <w:pPr>
        <w:ind w:left="1080" w:right="720"/>
        <w:jc w:val="both"/>
        <w:rPr>
          <w:lang w:val="en-US"/>
        </w:rPr>
      </w:pPr>
    </w:p>
    <w:p w:rsidR="00177EDF" w:rsidRDefault="00177EDF" w:rsidP="00177EDF">
      <w:pPr>
        <w:pStyle w:val="Heading3"/>
        <w:rPr>
          <w:lang w:val="en-US"/>
        </w:rPr>
      </w:pPr>
      <w:r w:rsidRPr="00445095">
        <w:t>Establish resource shares per group</w:t>
      </w:r>
    </w:p>
    <w:p w:rsidR="00177EDF" w:rsidRPr="00660958" w:rsidRDefault="00177EDF" w:rsidP="00177EDF">
      <w:pPr>
        <w:rPr>
          <w:lang w:val="en-US" w:eastAsia="x-none"/>
        </w:rPr>
      </w:pPr>
    </w:p>
    <w:p w:rsidR="00177EDF" w:rsidRPr="00445095" w:rsidRDefault="00177EDF" w:rsidP="00BD63A1">
      <w:pPr>
        <w:numPr>
          <w:ilvl w:val="0"/>
          <w:numId w:val="2"/>
        </w:numPr>
        <w:tabs>
          <w:tab w:val="left" w:pos="1620"/>
        </w:tabs>
        <w:ind w:left="1080" w:right="720" w:firstLine="0"/>
        <w:jc w:val="both"/>
        <w:rPr>
          <w:lang w:val="en-US"/>
        </w:rPr>
      </w:pPr>
      <w:r w:rsidRPr="00445095">
        <w:rPr>
          <w:lang w:val="en-US"/>
        </w:rPr>
        <w:t>As noted above, the current RAS does not have an underpinning logic for the volume of resources going to each group, other than that they are based on historical figures.</w:t>
      </w:r>
    </w:p>
    <w:p w:rsidR="00177EDF" w:rsidRPr="00445095" w:rsidRDefault="00177EDF" w:rsidP="00177EDF">
      <w:pPr>
        <w:ind w:left="1080" w:right="720"/>
        <w:jc w:val="both"/>
        <w:rPr>
          <w:lang w:val="en-US"/>
        </w:rPr>
      </w:pPr>
    </w:p>
    <w:p w:rsidR="00177EDF" w:rsidRPr="00445095" w:rsidRDefault="00177EDF" w:rsidP="00BD63A1">
      <w:pPr>
        <w:numPr>
          <w:ilvl w:val="0"/>
          <w:numId w:val="2"/>
        </w:numPr>
        <w:tabs>
          <w:tab w:val="left" w:pos="1620"/>
        </w:tabs>
        <w:ind w:left="1080" w:right="720" w:firstLine="0"/>
        <w:jc w:val="both"/>
        <w:rPr>
          <w:lang w:val="en-US"/>
        </w:rPr>
      </w:pPr>
      <w:r w:rsidRPr="00445095">
        <w:rPr>
          <w:lang w:val="en-US"/>
        </w:rPr>
        <w:t>The proposed approach creates a solid</w:t>
      </w:r>
      <w:r>
        <w:rPr>
          <w:lang w:val="en-US"/>
        </w:rPr>
        <w:t>,</w:t>
      </w:r>
      <w:r w:rsidRPr="00445095">
        <w:rPr>
          <w:lang w:val="en-US"/>
        </w:rPr>
        <w:t xml:space="preserve"> evidence-based rationale for the split by colo</w:t>
      </w:r>
      <w:r>
        <w:rPr>
          <w:lang w:val="en-US"/>
        </w:rPr>
        <w:t>u</w:t>
      </w:r>
      <w:r w:rsidRPr="00445095">
        <w:rPr>
          <w:lang w:val="en-US"/>
        </w:rPr>
        <w:t>r quadrant.  In this case, the determination of need described above drives the split of resources by quadrant, producing the resource shares show</w:t>
      </w:r>
      <w:r>
        <w:rPr>
          <w:lang w:val="en-US"/>
        </w:rPr>
        <w:t xml:space="preserve">n in table </w:t>
      </w:r>
      <w:r w:rsidR="00A85311">
        <w:rPr>
          <w:lang w:val="en-US"/>
        </w:rPr>
        <w:t>8</w:t>
      </w:r>
      <w:r w:rsidRPr="00445095">
        <w:rPr>
          <w:lang w:val="en-US"/>
        </w:rPr>
        <w:t>.</w:t>
      </w:r>
      <w:r>
        <w:rPr>
          <w:lang w:val="en-US"/>
        </w:rPr>
        <w:t xml:space="preserve"> As noted earlier, the transition will only occur progressively, so </w:t>
      </w:r>
      <w:r>
        <w:rPr>
          <w:color w:val="000000"/>
        </w:rPr>
        <w:t>different ranges are set for 2014-2015 and 2016-2017.</w:t>
      </w:r>
    </w:p>
    <w:p w:rsidR="00177EDF" w:rsidRPr="00445095" w:rsidRDefault="00177EDF" w:rsidP="00177EDF">
      <w:pPr>
        <w:ind w:left="1080" w:right="720"/>
        <w:jc w:val="both"/>
        <w:rPr>
          <w:lang w:val="en-US"/>
        </w:rPr>
      </w:pPr>
    </w:p>
    <w:p w:rsidR="00177EDF" w:rsidRPr="00445095" w:rsidRDefault="00177EDF" w:rsidP="00177EDF">
      <w:pPr>
        <w:ind w:left="1080" w:right="720"/>
        <w:jc w:val="both"/>
        <w:rPr>
          <w:lang w:val="en-US"/>
        </w:rPr>
      </w:pPr>
      <w:r w:rsidRPr="00445095">
        <w:rPr>
          <w:b/>
          <w:lang w:val="en-US"/>
        </w:rPr>
        <w:t xml:space="preserve">Table </w:t>
      </w:r>
      <w:r w:rsidR="00A85311">
        <w:rPr>
          <w:b/>
          <w:lang w:val="en-US"/>
        </w:rPr>
        <w:t>8</w:t>
      </w:r>
      <w:r w:rsidRPr="00445095">
        <w:rPr>
          <w:b/>
          <w:lang w:val="en-US"/>
        </w:rPr>
        <w:t xml:space="preserve">: </w:t>
      </w:r>
      <w:r>
        <w:rPr>
          <w:b/>
        </w:rPr>
        <w:t xml:space="preserve">Distribution of resources, population, and countries by </w:t>
      </w:r>
      <w:r w:rsidRPr="00445095">
        <w:rPr>
          <w:b/>
          <w:lang w:val="en-US"/>
        </w:rPr>
        <w:t xml:space="preserve">quadrant </w:t>
      </w:r>
    </w:p>
    <w:tbl>
      <w:tblPr>
        <w:tblW w:w="0" w:type="auto"/>
        <w:tblInd w:w="1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4"/>
        <w:gridCol w:w="2493"/>
        <w:gridCol w:w="2493"/>
      </w:tblGrid>
      <w:tr w:rsidR="00177EDF" w:rsidRPr="00D545A4" w:rsidTr="009B383D">
        <w:trPr>
          <w:cantSplit/>
        </w:trPr>
        <w:tc>
          <w:tcPr>
            <w:tcW w:w="1404" w:type="dxa"/>
            <w:shd w:val="clear" w:color="auto" w:fill="auto"/>
          </w:tcPr>
          <w:p w:rsidR="00177EDF" w:rsidRPr="00D545A4" w:rsidRDefault="00177EDF" w:rsidP="009B383D">
            <w:pPr>
              <w:keepNext/>
              <w:keepLines/>
              <w:rPr>
                <w:rFonts w:eastAsia="Calibri"/>
                <w:sz w:val="18"/>
              </w:rPr>
            </w:pPr>
          </w:p>
        </w:tc>
        <w:tc>
          <w:tcPr>
            <w:tcW w:w="2493" w:type="dxa"/>
            <w:shd w:val="clear" w:color="auto" w:fill="auto"/>
          </w:tcPr>
          <w:p w:rsidR="00177EDF" w:rsidRPr="00D545A4" w:rsidRDefault="00177EDF" w:rsidP="009B383D">
            <w:pPr>
              <w:keepNext/>
              <w:keepLines/>
              <w:rPr>
                <w:rFonts w:eastAsia="Calibri"/>
                <w:b/>
                <w:sz w:val="18"/>
              </w:rPr>
            </w:pPr>
            <w:r w:rsidRPr="00D545A4">
              <w:rPr>
                <w:rFonts w:eastAsia="Calibri"/>
                <w:b/>
                <w:sz w:val="18"/>
              </w:rPr>
              <w:t>Share, 2014-2015</w:t>
            </w:r>
          </w:p>
        </w:tc>
        <w:tc>
          <w:tcPr>
            <w:tcW w:w="2493" w:type="dxa"/>
            <w:shd w:val="clear" w:color="auto" w:fill="auto"/>
          </w:tcPr>
          <w:p w:rsidR="00177EDF" w:rsidRPr="00D545A4" w:rsidRDefault="00177EDF" w:rsidP="009B383D">
            <w:pPr>
              <w:keepNext/>
              <w:keepLines/>
              <w:rPr>
                <w:rFonts w:eastAsia="Calibri"/>
                <w:b/>
                <w:sz w:val="18"/>
              </w:rPr>
            </w:pPr>
            <w:r w:rsidRPr="00D545A4">
              <w:rPr>
                <w:rFonts w:eastAsia="Calibri"/>
                <w:b/>
                <w:sz w:val="18"/>
              </w:rPr>
              <w:t>Share, 2016-2017</w:t>
            </w:r>
          </w:p>
        </w:tc>
      </w:tr>
      <w:tr w:rsidR="00177EDF" w:rsidRPr="00D545A4" w:rsidTr="009B383D">
        <w:trPr>
          <w:cantSplit/>
        </w:trPr>
        <w:tc>
          <w:tcPr>
            <w:tcW w:w="1404" w:type="dxa"/>
            <w:shd w:val="clear" w:color="auto" w:fill="auto"/>
          </w:tcPr>
          <w:p w:rsidR="00177EDF" w:rsidRPr="00D545A4" w:rsidRDefault="00177EDF" w:rsidP="009B383D">
            <w:pPr>
              <w:keepNext/>
              <w:keepLines/>
              <w:rPr>
                <w:rFonts w:eastAsia="Calibri"/>
                <w:b/>
                <w:sz w:val="18"/>
              </w:rPr>
            </w:pPr>
            <w:r w:rsidRPr="00D545A4">
              <w:rPr>
                <w:rFonts w:eastAsia="Calibri"/>
                <w:b/>
                <w:sz w:val="18"/>
              </w:rPr>
              <w:t>Red</w:t>
            </w:r>
          </w:p>
        </w:tc>
        <w:tc>
          <w:tcPr>
            <w:tcW w:w="2493" w:type="dxa"/>
            <w:shd w:val="clear" w:color="auto" w:fill="FF2929"/>
          </w:tcPr>
          <w:p w:rsidR="00177EDF" w:rsidRPr="00D545A4" w:rsidRDefault="00177EDF" w:rsidP="009B383D">
            <w:pPr>
              <w:keepNext/>
              <w:keepLines/>
              <w:rPr>
                <w:rFonts w:eastAsia="Calibri"/>
                <w:sz w:val="18"/>
              </w:rPr>
            </w:pPr>
            <w:r>
              <w:rPr>
                <w:rFonts w:eastAsia="Calibri"/>
                <w:sz w:val="18"/>
              </w:rPr>
              <w:t>50</w:t>
            </w:r>
            <w:r w:rsidRPr="00D545A4">
              <w:rPr>
                <w:rFonts w:eastAsia="Calibri"/>
                <w:sz w:val="18"/>
              </w:rPr>
              <w:t>-5</w:t>
            </w:r>
            <w:r>
              <w:rPr>
                <w:rFonts w:eastAsia="Calibri"/>
                <w:sz w:val="18"/>
              </w:rPr>
              <w:t>2</w:t>
            </w:r>
            <w:r w:rsidRPr="00D545A4">
              <w:rPr>
                <w:rFonts w:eastAsia="Calibri"/>
                <w:sz w:val="18"/>
              </w:rPr>
              <w:t>%</w:t>
            </w:r>
          </w:p>
        </w:tc>
        <w:tc>
          <w:tcPr>
            <w:tcW w:w="2493" w:type="dxa"/>
            <w:shd w:val="clear" w:color="auto" w:fill="FF2929"/>
          </w:tcPr>
          <w:p w:rsidR="00177EDF" w:rsidRPr="00D545A4" w:rsidRDefault="00177EDF" w:rsidP="000B75F0">
            <w:pPr>
              <w:keepNext/>
              <w:keepLines/>
              <w:rPr>
                <w:rFonts w:eastAsia="Calibri"/>
                <w:sz w:val="18"/>
              </w:rPr>
            </w:pPr>
            <w:r>
              <w:rPr>
                <w:rFonts w:eastAsia="Calibri"/>
                <w:sz w:val="18"/>
              </w:rPr>
              <w:t>59</w:t>
            </w:r>
            <w:r w:rsidRPr="00D545A4">
              <w:rPr>
                <w:rFonts w:eastAsia="Calibri"/>
                <w:sz w:val="18"/>
              </w:rPr>
              <w:t>-6</w:t>
            </w:r>
            <w:r w:rsidR="000B75F0">
              <w:rPr>
                <w:rFonts w:eastAsia="Calibri"/>
                <w:sz w:val="18"/>
              </w:rPr>
              <w:t>3</w:t>
            </w:r>
            <w:r w:rsidRPr="00D545A4">
              <w:rPr>
                <w:rFonts w:eastAsia="Calibri"/>
                <w:sz w:val="18"/>
              </w:rPr>
              <w:t>%</w:t>
            </w:r>
          </w:p>
        </w:tc>
      </w:tr>
      <w:tr w:rsidR="00177EDF" w:rsidRPr="00D545A4" w:rsidTr="009B383D">
        <w:trPr>
          <w:cantSplit/>
        </w:trPr>
        <w:tc>
          <w:tcPr>
            <w:tcW w:w="1404" w:type="dxa"/>
            <w:shd w:val="clear" w:color="auto" w:fill="auto"/>
          </w:tcPr>
          <w:p w:rsidR="00177EDF" w:rsidRPr="00D545A4" w:rsidRDefault="00177EDF" w:rsidP="009B383D">
            <w:pPr>
              <w:keepNext/>
              <w:keepLines/>
              <w:rPr>
                <w:rFonts w:eastAsia="Calibri"/>
                <w:b/>
                <w:sz w:val="18"/>
              </w:rPr>
            </w:pPr>
            <w:r w:rsidRPr="00D545A4">
              <w:rPr>
                <w:rFonts w:eastAsia="Calibri"/>
                <w:b/>
                <w:sz w:val="18"/>
              </w:rPr>
              <w:t>Orange</w:t>
            </w:r>
          </w:p>
        </w:tc>
        <w:tc>
          <w:tcPr>
            <w:tcW w:w="2493" w:type="dxa"/>
            <w:shd w:val="clear" w:color="auto" w:fill="FFC000"/>
          </w:tcPr>
          <w:p w:rsidR="00177EDF" w:rsidRPr="00D545A4" w:rsidRDefault="00177EDF" w:rsidP="009B383D">
            <w:pPr>
              <w:keepNext/>
              <w:keepLines/>
              <w:rPr>
                <w:rFonts w:eastAsia="Calibri"/>
                <w:sz w:val="18"/>
              </w:rPr>
            </w:pPr>
            <w:r>
              <w:rPr>
                <w:rFonts w:eastAsia="Calibri"/>
                <w:sz w:val="18"/>
              </w:rPr>
              <w:t>21</w:t>
            </w:r>
            <w:r w:rsidRPr="00D545A4">
              <w:rPr>
                <w:rFonts w:eastAsia="Calibri"/>
                <w:sz w:val="18"/>
              </w:rPr>
              <w:t>-2</w:t>
            </w:r>
            <w:r>
              <w:rPr>
                <w:rFonts w:eastAsia="Calibri"/>
                <w:sz w:val="18"/>
              </w:rPr>
              <w:t>3</w:t>
            </w:r>
            <w:r w:rsidRPr="00D545A4">
              <w:rPr>
                <w:rFonts w:eastAsia="Calibri"/>
                <w:sz w:val="18"/>
              </w:rPr>
              <w:t>%</w:t>
            </w:r>
          </w:p>
        </w:tc>
        <w:tc>
          <w:tcPr>
            <w:tcW w:w="2493" w:type="dxa"/>
            <w:shd w:val="clear" w:color="auto" w:fill="FFC000"/>
          </w:tcPr>
          <w:p w:rsidR="00177EDF" w:rsidRPr="00D545A4" w:rsidRDefault="00177EDF" w:rsidP="009B383D">
            <w:pPr>
              <w:keepNext/>
              <w:keepLines/>
              <w:rPr>
                <w:rFonts w:eastAsia="Calibri"/>
                <w:sz w:val="18"/>
              </w:rPr>
            </w:pPr>
            <w:r>
              <w:rPr>
                <w:rFonts w:eastAsia="Calibri"/>
                <w:sz w:val="18"/>
              </w:rPr>
              <w:t>20</w:t>
            </w:r>
            <w:r w:rsidRPr="00D545A4">
              <w:rPr>
                <w:rFonts w:eastAsia="Calibri"/>
                <w:sz w:val="18"/>
              </w:rPr>
              <w:t>-2</w:t>
            </w:r>
            <w:r>
              <w:rPr>
                <w:rFonts w:eastAsia="Calibri"/>
                <w:sz w:val="18"/>
              </w:rPr>
              <w:t>2</w:t>
            </w:r>
            <w:r w:rsidRPr="00D545A4">
              <w:rPr>
                <w:rFonts w:eastAsia="Calibri"/>
                <w:sz w:val="18"/>
              </w:rPr>
              <w:t>%</w:t>
            </w:r>
          </w:p>
        </w:tc>
      </w:tr>
      <w:tr w:rsidR="00177EDF" w:rsidRPr="00D545A4" w:rsidTr="009B383D">
        <w:trPr>
          <w:cantSplit/>
        </w:trPr>
        <w:tc>
          <w:tcPr>
            <w:tcW w:w="1404" w:type="dxa"/>
            <w:shd w:val="clear" w:color="auto" w:fill="auto"/>
          </w:tcPr>
          <w:p w:rsidR="00177EDF" w:rsidRPr="00D545A4" w:rsidRDefault="00177EDF" w:rsidP="009B383D">
            <w:pPr>
              <w:keepNext/>
              <w:keepLines/>
              <w:rPr>
                <w:rFonts w:eastAsia="Calibri"/>
                <w:b/>
                <w:sz w:val="18"/>
              </w:rPr>
            </w:pPr>
            <w:r w:rsidRPr="00D545A4">
              <w:rPr>
                <w:rFonts w:eastAsia="Calibri"/>
                <w:b/>
                <w:sz w:val="18"/>
              </w:rPr>
              <w:t>Yellow</w:t>
            </w:r>
          </w:p>
        </w:tc>
        <w:tc>
          <w:tcPr>
            <w:tcW w:w="2493" w:type="dxa"/>
            <w:shd w:val="clear" w:color="auto" w:fill="FFFF00"/>
          </w:tcPr>
          <w:p w:rsidR="00177EDF" w:rsidRPr="00D545A4" w:rsidRDefault="00177EDF" w:rsidP="009B383D">
            <w:pPr>
              <w:keepNext/>
              <w:keepLines/>
              <w:rPr>
                <w:rFonts w:eastAsia="Calibri"/>
                <w:sz w:val="18"/>
              </w:rPr>
            </w:pPr>
            <w:r>
              <w:rPr>
                <w:rFonts w:eastAsia="Calibri"/>
                <w:sz w:val="18"/>
              </w:rPr>
              <w:t>10-12</w:t>
            </w:r>
            <w:r w:rsidRPr="00D545A4">
              <w:rPr>
                <w:rFonts w:eastAsia="Calibri"/>
                <w:sz w:val="18"/>
              </w:rPr>
              <w:t>%</w:t>
            </w:r>
          </w:p>
        </w:tc>
        <w:tc>
          <w:tcPr>
            <w:tcW w:w="2493" w:type="dxa"/>
            <w:shd w:val="clear" w:color="auto" w:fill="FFFF00"/>
          </w:tcPr>
          <w:p w:rsidR="00177EDF" w:rsidRPr="00D545A4" w:rsidRDefault="00177EDF" w:rsidP="009B383D">
            <w:pPr>
              <w:keepNext/>
              <w:keepLines/>
              <w:rPr>
                <w:rFonts w:eastAsia="Calibri"/>
                <w:sz w:val="18"/>
              </w:rPr>
            </w:pPr>
            <w:r>
              <w:rPr>
                <w:rFonts w:eastAsia="Calibri"/>
                <w:sz w:val="18"/>
              </w:rPr>
              <w:t>6-8</w:t>
            </w:r>
            <w:r w:rsidRPr="00D545A4">
              <w:rPr>
                <w:rFonts w:eastAsia="Calibri"/>
                <w:sz w:val="18"/>
              </w:rPr>
              <w:t>%</w:t>
            </w:r>
          </w:p>
        </w:tc>
      </w:tr>
      <w:tr w:rsidR="00177EDF" w:rsidRPr="00D545A4" w:rsidTr="009B383D">
        <w:trPr>
          <w:cantSplit/>
        </w:trPr>
        <w:tc>
          <w:tcPr>
            <w:tcW w:w="1404" w:type="dxa"/>
            <w:shd w:val="clear" w:color="auto" w:fill="auto"/>
          </w:tcPr>
          <w:p w:rsidR="00177EDF" w:rsidRPr="00D545A4" w:rsidRDefault="00177EDF" w:rsidP="009B383D">
            <w:pPr>
              <w:keepNext/>
              <w:keepLines/>
              <w:rPr>
                <w:rFonts w:eastAsia="Calibri"/>
                <w:b/>
                <w:sz w:val="18"/>
              </w:rPr>
            </w:pPr>
            <w:r w:rsidRPr="00D545A4">
              <w:rPr>
                <w:rFonts w:eastAsia="Calibri"/>
                <w:b/>
                <w:sz w:val="18"/>
              </w:rPr>
              <w:t>Pink</w:t>
            </w:r>
          </w:p>
        </w:tc>
        <w:tc>
          <w:tcPr>
            <w:tcW w:w="2493" w:type="dxa"/>
            <w:shd w:val="clear" w:color="auto" w:fill="FF99FF"/>
          </w:tcPr>
          <w:p w:rsidR="00177EDF" w:rsidRPr="00D545A4" w:rsidRDefault="00177EDF" w:rsidP="009B383D">
            <w:pPr>
              <w:keepNext/>
              <w:keepLines/>
              <w:rPr>
                <w:rFonts w:eastAsia="Calibri"/>
                <w:sz w:val="18"/>
              </w:rPr>
            </w:pPr>
            <w:r w:rsidRPr="00D545A4">
              <w:rPr>
                <w:rFonts w:eastAsia="Calibri"/>
                <w:sz w:val="18"/>
              </w:rPr>
              <w:t>1</w:t>
            </w:r>
            <w:r>
              <w:rPr>
                <w:rFonts w:eastAsia="Calibri"/>
                <w:sz w:val="18"/>
              </w:rPr>
              <w:t>5</w:t>
            </w:r>
            <w:r w:rsidRPr="00D545A4">
              <w:rPr>
                <w:rFonts w:eastAsia="Calibri"/>
                <w:sz w:val="18"/>
              </w:rPr>
              <w:t>-17%</w:t>
            </w:r>
          </w:p>
        </w:tc>
        <w:tc>
          <w:tcPr>
            <w:tcW w:w="2493" w:type="dxa"/>
            <w:shd w:val="clear" w:color="auto" w:fill="FF99FF"/>
          </w:tcPr>
          <w:p w:rsidR="00177EDF" w:rsidRPr="00D545A4" w:rsidRDefault="000B75F0" w:rsidP="000B75F0">
            <w:pPr>
              <w:keepNext/>
              <w:keepLines/>
              <w:rPr>
                <w:rFonts w:eastAsia="Calibri"/>
                <w:sz w:val="18"/>
              </w:rPr>
            </w:pPr>
            <w:r>
              <w:rPr>
                <w:rFonts w:eastAsia="Calibri"/>
                <w:sz w:val="18"/>
              </w:rPr>
              <w:t>9</w:t>
            </w:r>
            <w:r w:rsidR="00177EDF" w:rsidRPr="00D545A4">
              <w:rPr>
                <w:rFonts w:eastAsia="Calibri"/>
                <w:sz w:val="18"/>
              </w:rPr>
              <w:t>-1</w:t>
            </w:r>
            <w:r w:rsidR="00177EDF">
              <w:rPr>
                <w:rFonts w:eastAsia="Calibri"/>
                <w:sz w:val="18"/>
              </w:rPr>
              <w:t>3</w:t>
            </w:r>
            <w:r w:rsidR="00177EDF" w:rsidRPr="00D545A4">
              <w:rPr>
                <w:rFonts w:eastAsia="Calibri"/>
                <w:sz w:val="18"/>
              </w:rPr>
              <w:t>%</w:t>
            </w:r>
          </w:p>
        </w:tc>
      </w:tr>
    </w:tbl>
    <w:p w:rsidR="00177EDF" w:rsidRDefault="00177EDF" w:rsidP="00177EDF">
      <w:pPr>
        <w:ind w:left="1080" w:right="720"/>
        <w:jc w:val="both"/>
        <w:rPr>
          <w:lang w:val="en-US"/>
        </w:rPr>
      </w:pPr>
    </w:p>
    <w:p w:rsidR="00177EDF" w:rsidRDefault="00177EDF" w:rsidP="00BD63A1">
      <w:pPr>
        <w:numPr>
          <w:ilvl w:val="0"/>
          <w:numId w:val="2"/>
        </w:numPr>
        <w:tabs>
          <w:tab w:val="left" w:pos="1620"/>
        </w:tabs>
        <w:ind w:left="1080" w:right="720" w:firstLine="0"/>
        <w:jc w:val="both"/>
        <w:rPr>
          <w:lang w:val="en-US"/>
        </w:rPr>
      </w:pPr>
      <w:r w:rsidRPr="00445095">
        <w:rPr>
          <w:lang w:val="en-US"/>
        </w:rPr>
        <w:t xml:space="preserve">As in the current RAS, the </w:t>
      </w:r>
      <w:r>
        <w:rPr>
          <w:lang w:val="en-US"/>
        </w:rPr>
        <w:t xml:space="preserve">approval from the </w:t>
      </w:r>
      <w:r w:rsidRPr="00445095">
        <w:rPr>
          <w:lang w:val="en-US"/>
        </w:rPr>
        <w:t xml:space="preserve">Executive Board </w:t>
      </w:r>
      <w:r>
        <w:rPr>
          <w:lang w:val="en-US"/>
        </w:rPr>
        <w:t xml:space="preserve">is in the form of </w:t>
      </w:r>
      <w:r w:rsidRPr="00445095">
        <w:rPr>
          <w:lang w:val="en-US"/>
        </w:rPr>
        <w:t>ranges for each</w:t>
      </w:r>
      <w:r>
        <w:rPr>
          <w:lang w:val="en-US"/>
        </w:rPr>
        <w:t xml:space="preserve"> group of countries</w:t>
      </w:r>
      <w:r w:rsidRPr="00445095">
        <w:rPr>
          <w:lang w:val="en-US"/>
        </w:rPr>
        <w:t>.</w:t>
      </w:r>
    </w:p>
    <w:p w:rsidR="00177EDF" w:rsidRDefault="00177EDF" w:rsidP="00177EDF">
      <w:pPr>
        <w:ind w:left="1080" w:right="720"/>
        <w:jc w:val="both"/>
        <w:rPr>
          <w:lang w:val="en-US"/>
        </w:rPr>
      </w:pPr>
    </w:p>
    <w:p w:rsidR="00177EDF" w:rsidRPr="00486AB3" w:rsidRDefault="00177EDF" w:rsidP="00BD63A1">
      <w:pPr>
        <w:numPr>
          <w:ilvl w:val="0"/>
          <w:numId w:val="2"/>
        </w:numPr>
        <w:tabs>
          <w:tab w:val="left" w:pos="1620"/>
        </w:tabs>
        <w:ind w:left="1080" w:right="720" w:firstLine="0"/>
        <w:jc w:val="both"/>
        <w:rPr>
          <w:lang w:val="en-US"/>
        </w:rPr>
      </w:pPr>
      <w:r>
        <w:rPr>
          <w:lang w:val="en-US"/>
        </w:rPr>
        <w:t>The indicative allocations can also be used to provide a general sense of the resource allocation for other ways of categorizing countries, such as geographically or by income.  It is important to stress that the following figures are indicative only, as the final breakdowns can only be determined based on the final planning figures for each country set by the Executive Board in the process of approving country programme documents (see below).  In keeping with historical practice, the Executive Board is being asked only to approve a range of resources to be allocated to countries based on the color quadrants, rather than by geography or income.</w:t>
      </w:r>
    </w:p>
    <w:p w:rsidR="00177EDF" w:rsidRDefault="00177EDF" w:rsidP="00177EDF">
      <w:pPr>
        <w:ind w:left="1080" w:right="720"/>
        <w:jc w:val="both"/>
        <w:rPr>
          <w:lang w:val="en-US"/>
        </w:rPr>
      </w:pPr>
    </w:p>
    <w:p w:rsidR="00177EDF" w:rsidRDefault="00177EDF" w:rsidP="00BD63A1">
      <w:pPr>
        <w:numPr>
          <w:ilvl w:val="0"/>
          <w:numId w:val="2"/>
        </w:numPr>
        <w:tabs>
          <w:tab w:val="left" w:pos="1620"/>
        </w:tabs>
        <w:ind w:left="1080" w:right="720" w:firstLine="0"/>
        <w:jc w:val="both"/>
        <w:rPr>
          <w:lang w:val="en-US"/>
        </w:rPr>
      </w:pPr>
      <w:r w:rsidRPr="007D322D">
        <w:rPr>
          <w:lang w:val="en-US"/>
        </w:rPr>
        <w:lastRenderedPageBreak/>
        <w:t xml:space="preserve">Figure </w:t>
      </w:r>
      <w:r>
        <w:rPr>
          <w:lang w:val="en-US"/>
        </w:rPr>
        <w:t>7</w:t>
      </w:r>
      <w:r w:rsidRPr="007D322D">
        <w:rPr>
          <w:lang w:val="en-US"/>
        </w:rPr>
        <w:t xml:space="preserve"> shows the shifting allocation by geographical grouping</w:t>
      </w:r>
      <w:r>
        <w:rPr>
          <w:lang w:val="en-US"/>
        </w:rPr>
        <w:t>.  The trend is to increase funding in those regions that are furthest from the attainment of the ICPD agenda, particularly Eastern and Southern Africa, and Western and Southern Africa.  This trend is consistent with UNDP’s programming arrangements, although it is important to note that even by 2017, the indicative shares for other regions – particularly Asia and the Pacific, and Latin America and the Caribbean – will be higher for UNFPA than for UNDP.</w:t>
      </w:r>
    </w:p>
    <w:p w:rsidR="00177EDF" w:rsidRPr="007D322D" w:rsidRDefault="00177EDF" w:rsidP="00177EDF">
      <w:pPr>
        <w:ind w:left="1080" w:right="720"/>
        <w:jc w:val="both"/>
        <w:rPr>
          <w:lang w:val="en-US"/>
        </w:rPr>
      </w:pPr>
    </w:p>
    <w:p w:rsidR="00177EDF" w:rsidRPr="00445095" w:rsidRDefault="00177EDF" w:rsidP="00177EDF">
      <w:pPr>
        <w:keepNext/>
        <w:ind w:left="1080" w:right="720"/>
        <w:jc w:val="both"/>
        <w:rPr>
          <w:lang w:val="en-US"/>
        </w:rPr>
      </w:pPr>
      <w:r w:rsidRPr="00445095">
        <w:rPr>
          <w:b/>
          <w:lang w:val="en-US"/>
        </w:rPr>
        <w:t xml:space="preserve">Figure </w:t>
      </w:r>
      <w:r>
        <w:rPr>
          <w:b/>
          <w:lang w:val="en-US"/>
        </w:rPr>
        <w:t>7</w:t>
      </w:r>
      <w:r w:rsidRPr="00445095">
        <w:rPr>
          <w:b/>
          <w:lang w:val="en-US"/>
        </w:rPr>
        <w:t xml:space="preserve">: </w:t>
      </w:r>
      <w:r>
        <w:rPr>
          <w:b/>
          <w:lang w:val="en-US"/>
        </w:rPr>
        <w:t>Indicative allocations by region</w:t>
      </w:r>
    </w:p>
    <w:p w:rsidR="00177EDF" w:rsidRPr="007D322D" w:rsidRDefault="00177EDF" w:rsidP="00177EDF">
      <w:pPr>
        <w:ind w:left="1080" w:right="720"/>
        <w:jc w:val="both"/>
        <w:rPr>
          <w:lang w:val="en-US"/>
        </w:rPr>
      </w:pPr>
      <w:r>
        <w:rPr>
          <w:noProof/>
          <w:lang w:val="en-US"/>
        </w:rPr>
        <w:drawing>
          <wp:inline distT="0" distB="0" distL="0" distR="0" wp14:anchorId="538F8453" wp14:editId="43D449FB">
            <wp:extent cx="4666615" cy="2449830"/>
            <wp:effectExtent l="0" t="0" r="63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6615" cy="2449830"/>
                    </a:xfrm>
                    <a:prstGeom prst="rect">
                      <a:avLst/>
                    </a:prstGeom>
                    <a:noFill/>
                    <a:ln>
                      <a:noFill/>
                    </a:ln>
                  </pic:spPr>
                </pic:pic>
              </a:graphicData>
            </a:graphic>
          </wp:inline>
        </w:drawing>
      </w:r>
    </w:p>
    <w:p w:rsidR="00177EDF" w:rsidRPr="00445095" w:rsidRDefault="00177EDF" w:rsidP="00177EDF">
      <w:pPr>
        <w:ind w:right="720"/>
        <w:jc w:val="both"/>
        <w:rPr>
          <w:lang w:val="en-US"/>
        </w:rPr>
      </w:pPr>
    </w:p>
    <w:p w:rsidR="00177EDF" w:rsidRDefault="00177EDF" w:rsidP="00177EDF">
      <w:pPr>
        <w:ind w:left="1080" w:right="720"/>
        <w:jc w:val="both"/>
        <w:rPr>
          <w:lang w:val="en-US"/>
        </w:rPr>
      </w:pPr>
    </w:p>
    <w:p w:rsidR="00177EDF" w:rsidRDefault="00177EDF" w:rsidP="00BD63A1">
      <w:pPr>
        <w:numPr>
          <w:ilvl w:val="0"/>
          <w:numId w:val="2"/>
        </w:numPr>
        <w:tabs>
          <w:tab w:val="left" w:pos="1620"/>
        </w:tabs>
        <w:ind w:left="1080" w:right="720" w:firstLine="0"/>
        <w:jc w:val="both"/>
        <w:rPr>
          <w:lang w:val="en-US"/>
        </w:rPr>
      </w:pPr>
      <w:r w:rsidRPr="007D322D">
        <w:rPr>
          <w:lang w:val="en-US"/>
        </w:rPr>
        <w:t xml:space="preserve">Figure </w:t>
      </w:r>
      <w:r>
        <w:rPr>
          <w:lang w:val="en-US"/>
        </w:rPr>
        <w:t>8</w:t>
      </w:r>
      <w:r w:rsidRPr="007D322D">
        <w:rPr>
          <w:lang w:val="en-US"/>
        </w:rPr>
        <w:t xml:space="preserve"> looks at allocation by income category</w:t>
      </w:r>
      <w:r>
        <w:rPr>
          <w:lang w:val="en-US"/>
        </w:rPr>
        <w:t xml:space="preserve"> (as classified by the World Bank in July 2013), and f</w:t>
      </w:r>
      <w:r w:rsidRPr="007D322D">
        <w:rPr>
          <w:lang w:val="en-US"/>
        </w:rPr>
        <w:t xml:space="preserve">igure </w:t>
      </w:r>
      <w:r>
        <w:rPr>
          <w:lang w:val="en-US"/>
        </w:rPr>
        <w:t>9</w:t>
      </w:r>
      <w:r w:rsidRPr="007D322D">
        <w:rPr>
          <w:lang w:val="en-US"/>
        </w:rPr>
        <w:t xml:space="preserve"> by whether or not a country is classified as least-developed.</w:t>
      </w:r>
      <w:r>
        <w:rPr>
          <w:lang w:val="en-US"/>
        </w:rPr>
        <w:t xml:space="preserve"> </w:t>
      </w:r>
    </w:p>
    <w:p w:rsidR="00177EDF" w:rsidRDefault="00177EDF" w:rsidP="00177EDF">
      <w:pPr>
        <w:keepNext/>
        <w:ind w:left="1080" w:right="720"/>
        <w:jc w:val="both"/>
        <w:rPr>
          <w:b/>
          <w:lang w:val="en-US"/>
        </w:rPr>
      </w:pPr>
    </w:p>
    <w:p w:rsidR="00177EDF" w:rsidRPr="00445095" w:rsidRDefault="00177EDF" w:rsidP="00177EDF">
      <w:pPr>
        <w:keepNext/>
        <w:ind w:left="1080" w:right="720"/>
        <w:jc w:val="both"/>
        <w:rPr>
          <w:lang w:val="en-US"/>
        </w:rPr>
      </w:pPr>
      <w:r w:rsidRPr="00445095">
        <w:rPr>
          <w:b/>
          <w:lang w:val="en-US"/>
        </w:rPr>
        <w:t xml:space="preserve">Figure </w:t>
      </w:r>
      <w:r>
        <w:rPr>
          <w:b/>
          <w:lang w:val="en-US"/>
        </w:rPr>
        <w:t>8</w:t>
      </w:r>
      <w:r w:rsidRPr="00445095">
        <w:rPr>
          <w:b/>
          <w:lang w:val="en-US"/>
        </w:rPr>
        <w:t xml:space="preserve">: </w:t>
      </w:r>
      <w:r>
        <w:rPr>
          <w:b/>
          <w:lang w:val="en-US"/>
        </w:rPr>
        <w:t>Indicative allocations by income category</w:t>
      </w:r>
    </w:p>
    <w:p w:rsidR="00177EDF" w:rsidRDefault="00177EDF" w:rsidP="00177EDF">
      <w:pPr>
        <w:ind w:left="1080" w:right="720"/>
        <w:jc w:val="both"/>
        <w:rPr>
          <w:lang w:val="en-US"/>
        </w:rPr>
      </w:pPr>
      <w:r>
        <w:rPr>
          <w:noProof/>
          <w:lang w:val="en-US"/>
        </w:rPr>
        <w:drawing>
          <wp:inline distT="0" distB="0" distL="0" distR="0" wp14:anchorId="4226F641" wp14:editId="6BC1EDCF">
            <wp:extent cx="4666615" cy="2449830"/>
            <wp:effectExtent l="0" t="0" r="63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6615" cy="2449830"/>
                    </a:xfrm>
                    <a:prstGeom prst="rect">
                      <a:avLst/>
                    </a:prstGeom>
                    <a:noFill/>
                    <a:ln>
                      <a:noFill/>
                    </a:ln>
                  </pic:spPr>
                </pic:pic>
              </a:graphicData>
            </a:graphic>
          </wp:inline>
        </w:drawing>
      </w:r>
    </w:p>
    <w:p w:rsidR="00177EDF" w:rsidRDefault="00177EDF" w:rsidP="00177EDF">
      <w:pPr>
        <w:ind w:left="1080" w:right="720"/>
        <w:jc w:val="both"/>
        <w:rPr>
          <w:lang w:val="en-US"/>
        </w:rPr>
      </w:pPr>
    </w:p>
    <w:p w:rsidR="00177EDF" w:rsidRDefault="00177EDF" w:rsidP="00177EDF">
      <w:pPr>
        <w:keepNext/>
        <w:ind w:left="1080" w:right="720"/>
        <w:jc w:val="both"/>
        <w:rPr>
          <w:b/>
          <w:lang w:val="en-US"/>
        </w:rPr>
      </w:pPr>
    </w:p>
    <w:p w:rsidR="00177EDF" w:rsidRPr="00445095" w:rsidRDefault="00177EDF" w:rsidP="00177EDF">
      <w:pPr>
        <w:keepNext/>
        <w:ind w:left="1080" w:right="720"/>
        <w:jc w:val="both"/>
        <w:rPr>
          <w:lang w:val="en-US"/>
        </w:rPr>
      </w:pPr>
      <w:r w:rsidRPr="00445095">
        <w:rPr>
          <w:b/>
          <w:lang w:val="en-US"/>
        </w:rPr>
        <w:t xml:space="preserve">Figure </w:t>
      </w:r>
      <w:r>
        <w:rPr>
          <w:b/>
          <w:lang w:val="en-US"/>
        </w:rPr>
        <w:t>9</w:t>
      </w:r>
      <w:r w:rsidRPr="00445095">
        <w:rPr>
          <w:b/>
          <w:lang w:val="en-US"/>
        </w:rPr>
        <w:t xml:space="preserve">: </w:t>
      </w:r>
      <w:r>
        <w:rPr>
          <w:b/>
          <w:lang w:val="en-US"/>
        </w:rPr>
        <w:t>Indicative allocations by status as a least developed country</w:t>
      </w:r>
    </w:p>
    <w:p w:rsidR="00177EDF" w:rsidRDefault="00177EDF" w:rsidP="00177EDF">
      <w:pPr>
        <w:ind w:left="1080" w:right="720"/>
        <w:jc w:val="both"/>
        <w:rPr>
          <w:lang w:val="en-US"/>
        </w:rPr>
      </w:pPr>
      <w:r>
        <w:rPr>
          <w:noProof/>
          <w:lang w:val="en-US"/>
        </w:rPr>
        <w:drawing>
          <wp:inline distT="0" distB="0" distL="0" distR="0" wp14:anchorId="09CD0202" wp14:editId="18D2B81B">
            <wp:extent cx="4666615" cy="2449830"/>
            <wp:effectExtent l="0" t="0" r="63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6615" cy="2449830"/>
                    </a:xfrm>
                    <a:prstGeom prst="rect">
                      <a:avLst/>
                    </a:prstGeom>
                    <a:noFill/>
                    <a:ln>
                      <a:noFill/>
                    </a:ln>
                  </pic:spPr>
                </pic:pic>
              </a:graphicData>
            </a:graphic>
          </wp:inline>
        </w:drawing>
      </w:r>
    </w:p>
    <w:p w:rsidR="00177EDF" w:rsidRDefault="00177EDF" w:rsidP="00177EDF">
      <w:pPr>
        <w:ind w:left="1080" w:right="720"/>
        <w:jc w:val="both"/>
        <w:rPr>
          <w:lang w:val="en-US"/>
        </w:rPr>
      </w:pPr>
    </w:p>
    <w:p w:rsidR="00177EDF" w:rsidRPr="00445095" w:rsidRDefault="00177EDF" w:rsidP="00177EDF">
      <w:pPr>
        <w:ind w:left="1080" w:right="720"/>
        <w:jc w:val="both"/>
        <w:rPr>
          <w:lang w:val="en-US"/>
        </w:rPr>
      </w:pPr>
    </w:p>
    <w:p w:rsidR="00177EDF" w:rsidRDefault="00177EDF" w:rsidP="00177EDF">
      <w:pPr>
        <w:pStyle w:val="Heading3"/>
        <w:rPr>
          <w:lang w:val="en-US"/>
        </w:rPr>
      </w:pPr>
      <w:r w:rsidRPr="00445095">
        <w:t>Set final country planning figures</w:t>
      </w:r>
    </w:p>
    <w:p w:rsidR="00177EDF" w:rsidRPr="00500538" w:rsidRDefault="00177EDF" w:rsidP="00177EDF">
      <w:pPr>
        <w:rPr>
          <w:lang w:val="en-US" w:eastAsia="x-none"/>
        </w:rPr>
      </w:pPr>
    </w:p>
    <w:p w:rsidR="00177EDF" w:rsidRPr="007A5110" w:rsidRDefault="00177EDF" w:rsidP="00BD63A1">
      <w:pPr>
        <w:numPr>
          <w:ilvl w:val="0"/>
          <w:numId w:val="2"/>
        </w:numPr>
        <w:tabs>
          <w:tab w:val="left" w:pos="1620"/>
        </w:tabs>
        <w:ind w:left="1080" w:right="720" w:firstLine="0"/>
        <w:jc w:val="both"/>
        <w:rPr>
          <w:lang w:val="en-US"/>
        </w:rPr>
      </w:pPr>
      <w:r>
        <w:rPr>
          <w:lang w:val="en-US"/>
        </w:rPr>
        <w:t xml:space="preserve">The </w:t>
      </w:r>
      <w:r w:rsidRPr="00445095">
        <w:rPr>
          <w:lang w:val="en-US"/>
        </w:rPr>
        <w:t xml:space="preserve">final planning figures for each country are not set in the RAS.  </w:t>
      </w:r>
      <w:r>
        <w:rPr>
          <w:color w:val="000000"/>
        </w:rPr>
        <w:t>Instead, these figures are approved individually by the Executive Board in country programme documents. The planning figures for country programme documents are developed based on a flexible resource distribution system that takes into account local needs and priorities, including as manifested in United Nations Development Assistance Frameworks.</w:t>
      </w:r>
    </w:p>
    <w:p w:rsidR="00177EDF" w:rsidRDefault="00177EDF" w:rsidP="00177EDF">
      <w:pPr>
        <w:ind w:left="1080" w:right="720"/>
        <w:jc w:val="both"/>
        <w:rPr>
          <w:lang w:val="en-US"/>
        </w:rPr>
      </w:pPr>
    </w:p>
    <w:p w:rsidR="00177EDF" w:rsidRDefault="00177EDF" w:rsidP="00177EDF">
      <w:pPr>
        <w:ind w:left="1080" w:right="720"/>
        <w:jc w:val="both"/>
        <w:rPr>
          <w:lang w:val="en-US"/>
        </w:rPr>
      </w:pPr>
    </w:p>
    <w:p w:rsidR="00177EDF" w:rsidRDefault="00177EDF" w:rsidP="00177EDF">
      <w:pPr>
        <w:ind w:left="1080" w:right="720"/>
        <w:jc w:val="both"/>
        <w:rPr>
          <w:lang w:val="en-US"/>
        </w:rPr>
      </w:pPr>
    </w:p>
    <w:p w:rsidR="00177EDF" w:rsidRPr="009176C2" w:rsidRDefault="00177EDF" w:rsidP="00177EDF">
      <w:pPr>
        <w:pStyle w:val="Heading1"/>
        <w:numPr>
          <w:ilvl w:val="0"/>
          <w:numId w:val="6"/>
        </w:numPr>
        <w:rPr>
          <w:lang w:val="en-GB"/>
        </w:rPr>
      </w:pPr>
      <w:r>
        <w:br w:type="page"/>
      </w:r>
      <w:bookmarkStart w:id="13" w:name="_Toc367187928"/>
      <w:r>
        <w:lastRenderedPageBreak/>
        <w:t xml:space="preserve">Other mechanisms for allocating </w:t>
      </w:r>
      <w:r>
        <w:rPr>
          <w:lang w:val="en-US"/>
        </w:rPr>
        <w:t xml:space="preserve">programmatic </w:t>
      </w:r>
      <w:r>
        <w:t>resources</w:t>
      </w:r>
      <w:bookmarkEnd w:id="13"/>
    </w:p>
    <w:p w:rsidR="00177EDF" w:rsidRPr="009176C2" w:rsidRDefault="00177EDF" w:rsidP="00177EDF">
      <w:pPr>
        <w:ind w:left="1080" w:right="720"/>
        <w:jc w:val="both"/>
        <w:rPr>
          <w:szCs w:val="24"/>
        </w:rPr>
      </w:pPr>
    </w:p>
    <w:p w:rsidR="00177EDF" w:rsidRDefault="00177EDF" w:rsidP="00BD63A1">
      <w:pPr>
        <w:numPr>
          <w:ilvl w:val="0"/>
          <w:numId w:val="2"/>
        </w:numPr>
        <w:tabs>
          <w:tab w:val="left" w:pos="1620"/>
        </w:tabs>
        <w:ind w:left="1080" w:right="720" w:firstLine="0"/>
        <w:jc w:val="both"/>
      </w:pPr>
      <w:r>
        <w:t>The revision of the RAS will address many of the problems with the system described earlier.  However, to fully respond to the key challenges outlined above, several additional elements are needed.</w:t>
      </w:r>
    </w:p>
    <w:p w:rsidR="00177EDF" w:rsidRDefault="00177EDF" w:rsidP="00177EDF">
      <w:pPr>
        <w:ind w:left="1080" w:right="720"/>
        <w:jc w:val="both"/>
        <w:rPr>
          <w:lang w:val="en-US"/>
        </w:rPr>
      </w:pPr>
    </w:p>
    <w:p w:rsidR="00177EDF" w:rsidRDefault="00177EDF" w:rsidP="00177EDF">
      <w:pPr>
        <w:pStyle w:val="Heading2"/>
        <w:numPr>
          <w:ilvl w:val="0"/>
          <w:numId w:val="18"/>
        </w:numPr>
        <w:ind w:left="1080" w:hanging="605"/>
      </w:pPr>
      <w:bookmarkStart w:id="14" w:name="_Toc367187929"/>
      <w:r>
        <w:t xml:space="preserve">Emergency </w:t>
      </w:r>
      <w:r>
        <w:rPr>
          <w:lang w:val="en-US"/>
        </w:rPr>
        <w:t>F</w:t>
      </w:r>
      <w:r>
        <w:t>und</w:t>
      </w:r>
      <w:bookmarkEnd w:id="14"/>
    </w:p>
    <w:p w:rsidR="00177EDF" w:rsidRPr="00445095" w:rsidRDefault="00177EDF" w:rsidP="00177EDF">
      <w:pPr>
        <w:ind w:left="1080" w:right="720"/>
        <w:jc w:val="both"/>
        <w:rPr>
          <w:lang w:val="en-US"/>
        </w:rPr>
      </w:pPr>
    </w:p>
    <w:p w:rsidR="00177EDF" w:rsidRDefault="00177EDF" w:rsidP="00BD63A1">
      <w:pPr>
        <w:numPr>
          <w:ilvl w:val="0"/>
          <w:numId w:val="2"/>
        </w:numPr>
        <w:tabs>
          <w:tab w:val="left" w:pos="1620"/>
        </w:tabs>
        <w:ind w:left="1080" w:right="720" w:firstLine="0"/>
        <w:jc w:val="both"/>
        <w:rPr>
          <w:lang w:val="en-US"/>
        </w:rPr>
      </w:pPr>
      <w:r>
        <w:rPr>
          <w:lang w:val="en-US"/>
        </w:rPr>
        <w:t>In 2000, the Executive Board established an “Emergency Fund” to provide financing for the work of UNFPA in humanitarian settings.  The annual allocation for the Fund was initially established at $1 million, which was increased in 2006 to $3 million.  Each year, the Fund provides resources to countries facing crises based on the following criteria:</w:t>
      </w:r>
    </w:p>
    <w:p w:rsidR="00177EDF" w:rsidRPr="005C2150" w:rsidRDefault="00177EDF" w:rsidP="00177EDF">
      <w:pPr>
        <w:numPr>
          <w:ilvl w:val="0"/>
          <w:numId w:val="19"/>
        </w:numPr>
        <w:ind w:right="720"/>
        <w:jc w:val="both"/>
        <w:rPr>
          <w:lang w:val="en-US"/>
        </w:rPr>
      </w:pPr>
      <w:r w:rsidRPr="005C2150">
        <w:rPr>
          <w:lang w:val="en-US"/>
        </w:rPr>
        <w:t>Regular country programme funds are not</w:t>
      </w:r>
      <w:r>
        <w:rPr>
          <w:lang w:val="en-US"/>
        </w:rPr>
        <w:t xml:space="preserve"> available;</w:t>
      </w:r>
    </w:p>
    <w:p w:rsidR="00177EDF" w:rsidRPr="005C2150" w:rsidRDefault="00177EDF" w:rsidP="00177EDF">
      <w:pPr>
        <w:numPr>
          <w:ilvl w:val="0"/>
          <w:numId w:val="19"/>
        </w:numPr>
        <w:ind w:right="720"/>
        <w:jc w:val="both"/>
        <w:rPr>
          <w:lang w:val="en-US"/>
        </w:rPr>
      </w:pPr>
      <w:r w:rsidRPr="005C2150">
        <w:rPr>
          <w:lang w:val="en-US"/>
        </w:rPr>
        <w:t>Country programme funds are not immediately</w:t>
      </w:r>
      <w:r>
        <w:rPr>
          <w:lang w:val="en-US"/>
        </w:rPr>
        <w:t xml:space="preserve"> </w:t>
      </w:r>
      <w:r w:rsidRPr="005C2150">
        <w:rPr>
          <w:lang w:val="en-US"/>
        </w:rPr>
        <w:t>available but could be used at a later date</w:t>
      </w:r>
      <w:r>
        <w:rPr>
          <w:lang w:val="en-US"/>
        </w:rPr>
        <w:t xml:space="preserve"> </w:t>
      </w:r>
      <w:r w:rsidRPr="005C2150">
        <w:rPr>
          <w:lang w:val="en-US"/>
        </w:rPr>
        <w:t>for reimbursement with the approval of the</w:t>
      </w:r>
      <w:r>
        <w:rPr>
          <w:lang w:val="en-US"/>
        </w:rPr>
        <w:t xml:space="preserve"> </w:t>
      </w:r>
      <w:r w:rsidRPr="005C2150">
        <w:rPr>
          <w:lang w:val="en-US"/>
        </w:rPr>
        <w:t>government</w:t>
      </w:r>
      <w:r>
        <w:rPr>
          <w:lang w:val="en-US"/>
        </w:rPr>
        <w:t>;</w:t>
      </w:r>
    </w:p>
    <w:p w:rsidR="00177EDF" w:rsidRDefault="00177EDF" w:rsidP="00177EDF">
      <w:pPr>
        <w:numPr>
          <w:ilvl w:val="0"/>
          <w:numId w:val="19"/>
        </w:numPr>
        <w:ind w:right="720"/>
        <w:jc w:val="both"/>
        <w:rPr>
          <w:lang w:val="en-US"/>
        </w:rPr>
      </w:pPr>
      <w:r w:rsidRPr="005C2150">
        <w:rPr>
          <w:lang w:val="en-US"/>
        </w:rPr>
        <w:t>Donor support for the UNFPA component of a</w:t>
      </w:r>
      <w:r>
        <w:rPr>
          <w:lang w:val="en-US"/>
        </w:rPr>
        <w:t xml:space="preserve"> </w:t>
      </w:r>
      <w:r w:rsidRPr="005C2150">
        <w:rPr>
          <w:lang w:val="en-US"/>
        </w:rPr>
        <w:t>Consolidated Appeal Process or Flash Appeal</w:t>
      </w:r>
      <w:r>
        <w:rPr>
          <w:lang w:val="en-US"/>
        </w:rPr>
        <w:t xml:space="preserve"> </w:t>
      </w:r>
      <w:r w:rsidRPr="005C2150">
        <w:rPr>
          <w:lang w:val="en-US"/>
        </w:rPr>
        <w:t>has been committed but funds are not yet in</w:t>
      </w:r>
      <w:r>
        <w:rPr>
          <w:lang w:val="en-US"/>
        </w:rPr>
        <w:t xml:space="preserve"> </w:t>
      </w:r>
      <w:r w:rsidRPr="005C2150">
        <w:rPr>
          <w:lang w:val="en-US"/>
        </w:rPr>
        <w:t>hand.</w:t>
      </w:r>
    </w:p>
    <w:p w:rsidR="00177EDF" w:rsidRDefault="00177EDF" w:rsidP="00177EDF">
      <w:pPr>
        <w:ind w:left="1080" w:right="720"/>
        <w:jc w:val="both"/>
        <w:rPr>
          <w:lang w:val="en-US"/>
        </w:rPr>
      </w:pPr>
    </w:p>
    <w:p w:rsidR="00177EDF" w:rsidRDefault="00177EDF" w:rsidP="00BD63A1">
      <w:pPr>
        <w:numPr>
          <w:ilvl w:val="0"/>
          <w:numId w:val="2"/>
        </w:numPr>
        <w:tabs>
          <w:tab w:val="left" w:pos="1620"/>
        </w:tabs>
        <w:ind w:left="1080" w:right="720" w:firstLine="0"/>
        <w:jc w:val="both"/>
        <w:rPr>
          <w:lang w:val="en-US"/>
        </w:rPr>
      </w:pPr>
      <w:r>
        <w:rPr>
          <w:lang w:val="en-US"/>
        </w:rPr>
        <w:t>In 2012, 16 countries received support from the Emergency Fund, 13 of which were suffering from floods or conflicts.  The financing is primarily for sexual and reproductive health issues and to address gender-based violence, with the single largest item being the procurement of emergency reproductive health kits that are used to deliver services to women and girls who would otherwise not have access to this critical care as a result of humanitarian crises.</w:t>
      </w:r>
    </w:p>
    <w:p w:rsidR="00177EDF" w:rsidRDefault="00177EDF" w:rsidP="00177EDF">
      <w:pPr>
        <w:ind w:left="1080" w:right="720"/>
        <w:jc w:val="both"/>
        <w:rPr>
          <w:lang w:val="en-US"/>
        </w:rPr>
      </w:pPr>
    </w:p>
    <w:p w:rsidR="00177EDF" w:rsidRDefault="00177EDF" w:rsidP="00BD63A1">
      <w:pPr>
        <w:numPr>
          <w:ilvl w:val="0"/>
          <w:numId w:val="2"/>
        </w:numPr>
        <w:tabs>
          <w:tab w:val="left" w:pos="1620"/>
        </w:tabs>
        <w:ind w:left="1080" w:right="720" w:firstLine="0"/>
        <w:jc w:val="both"/>
        <w:rPr>
          <w:lang w:val="en-US"/>
        </w:rPr>
      </w:pPr>
      <w:r>
        <w:rPr>
          <w:lang w:val="en-US"/>
        </w:rPr>
        <w:t>Although the amounts disbursed from the Emergency Fund are not large, it nonetheless plays an important role because of the speed with which funds can be released: in 2012, the average time from submission of a request to the Emergency Fund to a reply was 1 day, down from 3 days in 2010.  This enables the resources to be used catalytically, as well as providing a key stop-gap while other funding is being mobilized.</w:t>
      </w:r>
    </w:p>
    <w:p w:rsidR="00177EDF" w:rsidRDefault="00177EDF" w:rsidP="00177EDF">
      <w:pPr>
        <w:ind w:left="1080" w:right="720"/>
        <w:jc w:val="both"/>
        <w:rPr>
          <w:lang w:val="en-US"/>
        </w:rPr>
      </w:pPr>
    </w:p>
    <w:p w:rsidR="00177EDF" w:rsidRPr="00445095" w:rsidRDefault="00177EDF" w:rsidP="00BD63A1">
      <w:pPr>
        <w:numPr>
          <w:ilvl w:val="0"/>
          <w:numId w:val="2"/>
        </w:numPr>
        <w:tabs>
          <w:tab w:val="left" w:pos="1620"/>
        </w:tabs>
        <w:ind w:left="1080" w:right="720" w:firstLine="0"/>
        <w:jc w:val="both"/>
        <w:rPr>
          <w:lang w:val="en-US"/>
        </w:rPr>
      </w:pPr>
      <w:r>
        <w:rPr>
          <w:lang w:val="en-US"/>
        </w:rPr>
        <w:t>The demands for UNFPA involvement in humanitarian settings have increased over time, but the Emergency Fund has remained capped at $3 million since 2006.  An increase to $5 million – still far smaller than the equivalent fund at UNICEF – will enable UNFPA to respond more robustly to humanitarian crises and meet the needs of some of the most disadvantaged and needy populations.</w:t>
      </w:r>
    </w:p>
    <w:p w:rsidR="00177EDF" w:rsidRDefault="00177EDF" w:rsidP="00177EDF">
      <w:pPr>
        <w:ind w:left="1080" w:right="720"/>
        <w:jc w:val="both"/>
        <w:rPr>
          <w:lang w:val="en-US"/>
        </w:rPr>
      </w:pPr>
    </w:p>
    <w:p w:rsidR="00177EDF" w:rsidRDefault="00177EDF" w:rsidP="00177EDF">
      <w:pPr>
        <w:ind w:left="1080" w:right="720"/>
        <w:jc w:val="both"/>
        <w:rPr>
          <w:lang w:val="en-US"/>
        </w:rPr>
      </w:pPr>
    </w:p>
    <w:p w:rsidR="00177EDF" w:rsidRDefault="00177EDF" w:rsidP="00177EDF">
      <w:pPr>
        <w:pStyle w:val="Heading2"/>
        <w:numPr>
          <w:ilvl w:val="0"/>
          <w:numId w:val="18"/>
        </w:numPr>
      </w:pPr>
      <w:bookmarkStart w:id="15" w:name="_Toc367187930"/>
      <w:r>
        <w:rPr>
          <w:lang w:val="en-US"/>
        </w:rPr>
        <w:t>Opportunities F</w:t>
      </w:r>
      <w:r>
        <w:t>und</w:t>
      </w:r>
      <w:bookmarkEnd w:id="15"/>
    </w:p>
    <w:p w:rsidR="00177EDF" w:rsidRPr="00445095" w:rsidRDefault="00177EDF" w:rsidP="00177EDF">
      <w:pPr>
        <w:ind w:left="1080" w:right="720"/>
        <w:jc w:val="both"/>
        <w:rPr>
          <w:lang w:val="en-US"/>
        </w:rPr>
      </w:pPr>
    </w:p>
    <w:p w:rsidR="00177EDF" w:rsidRDefault="00177EDF" w:rsidP="00BD63A1">
      <w:pPr>
        <w:numPr>
          <w:ilvl w:val="0"/>
          <w:numId w:val="2"/>
        </w:numPr>
        <w:tabs>
          <w:tab w:val="left" w:pos="1620"/>
        </w:tabs>
        <w:ind w:left="1080" w:right="720" w:firstLine="0"/>
        <w:jc w:val="both"/>
        <w:rPr>
          <w:lang w:val="en-US"/>
        </w:rPr>
      </w:pPr>
      <w:r>
        <w:rPr>
          <w:lang w:val="en-US"/>
        </w:rPr>
        <w:t xml:space="preserve">The second additional mechanism is the Opportunities Fund, which is being established to strengthen the organization’s performance by supporting innovative new approaches.  Several factors are driving this.  First and foremost, progress on Millennium Development Goal 5 is lagging behind other MDGs, and one reason is that the global community has not yet identified optimally effective (and cost-effective) interventions to improve maternal health.  This is particularly the case for reaching adolescents (particularly young girls), vulnerable and marginalized populations such as </w:t>
      </w:r>
      <w:r>
        <w:rPr>
          <w:color w:val="000000"/>
        </w:rPr>
        <w:t>indigenous people, ethnic minorities, migrants, sex workers, persons living with HIV, and persons with disabilities.</w:t>
      </w:r>
    </w:p>
    <w:p w:rsidR="00177EDF" w:rsidRDefault="00177EDF" w:rsidP="00177EDF">
      <w:pPr>
        <w:ind w:left="1080" w:right="720"/>
        <w:jc w:val="both"/>
        <w:rPr>
          <w:lang w:val="en-US"/>
        </w:rPr>
      </w:pPr>
    </w:p>
    <w:p w:rsidR="00177EDF" w:rsidRDefault="00177EDF" w:rsidP="00BD63A1">
      <w:pPr>
        <w:numPr>
          <w:ilvl w:val="0"/>
          <w:numId w:val="2"/>
        </w:numPr>
        <w:tabs>
          <w:tab w:val="left" w:pos="1620"/>
        </w:tabs>
        <w:ind w:left="1080" w:right="720" w:firstLine="0"/>
        <w:jc w:val="both"/>
        <w:rPr>
          <w:lang w:val="en-US"/>
        </w:rPr>
      </w:pPr>
      <w:r>
        <w:rPr>
          <w:lang w:val="en-US"/>
        </w:rPr>
        <w:t>Second, UNFPA is operating in an environment of scarce resources that require the organization to demonstrate that it is a leader in pioneering innovative approaches to addressing its mandate.  Rapid societal and technological changes present considerable opportunities to do this, but the organization must have a culture and systems to support innovation.</w:t>
      </w:r>
    </w:p>
    <w:p w:rsidR="00177EDF" w:rsidRDefault="00177EDF" w:rsidP="00177EDF">
      <w:pPr>
        <w:ind w:left="1080" w:right="720"/>
        <w:jc w:val="both"/>
        <w:rPr>
          <w:lang w:val="en-US"/>
        </w:rPr>
      </w:pPr>
    </w:p>
    <w:p w:rsidR="00177EDF" w:rsidRPr="003C7111" w:rsidRDefault="00177EDF" w:rsidP="00BD63A1">
      <w:pPr>
        <w:numPr>
          <w:ilvl w:val="0"/>
          <w:numId w:val="2"/>
        </w:numPr>
        <w:tabs>
          <w:tab w:val="left" w:pos="1620"/>
        </w:tabs>
        <w:ind w:left="1080" w:right="720" w:firstLine="0"/>
        <w:jc w:val="both"/>
        <w:rPr>
          <w:lang w:val="en-US"/>
        </w:rPr>
      </w:pPr>
      <w:r>
        <w:rPr>
          <w:lang w:val="en-US"/>
        </w:rPr>
        <w:t xml:space="preserve">Third, the organization has historically underinvested in innovation.  By way of comparison, UNICEF has invested considerable resources in the area, with dedicated staff members focusing solely on innovation and a growing portfolio of projects (e.g., see </w:t>
      </w:r>
      <w:hyperlink r:id="rId21" w:history="1">
        <w:r w:rsidRPr="006948E4">
          <w:rPr>
            <w:rStyle w:val="Hyperlink"/>
            <w:lang w:val="en-US"/>
          </w:rPr>
          <w:t>http://unicefinnovation.org/</w:t>
        </w:r>
      </w:hyperlink>
      <w:r>
        <w:rPr>
          <w:lang w:val="en-US"/>
        </w:rPr>
        <w:t xml:space="preserve"> and </w:t>
      </w:r>
      <w:hyperlink r:id="rId22" w:history="1">
        <w:r w:rsidRPr="006948E4">
          <w:rPr>
            <w:rStyle w:val="Hyperlink"/>
            <w:lang w:val="en-US"/>
          </w:rPr>
          <w:t>http://unicefstories.org/</w:t>
        </w:r>
      </w:hyperlink>
      <w:r>
        <w:rPr>
          <w:lang w:val="en-US"/>
        </w:rPr>
        <w:t xml:space="preserve"> for additional information).</w:t>
      </w:r>
    </w:p>
    <w:p w:rsidR="00177EDF" w:rsidRDefault="00177EDF" w:rsidP="00177EDF">
      <w:pPr>
        <w:ind w:left="1080" w:right="720"/>
        <w:jc w:val="both"/>
        <w:rPr>
          <w:lang w:val="en-US"/>
        </w:rPr>
      </w:pPr>
    </w:p>
    <w:p w:rsidR="00177EDF" w:rsidRPr="00445095" w:rsidRDefault="00177EDF" w:rsidP="00BD63A1">
      <w:pPr>
        <w:numPr>
          <w:ilvl w:val="0"/>
          <w:numId w:val="2"/>
        </w:numPr>
        <w:tabs>
          <w:tab w:val="left" w:pos="1620"/>
        </w:tabs>
        <w:ind w:left="1080" w:right="720" w:firstLine="0"/>
        <w:jc w:val="both"/>
        <w:rPr>
          <w:lang w:val="en-US"/>
        </w:rPr>
      </w:pPr>
      <w:r w:rsidRPr="00445095">
        <w:rPr>
          <w:lang w:val="en-US"/>
        </w:rPr>
        <w:t>The Opportunities Fund</w:t>
      </w:r>
      <w:r>
        <w:rPr>
          <w:lang w:val="en-US"/>
        </w:rPr>
        <w:t xml:space="preserve"> will </w:t>
      </w:r>
      <w:r w:rsidRPr="00445095">
        <w:rPr>
          <w:lang w:val="en-US"/>
        </w:rPr>
        <w:t>be a new instrument with two distinct but inter-related purposes</w:t>
      </w:r>
      <w:r>
        <w:rPr>
          <w:lang w:val="en-US"/>
        </w:rPr>
        <w:t xml:space="preserve"> that address these issues.  It will act both</w:t>
      </w:r>
      <w:r w:rsidRPr="00445095">
        <w:rPr>
          <w:lang w:val="en-US"/>
        </w:rPr>
        <w:t xml:space="preserve"> as a funding mechanism and as a way to strengthen the culture of innovation throughout UNFPA.</w:t>
      </w:r>
    </w:p>
    <w:p w:rsidR="00177EDF" w:rsidRPr="00445095" w:rsidRDefault="00177EDF" w:rsidP="00177EDF">
      <w:pPr>
        <w:ind w:left="1080" w:right="720"/>
        <w:jc w:val="both"/>
        <w:rPr>
          <w:lang w:val="en-US"/>
        </w:rPr>
      </w:pPr>
    </w:p>
    <w:p w:rsidR="00177EDF" w:rsidRPr="00445095" w:rsidRDefault="00177EDF" w:rsidP="00BD63A1">
      <w:pPr>
        <w:numPr>
          <w:ilvl w:val="0"/>
          <w:numId w:val="2"/>
        </w:numPr>
        <w:tabs>
          <w:tab w:val="left" w:pos="1620"/>
        </w:tabs>
        <w:ind w:left="1080" w:right="720" w:firstLine="0"/>
        <w:jc w:val="both"/>
        <w:rPr>
          <w:lang w:val="en-US"/>
        </w:rPr>
      </w:pPr>
      <w:r>
        <w:rPr>
          <w:lang w:val="en-US"/>
        </w:rPr>
        <w:t xml:space="preserve">As a funding mechanism, the Opportunities Fund will support </w:t>
      </w:r>
      <w:r w:rsidRPr="00445095">
        <w:rPr>
          <w:lang w:val="en-US"/>
        </w:rPr>
        <w:t>both innovations (whether in products, processes, partnerships, or programming) and emerging opportunities (such as related to a new global initiative or for countries that identify important opportunities to advance the ICPD agenda but do not have sufficient resources to address them).</w:t>
      </w:r>
      <w:r>
        <w:rPr>
          <w:lang w:val="en-US"/>
        </w:rPr>
        <w:t xml:space="preserve">  </w:t>
      </w:r>
      <w:r w:rsidRPr="00445095">
        <w:rPr>
          <w:lang w:val="en-US"/>
        </w:rPr>
        <w:t xml:space="preserve">The allocation of resources </w:t>
      </w:r>
      <w:r>
        <w:rPr>
          <w:lang w:val="en-US"/>
        </w:rPr>
        <w:t xml:space="preserve">to these </w:t>
      </w:r>
      <w:r w:rsidRPr="00445095">
        <w:rPr>
          <w:lang w:val="en-US"/>
        </w:rPr>
        <w:t>will be done based on transparent criteria</w:t>
      </w:r>
      <w:r>
        <w:rPr>
          <w:lang w:val="en-US"/>
        </w:rPr>
        <w:t>, which will be determined before the end of 2013.</w:t>
      </w:r>
    </w:p>
    <w:p w:rsidR="00177EDF" w:rsidRPr="00445095" w:rsidRDefault="00177EDF" w:rsidP="00177EDF">
      <w:pPr>
        <w:ind w:left="1080" w:right="720"/>
        <w:jc w:val="both"/>
        <w:rPr>
          <w:lang w:val="en-US"/>
        </w:rPr>
      </w:pPr>
    </w:p>
    <w:p w:rsidR="00177EDF" w:rsidRPr="001F0BC5" w:rsidRDefault="00177EDF" w:rsidP="00BD63A1">
      <w:pPr>
        <w:numPr>
          <w:ilvl w:val="0"/>
          <w:numId w:val="2"/>
        </w:numPr>
        <w:tabs>
          <w:tab w:val="left" w:pos="1620"/>
        </w:tabs>
        <w:ind w:left="1080" w:right="720" w:firstLine="0"/>
        <w:jc w:val="both"/>
        <w:rPr>
          <w:lang w:val="en-US"/>
        </w:rPr>
      </w:pPr>
      <w:r w:rsidRPr="001F0BC5">
        <w:rPr>
          <w:lang w:val="en-US"/>
        </w:rPr>
        <w:t xml:space="preserve">The resources that will be used </w:t>
      </w:r>
      <w:r>
        <w:rPr>
          <w:lang w:val="en-US"/>
        </w:rPr>
        <w:t>to finance initiatives through the Opportunities Fund will come from non-core contributions.</w:t>
      </w:r>
    </w:p>
    <w:p w:rsidR="00177EDF" w:rsidRDefault="00177EDF" w:rsidP="00177EDF">
      <w:pPr>
        <w:ind w:left="1080" w:right="720"/>
        <w:jc w:val="both"/>
        <w:rPr>
          <w:lang w:val="en-US"/>
        </w:rPr>
      </w:pPr>
    </w:p>
    <w:p w:rsidR="00177EDF" w:rsidRDefault="00177EDF" w:rsidP="00BD63A1">
      <w:pPr>
        <w:numPr>
          <w:ilvl w:val="0"/>
          <w:numId w:val="2"/>
        </w:numPr>
        <w:tabs>
          <w:tab w:val="left" w:pos="1620"/>
        </w:tabs>
        <w:ind w:left="1080" w:right="720" w:firstLine="0"/>
        <w:jc w:val="both"/>
        <w:rPr>
          <w:lang w:val="en-US"/>
        </w:rPr>
      </w:pPr>
      <w:r>
        <w:rPr>
          <w:lang w:val="en-US"/>
        </w:rPr>
        <w:t>T</w:t>
      </w:r>
      <w:r w:rsidRPr="00445095">
        <w:rPr>
          <w:lang w:val="en-US"/>
        </w:rPr>
        <w:t xml:space="preserve">he mechanics of the </w:t>
      </w:r>
      <w:r>
        <w:rPr>
          <w:lang w:val="en-US"/>
        </w:rPr>
        <w:t xml:space="preserve">Opportunities </w:t>
      </w:r>
      <w:r w:rsidRPr="00445095">
        <w:rPr>
          <w:lang w:val="en-US"/>
        </w:rPr>
        <w:t>Fund will be designed to enable maximum participation of staff from across the organization in its</w:t>
      </w:r>
      <w:r>
        <w:rPr>
          <w:lang w:val="en-US"/>
        </w:rPr>
        <w:t xml:space="preserve"> decision-making</w:t>
      </w:r>
      <w:r w:rsidRPr="00445095">
        <w:rPr>
          <w:lang w:val="en-US"/>
        </w:rPr>
        <w:t>, so as to strengthen the cultural change dimension of the Fund.  A number of other organizations – including other members of the United Nations Development Group – have mechanisms that allow for flexible responses to emerging opportunities, and lessons will be taken from these in the establishment of the Opportunities Fund.</w:t>
      </w:r>
    </w:p>
    <w:p w:rsidR="00177EDF" w:rsidRDefault="00177EDF" w:rsidP="00177EDF">
      <w:pPr>
        <w:ind w:left="1080" w:right="720"/>
        <w:jc w:val="both"/>
        <w:rPr>
          <w:lang w:val="en-US"/>
        </w:rPr>
      </w:pPr>
    </w:p>
    <w:p w:rsidR="00177EDF" w:rsidRDefault="00177EDF" w:rsidP="00BD63A1">
      <w:pPr>
        <w:numPr>
          <w:ilvl w:val="0"/>
          <w:numId w:val="2"/>
        </w:numPr>
        <w:tabs>
          <w:tab w:val="left" w:pos="1620"/>
        </w:tabs>
        <w:ind w:left="1080" w:right="720" w:firstLine="0"/>
        <w:jc w:val="both"/>
        <w:rPr>
          <w:lang w:val="en-US"/>
        </w:rPr>
      </w:pPr>
      <w:r w:rsidRPr="001F0BC5">
        <w:rPr>
          <w:lang w:val="en-US"/>
        </w:rPr>
        <w:t>One key issue in the establishment of the Opportunities Fund will be ensuring that it does not lead to further fragmentation in the organization’s funding architecture, given that this is already a challenge for the organization.  To avoid this, both the governance and management of the Opportunities Fund, and the reporting related to it will be integrated into existing structures.  A number of changes are currently being made to the management of resources at UNFPA (including those associated with global and regional programming and those with thematic trust funds), so a final decision about the most efficient and effective governance and management for the Opportunities Fund has not yet been made.</w:t>
      </w:r>
    </w:p>
    <w:p w:rsidR="00177EDF" w:rsidRDefault="00177EDF" w:rsidP="00177EDF">
      <w:pPr>
        <w:ind w:left="1080" w:right="720"/>
        <w:jc w:val="both"/>
        <w:rPr>
          <w:lang w:val="en-US"/>
        </w:rPr>
      </w:pPr>
    </w:p>
    <w:p w:rsidR="00177EDF" w:rsidRDefault="00177EDF" w:rsidP="00BD63A1">
      <w:pPr>
        <w:numPr>
          <w:ilvl w:val="0"/>
          <w:numId w:val="2"/>
        </w:numPr>
        <w:tabs>
          <w:tab w:val="left" w:pos="1620"/>
        </w:tabs>
        <w:ind w:left="1080" w:right="720" w:firstLine="0"/>
        <w:jc w:val="both"/>
        <w:rPr>
          <w:lang w:val="en-US"/>
        </w:rPr>
      </w:pPr>
      <w:r>
        <w:rPr>
          <w:lang w:val="en-US"/>
        </w:rPr>
        <w:t>Aside from the direct benefits of the initiatives supported, a key element of the Opportunities Fund is strengthening the culture of innovation at UNFPA.  This will entail being intentional and strategic about taking risks, tolerating failures, and building mechanisms to learn more rapidly from new efforts.</w:t>
      </w:r>
    </w:p>
    <w:p w:rsidR="00177EDF" w:rsidRDefault="00177EDF" w:rsidP="00177EDF">
      <w:pPr>
        <w:ind w:left="1080" w:right="720"/>
        <w:jc w:val="both"/>
        <w:rPr>
          <w:lang w:val="en-US"/>
        </w:rPr>
      </w:pPr>
    </w:p>
    <w:p w:rsidR="00177EDF" w:rsidRDefault="00177EDF" w:rsidP="00177EDF">
      <w:pPr>
        <w:ind w:left="1080" w:right="720"/>
        <w:jc w:val="both"/>
        <w:rPr>
          <w:lang w:val="en-US"/>
        </w:rPr>
      </w:pPr>
    </w:p>
    <w:p w:rsidR="00177EDF" w:rsidRDefault="00177EDF" w:rsidP="00177EDF">
      <w:pPr>
        <w:pStyle w:val="Heading2"/>
        <w:numPr>
          <w:ilvl w:val="0"/>
          <w:numId w:val="18"/>
        </w:numPr>
      </w:pPr>
      <w:bookmarkStart w:id="16" w:name="_Toc367187931"/>
      <w:r>
        <w:rPr>
          <w:lang w:val="en-US"/>
        </w:rPr>
        <w:t>Strengthening mechanisms to optimize resources across the organization</w:t>
      </w:r>
      <w:bookmarkEnd w:id="16"/>
    </w:p>
    <w:p w:rsidR="00177EDF" w:rsidRPr="00445095" w:rsidRDefault="00177EDF" w:rsidP="00177EDF">
      <w:pPr>
        <w:ind w:left="1080" w:right="720"/>
        <w:jc w:val="both"/>
        <w:rPr>
          <w:lang w:val="en-US"/>
        </w:rPr>
      </w:pPr>
    </w:p>
    <w:p w:rsidR="00177EDF" w:rsidRDefault="00177EDF" w:rsidP="00BD63A1">
      <w:pPr>
        <w:numPr>
          <w:ilvl w:val="0"/>
          <w:numId w:val="2"/>
        </w:numPr>
        <w:tabs>
          <w:tab w:val="left" w:pos="1620"/>
        </w:tabs>
        <w:ind w:left="1080" w:right="720" w:firstLine="0"/>
        <w:jc w:val="both"/>
        <w:rPr>
          <w:lang w:val="en-US"/>
        </w:rPr>
      </w:pPr>
      <w:r>
        <w:rPr>
          <w:lang w:val="en-US"/>
        </w:rPr>
        <w:t xml:space="preserve">UNFPA does not currently have any mechanism to </w:t>
      </w:r>
      <w:r w:rsidRPr="00445095">
        <w:rPr>
          <w:lang w:val="en-US"/>
        </w:rPr>
        <w:t>optimize resources across the entire portfolio, such as by rewarding good per</w:t>
      </w:r>
      <w:r>
        <w:rPr>
          <w:lang w:val="en-US"/>
        </w:rPr>
        <w:t xml:space="preserve">formance.  For example, there is not a systematic way for country offices that are demonstrating excellent results and that would be able to scale up their programming to receive additional support.  Conversely, there is also not a mechanism that looks holistically at the performance of a country office to determine which need additional support, whether technical, operational, or programmatic. </w:t>
      </w:r>
    </w:p>
    <w:p w:rsidR="00177EDF" w:rsidRDefault="00177EDF" w:rsidP="00177EDF">
      <w:pPr>
        <w:ind w:left="1080" w:right="720"/>
        <w:jc w:val="both"/>
        <w:rPr>
          <w:lang w:val="en-US"/>
        </w:rPr>
      </w:pPr>
    </w:p>
    <w:p w:rsidR="00177EDF" w:rsidRDefault="00177EDF" w:rsidP="00BD63A1">
      <w:pPr>
        <w:numPr>
          <w:ilvl w:val="0"/>
          <w:numId w:val="2"/>
        </w:numPr>
        <w:tabs>
          <w:tab w:val="left" w:pos="1620"/>
        </w:tabs>
        <w:ind w:left="1080" w:right="720" w:firstLine="0"/>
        <w:jc w:val="both"/>
        <w:rPr>
          <w:lang w:val="en-US"/>
        </w:rPr>
      </w:pPr>
      <w:r>
        <w:rPr>
          <w:lang w:val="en-US"/>
        </w:rPr>
        <w:t xml:space="preserve">This is not in place largely because </w:t>
      </w:r>
      <w:r w:rsidRPr="00445095">
        <w:rPr>
          <w:lang w:val="en-US"/>
        </w:rPr>
        <w:t xml:space="preserve">UNFPA does not currently have an objective way to assess the performance of country offices.  </w:t>
      </w:r>
      <w:r>
        <w:rPr>
          <w:lang w:val="en-US"/>
        </w:rPr>
        <w:t xml:space="preserve">Some tracking is currently being done, but this is largely of operational metrics and so cannot provide a comprehensive picture.  However, developing such a system in a manner that is objective and fair is a complicated matter and </w:t>
      </w:r>
      <w:r>
        <w:rPr>
          <w:lang w:val="en-US"/>
        </w:rPr>
        <w:lastRenderedPageBreak/>
        <w:t>requires information systems that are not fully in place at the moment.  Therefore, it is not possible to operationalize such an assessment mechanism overnight, and it is anticipated that this will not be possible before 2014 (partially because of links to some information systems that are currently under development).</w:t>
      </w:r>
    </w:p>
    <w:p w:rsidR="00177EDF" w:rsidRDefault="00177EDF" w:rsidP="00177EDF">
      <w:pPr>
        <w:ind w:left="1080" w:right="720"/>
        <w:jc w:val="both"/>
        <w:rPr>
          <w:lang w:val="en-US"/>
        </w:rPr>
      </w:pPr>
    </w:p>
    <w:p w:rsidR="00177EDF" w:rsidRPr="007C2F97" w:rsidRDefault="00177EDF" w:rsidP="00BD63A1">
      <w:pPr>
        <w:numPr>
          <w:ilvl w:val="0"/>
          <w:numId w:val="2"/>
        </w:numPr>
        <w:tabs>
          <w:tab w:val="left" w:pos="1620"/>
        </w:tabs>
        <w:ind w:left="1080" w:right="720" w:firstLine="0"/>
        <w:jc w:val="both"/>
        <w:rPr>
          <w:lang w:val="en-US"/>
        </w:rPr>
      </w:pPr>
      <w:r>
        <w:rPr>
          <w:lang w:val="en-US"/>
        </w:rPr>
        <w:t>Moreover, it is important that UNFPA collaborate with fellow United Nations organizations on this, particularly since the “Standard Operating Procedures for Countries Wishing to Adopt the ‘Delivering as One’ Approach” explicitly calls for the development of “</w:t>
      </w:r>
      <w:r w:rsidRPr="007C2F97">
        <w:rPr>
          <w:lang w:val="en-US"/>
        </w:rPr>
        <w:t>common guidance on performance-based allocation criteria, including minimum standards</w:t>
      </w:r>
      <w:r>
        <w:rPr>
          <w:lang w:val="en-US"/>
        </w:rPr>
        <w:t>”.</w:t>
      </w:r>
    </w:p>
    <w:p w:rsidR="00177EDF" w:rsidRDefault="00177EDF" w:rsidP="00177EDF">
      <w:pPr>
        <w:ind w:left="1080" w:right="720"/>
        <w:jc w:val="both"/>
        <w:rPr>
          <w:lang w:val="en-US"/>
        </w:rPr>
      </w:pPr>
    </w:p>
    <w:p w:rsidR="00177EDF" w:rsidRPr="00445095" w:rsidRDefault="00177EDF" w:rsidP="00BD63A1">
      <w:pPr>
        <w:numPr>
          <w:ilvl w:val="0"/>
          <w:numId w:val="2"/>
        </w:numPr>
        <w:tabs>
          <w:tab w:val="left" w:pos="1620"/>
        </w:tabs>
        <w:ind w:left="1080" w:right="720" w:firstLine="0"/>
        <w:jc w:val="both"/>
        <w:rPr>
          <w:lang w:val="en-US"/>
        </w:rPr>
      </w:pPr>
      <w:r>
        <w:rPr>
          <w:lang w:val="en-US"/>
        </w:rPr>
        <w:t>Once the systems are in place to assess performance robustly, it will be possible to design mechanisms to optimize resources (such as by rewarding good performers), but this will not be possible before late 2014 at the earliest.</w:t>
      </w:r>
    </w:p>
    <w:p w:rsidR="00177EDF" w:rsidRDefault="00177EDF" w:rsidP="00177EDF">
      <w:pPr>
        <w:ind w:right="720"/>
        <w:jc w:val="both"/>
        <w:rPr>
          <w:lang w:val="en-US"/>
        </w:rPr>
      </w:pPr>
    </w:p>
    <w:p w:rsidR="004F6B56" w:rsidRDefault="004F6B56" w:rsidP="00177EDF">
      <w:pPr>
        <w:ind w:right="720"/>
        <w:jc w:val="both"/>
        <w:rPr>
          <w:lang w:val="en-US"/>
        </w:rPr>
      </w:pPr>
    </w:p>
    <w:p w:rsidR="00177EDF" w:rsidRPr="009176C2" w:rsidRDefault="00177EDF" w:rsidP="00177EDF">
      <w:pPr>
        <w:pStyle w:val="Heading1"/>
        <w:numPr>
          <w:ilvl w:val="0"/>
          <w:numId w:val="6"/>
        </w:numPr>
        <w:rPr>
          <w:lang w:val="en-GB"/>
        </w:rPr>
      </w:pPr>
      <w:bookmarkStart w:id="17" w:name="_Toc367187932"/>
      <w:r>
        <w:rPr>
          <w:lang w:val="en-US"/>
        </w:rPr>
        <w:t>Benefits of the new approaches</w:t>
      </w:r>
      <w:bookmarkEnd w:id="17"/>
    </w:p>
    <w:p w:rsidR="00177EDF" w:rsidRPr="007C2F97" w:rsidRDefault="00177EDF" w:rsidP="00177EDF">
      <w:pPr>
        <w:ind w:left="1080" w:right="720"/>
        <w:jc w:val="both"/>
        <w:rPr>
          <w:lang w:val="en-US"/>
        </w:rPr>
      </w:pPr>
    </w:p>
    <w:p w:rsidR="00177EDF" w:rsidRPr="00445095" w:rsidRDefault="00177EDF" w:rsidP="00BD63A1">
      <w:pPr>
        <w:numPr>
          <w:ilvl w:val="0"/>
          <w:numId w:val="2"/>
        </w:numPr>
        <w:tabs>
          <w:tab w:val="left" w:pos="1620"/>
        </w:tabs>
        <w:ind w:left="1080" w:right="720" w:firstLine="0"/>
        <w:jc w:val="both"/>
        <w:rPr>
          <w:lang w:val="en-US"/>
        </w:rPr>
      </w:pPr>
      <w:r w:rsidRPr="00445095">
        <w:rPr>
          <w:lang w:val="en-US"/>
        </w:rPr>
        <w:t xml:space="preserve">The </w:t>
      </w:r>
      <w:r>
        <w:rPr>
          <w:lang w:val="en-US"/>
        </w:rPr>
        <w:t>new</w:t>
      </w:r>
      <w:r w:rsidRPr="00445095">
        <w:rPr>
          <w:lang w:val="en-US"/>
        </w:rPr>
        <w:t xml:space="preserve"> approach</w:t>
      </w:r>
      <w:r>
        <w:rPr>
          <w:lang w:val="en-US"/>
        </w:rPr>
        <w:t>es to funding arrangements will</w:t>
      </w:r>
      <w:r w:rsidRPr="00445095">
        <w:rPr>
          <w:lang w:val="en-US"/>
        </w:rPr>
        <w:t xml:space="preserve"> address the five key challenges </w:t>
      </w:r>
      <w:r>
        <w:rPr>
          <w:lang w:val="en-US"/>
        </w:rPr>
        <w:t xml:space="preserve">described </w:t>
      </w:r>
      <w:r w:rsidRPr="00445095">
        <w:rPr>
          <w:lang w:val="en-US"/>
        </w:rPr>
        <w:t xml:space="preserve">earlier, as summarized in Table </w:t>
      </w:r>
      <w:r w:rsidR="00A85311">
        <w:rPr>
          <w:lang w:val="en-US"/>
        </w:rPr>
        <w:t>9</w:t>
      </w:r>
      <w:r w:rsidRPr="00445095">
        <w:rPr>
          <w:lang w:val="en-US"/>
        </w:rPr>
        <w:t>.</w:t>
      </w:r>
    </w:p>
    <w:p w:rsidR="00177EDF" w:rsidRPr="00445095" w:rsidRDefault="00177EDF" w:rsidP="00177EDF">
      <w:pPr>
        <w:ind w:left="1080" w:right="720"/>
        <w:jc w:val="both"/>
        <w:rPr>
          <w:lang w:val="en-US"/>
        </w:rPr>
      </w:pPr>
    </w:p>
    <w:p w:rsidR="00177EDF" w:rsidRPr="00445095" w:rsidRDefault="00177EDF" w:rsidP="00177EDF">
      <w:pPr>
        <w:ind w:left="1080" w:right="720"/>
        <w:jc w:val="both"/>
        <w:rPr>
          <w:lang w:val="en-US"/>
        </w:rPr>
      </w:pPr>
      <w:r>
        <w:rPr>
          <w:b/>
          <w:lang w:val="en-US"/>
        </w:rPr>
        <w:t xml:space="preserve">Table </w:t>
      </w:r>
      <w:r w:rsidR="00A85311">
        <w:rPr>
          <w:b/>
          <w:lang w:val="en-US"/>
        </w:rPr>
        <w:t>9</w:t>
      </w:r>
      <w:r w:rsidRPr="00445095">
        <w:rPr>
          <w:b/>
          <w:lang w:val="en-US"/>
        </w:rPr>
        <w:t xml:space="preserve">: Challenges with current RAS and ways in which </w:t>
      </w:r>
      <w:r>
        <w:rPr>
          <w:b/>
          <w:lang w:val="en-US"/>
        </w:rPr>
        <w:t xml:space="preserve">new </w:t>
      </w:r>
      <w:r w:rsidRPr="00445095">
        <w:rPr>
          <w:b/>
          <w:lang w:val="en-US"/>
        </w:rPr>
        <w:t>approach</w:t>
      </w:r>
      <w:r>
        <w:rPr>
          <w:b/>
          <w:lang w:val="en-US"/>
        </w:rPr>
        <w:t>es address</w:t>
      </w:r>
      <w:r w:rsidRPr="00445095">
        <w:rPr>
          <w:b/>
          <w:lang w:val="en-US"/>
        </w:rPr>
        <w:t xml:space="preserve"> them</w:t>
      </w:r>
    </w:p>
    <w:tbl>
      <w:tblPr>
        <w:tblW w:w="0" w:type="auto"/>
        <w:tblInd w:w="1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4860"/>
      </w:tblGrid>
      <w:tr w:rsidR="00177EDF" w:rsidRPr="00DF6B08" w:rsidTr="009B383D">
        <w:tc>
          <w:tcPr>
            <w:tcW w:w="2610" w:type="dxa"/>
            <w:shd w:val="clear" w:color="auto" w:fill="auto"/>
          </w:tcPr>
          <w:p w:rsidR="00177EDF" w:rsidRPr="002D4C2D" w:rsidRDefault="00177EDF" w:rsidP="009B383D">
            <w:pPr>
              <w:jc w:val="both"/>
              <w:rPr>
                <w:rFonts w:eastAsia="Calibri"/>
                <w:b/>
                <w:sz w:val="18"/>
                <w:lang w:val="en-US"/>
              </w:rPr>
            </w:pPr>
            <w:r w:rsidRPr="002D4C2D">
              <w:rPr>
                <w:rFonts w:eastAsia="Calibri"/>
                <w:b/>
                <w:sz w:val="18"/>
                <w:lang w:val="en-US"/>
              </w:rPr>
              <w:t>Challenge</w:t>
            </w:r>
          </w:p>
        </w:tc>
        <w:tc>
          <w:tcPr>
            <w:tcW w:w="4860" w:type="dxa"/>
            <w:shd w:val="clear" w:color="auto" w:fill="auto"/>
          </w:tcPr>
          <w:p w:rsidR="00177EDF" w:rsidRPr="002D4C2D" w:rsidRDefault="00177EDF" w:rsidP="009B383D">
            <w:pPr>
              <w:jc w:val="both"/>
              <w:rPr>
                <w:rFonts w:eastAsia="Calibri"/>
                <w:b/>
                <w:sz w:val="18"/>
                <w:lang w:val="en-US"/>
              </w:rPr>
            </w:pPr>
            <w:r w:rsidRPr="002D4C2D">
              <w:rPr>
                <w:rFonts w:eastAsia="Calibri"/>
                <w:b/>
                <w:sz w:val="18"/>
                <w:lang w:val="en-US"/>
              </w:rPr>
              <w:t>Response</w:t>
            </w:r>
          </w:p>
        </w:tc>
      </w:tr>
      <w:tr w:rsidR="00177EDF" w:rsidRPr="00DF6B08" w:rsidTr="009B383D">
        <w:tc>
          <w:tcPr>
            <w:tcW w:w="2610" w:type="dxa"/>
            <w:shd w:val="clear" w:color="auto" w:fill="auto"/>
          </w:tcPr>
          <w:p w:rsidR="00177EDF" w:rsidRPr="002D4C2D" w:rsidRDefault="00177EDF" w:rsidP="009B383D">
            <w:pPr>
              <w:jc w:val="both"/>
              <w:rPr>
                <w:rFonts w:eastAsia="Calibri"/>
                <w:sz w:val="18"/>
                <w:lang w:val="en-US"/>
              </w:rPr>
            </w:pPr>
            <w:r w:rsidRPr="002D4C2D">
              <w:rPr>
                <w:rFonts w:eastAsia="Calibri"/>
                <w:sz w:val="18"/>
                <w:lang w:val="en-US"/>
              </w:rPr>
              <w:t>The indicators were developed prior to the current strateg</w:t>
            </w:r>
            <w:r>
              <w:rPr>
                <w:rFonts w:eastAsia="Calibri"/>
                <w:sz w:val="18"/>
                <w:lang w:val="en-US"/>
              </w:rPr>
              <w:t>ic direction set out in the midterm review of the strategic p</w:t>
            </w:r>
            <w:r w:rsidRPr="002D4C2D">
              <w:rPr>
                <w:rFonts w:eastAsia="Calibri"/>
                <w:sz w:val="18"/>
                <w:lang w:val="en-US"/>
              </w:rPr>
              <w:t>lan, and do not completely align with the strategic direction</w:t>
            </w:r>
          </w:p>
        </w:tc>
        <w:tc>
          <w:tcPr>
            <w:tcW w:w="4860" w:type="dxa"/>
            <w:shd w:val="clear" w:color="auto" w:fill="auto"/>
          </w:tcPr>
          <w:p w:rsidR="00177EDF" w:rsidRPr="002D4C2D" w:rsidRDefault="00177EDF" w:rsidP="009B383D">
            <w:pPr>
              <w:jc w:val="both"/>
              <w:rPr>
                <w:rFonts w:eastAsia="Calibri"/>
                <w:sz w:val="18"/>
                <w:lang w:val="en-US"/>
              </w:rPr>
            </w:pPr>
            <w:r w:rsidRPr="002D4C2D">
              <w:rPr>
                <w:rFonts w:eastAsia="Calibri"/>
                <w:sz w:val="18"/>
                <w:lang w:val="en-US"/>
              </w:rPr>
              <w:t>The proposed revision to the indicators described above directly addresses this problem, and ensures that the RAS indicators are aligned with the strategic direction.  Moreover, the introduction of weightings for the indicators further strengthens the linkages between the RAS and the strategic direction (and also creates a flexible mechanism that can be used over time as the organization’s strategic direction evolves).</w:t>
            </w:r>
          </w:p>
        </w:tc>
      </w:tr>
      <w:tr w:rsidR="00177EDF" w:rsidRPr="00DF6B08" w:rsidTr="009B383D">
        <w:tc>
          <w:tcPr>
            <w:tcW w:w="2610" w:type="dxa"/>
            <w:shd w:val="clear" w:color="auto" w:fill="auto"/>
          </w:tcPr>
          <w:p w:rsidR="00177EDF" w:rsidRPr="002D4C2D" w:rsidRDefault="00177EDF" w:rsidP="009B383D">
            <w:pPr>
              <w:jc w:val="both"/>
              <w:rPr>
                <w:rFonts w:eastAsia="Calibri"/>
                <w:sz w:val="18"/>
                <w:lang w:val="en-US"/>
              </w:rPr>
            </w:pPr>
            <w:r w:rsidRPr="002D4C2D">
              <w:rPr>
                <w:rFonts w:eastAsia="Calibri"/>
                <w:sz w:val="18"/>
                <w:lang w:val="en-US"/>
              </w:rPr>
              <w:t>The current resource allocation does not adequately focus on needs, which is particularly problematic for an organization that has a universal mandate and bases its work on human rights principles, including respect for each and every life</w:t>
            </w:r>
          </w:p>
        </w:tc>
        <w:tc>
          <w:tcPr>
            <w:tcW w:w="4860" w:type="dxa"/>
            <w:shd w:val="clear" w:color="auto" w:fill="auto"/>
          </w:tcPr>
          <w:p w:rsidR="00177EDF" w:rsidRPr="002D4C2D" w:rsidRDefault="00177EDF" w:rsidP="009B383D">
            <w:pPr>
              <w:jc w:val="both"/>
              <w:rPr>
                <w:rFonts w:eastAsia="Calibri"/>
                <w:sz w:val="18"/>
                <w:lang w:val="en-US"/>
              </w:rPr>
            </w:pPr>
            <w:r w:rsidRPr="002D4C2D">
              <w:rPr>
                <w:rFonts w:eastAsia="Calibri"/>
                <w:sz w:val="18"/>
                <w:lang w:val="en-US"/>
              </w:rPr>
              <w:t xml:space="preserve">The proposal approach </w:t>
            </w:r>
            <w:r>
              <w:rPr>
                <w:rFonts w:eastAsia="Calibri"/>
                <w:sz w:val="18"/>
                <w:lang w:val="en-US"/>
              </w:rPr>
              <w:t>will</w:t>
            </w:r>
            <w:r w:rsidRPr="002D4C2D">
              <w:rPr>
                <w:rFonts w:eastAsia="Calibri"/>
                <w:sz w:val="18"/>
                <w:lang w:val="en-US"/>
              </w:rPr>
              <w:t xml:space="preserve"> improve the extent to which UNFPA’s resources are focused on needs.  As shown in Table </w:t>
            </w:r>
            <w:r>
              <w:rPr>
                <w:rFonts w:eastAsia="Calibri"/>
                <w:sz w:val="18"/>
                <w:lang w:val="en-US"/>
              </w:rPr>
              <w:t>9</w:t>
            </w:r>
            <w:r w:rsidRPr="002D4C2D">
              <w:rPr>
                <w:rFonts w:eastAsia="Calibri"/>
                <w:sz w:val="18"/>
                <w:lang w:val="en-US"/>
              </w:rPr>
              <w:t xml:space="preserve"> above, countries in the Red quadrant </w:t>
            </w:r>
            <w:r>
              <w:rPr>
                <w:rFonts w:eastAsia="Calibri"/>
                <w:sz w:val="18"/>
                <w:lang w:val="en-US"/>
              </w:rPr>
              <w:t xml:space="preserve">will </w:t>
            </w:r>
            <w:r w:rsidRPr="002D4C2D">
              <w:rPr>
                <w:rFonts w:eastAsia="Calibri"/>
                <w:sz w:val="18"/>
                <w:lang w:val="en-US"/>
              </w:rPr>
              <w:t>receive the largest share of resources, and the highest per capita allocations.</w:t>
            </w:r>
          </w:p>
          <w:p w:rsidR="00177EDF" w:rsidRPr="002D4C2D" w:rsidRDefault="00177EDF" w:rsidP="009B383D">
            <w:pPr>
              <w:jc w:val="both"/>
              <w:rPr>
                <w:rFonts w:eastAsia="Calibri"/>
                <w:sz w:val="18"/>
                <w:lang w:val="en-US"/>
              </w:rPr>
            </w:pPr>
            <w:r w:rsidRPr="002D4C2D">
              <w:rPr>
                <w:rFonts w:eastAsia="Calibri"/>
                <w:sz w:val="18"/>
                <w:lang w:val="en-US"/>
              </w:rPr>
              <w:t xml:space="preserve">Additionally, the share of resources going to </w:t>
            </w:r>
            <w:r>
              <w:rPr>
                <w:rFonts w:eastAsia="Calibri"/>
                <w:sz w:val="18"/>
                <w:lang w:val="en-US"/>
              </w:rPr>
              <w:t>least-d</w:t>
            </w:r>
            <w:r w:rsidRPr="002D4C2D">
              <w:rPr>
                <w:rFonts w:eastAsia="Calibri"/>
                <w:sz w:val="18"/>
                <w:lang w:val="en-US"/>
              </w:rPr>
              <w:t xml:space="preserve">eveloped </w:t>
            </w:r>
            <w:r>
              <w:rPr>
                <w:rFonts w:eastAsia="Calibri"/>
                <w:sz w:val="18"/>
                <w:lang w:val="en-US"/>
              </w:rPr>
              <w:t>c</w:t>
            </w:r>
            <w:r w:rsidRPr="002D4C2D">
              <w:rPr>
                <w:rFonts w:eastAsia="Calibri"/>
                <w:sz w:val="18"/>
                <w:lang w:val="en-US"/>
              </w:rPr>
              <w:t xml:space="preserve">ountries </w:t>
            </w:r>
            <w:r>
              <w:rPr>
                <w:rFonts w:eastAsia="Calibri"/>
                <w:sz w:val="18"/>
                <w:lang w:val="en-US"/>
              </w:rPr>
              <w:t xml:space="preserve">will </w:t>
            </w:r>
            <w:r w:rsidRPr="002D4C2D">
              <w:rPr>
                <w:rFonts w:eastAsia="Calibri"/>
                <w:sz w:val="18"/>
                <w:lang w:val="en-US"/>
              </w:rPr>
              <w:t xml:space="preserve">increase, as </w:t>
            </w:r>
            <w:r>
              <w:rPr>
                <w:rFonts w:eastAsia="Calibri"/>
                <w:sz w:val="18"/>
                <w:lang w:val="en-US"/>
              </w:rPr>
              <w:t xml:space="preserve">will </w:t>
            </w:r>
            <w:r w:rsidRPr="002D4C2D">
              <w:rPr>
                <w:rFonts w:eastAsia="Calibri"/>
                <w:sz w:val="18"/>
                <w:lang w:val="en-US"/>
              </w:rPr>
              <w:t>the share allocated to countries facing the highest risks for humanitarian crises.</w:t>
            </w:r>
          </w:p>
          <w:p w:rsidR="00177EDF" w:rsidRPr="002D4C2D" w:rsidRDefault="00177EDF" w:rsidP="009B383D">
            <w:pPr>
              <w:jc w:val="both"/>
              <w:rPr>
                <w:rFonts w:eastAsia="Calibri"/>
                <w:sz w:val="18"/>
                <w:lang w:val="en-US"/>
              </w:rPr>
            </w:pPr>
            <w:r w:rsidRPr="002D4C2D">
              <w:rPr>
                <w:rFonts w:eastAsia="Calibri"/>
                <w:sz w:val="18"/>
                <w:lang w:val="en-US"/>
              </w:rPr>
              <w:t>However, the use of the “floor” will also ensure that all countries in which UNFPA operates have the minimum capacity to support the ICPD agenda.</w:t>
            </w:r>
          </w:p>
        </w:tc>
      </w:tr>
      <w:tr w:rsidR="00177EDF" w:rsidRPr="00DF6B08" w:rsidTr="009B383D">
        <w:tc>
          <w:tcPr>
            <w:tcW w:w="2610" w:type="dxa"/>
            <w:shd w:val="clear" w:color="auto" w:fill="auto"/>
          </w:tcPr>
          <w:p w:rsidR="00177EDF" w:rsidRPr="002D4C2D" w:rsidRDefault="00177EDF" w:rsidP="009B383D">
            <w:pPr>
              <w:jc w:val="both"/>
              <w:rPr>
                <w:rFonts w:eastAsia="Calibri"/>
                <w:sz w:val="18"/>
                <w:lang w:val="en-US"/>
              </w:rPr>
            </w:pPr>
            <w:r w:rsidRPr="002D4C2D">
              <w:rPr>
                <w:rFonts w:eastAsia="Calibri"/>
                <w:sz w:val="18"/>
                <w:lang w:val="en-US"/>
              </w:rPr>
              <w:t>The allocation of resources is not aligned to the types of interventions to be delivered by UNFPA</w:t>
            </w:r>
          </w:p>
        </w:tc>
        <w:tc>
          <w:tcPr>
            <w:tcW w:w="4860" w:type="dxa"/>
            <w:shd w:val="clear" w:color="auto" w:fill="auto"/>
          </w:tcPr>
          <w:p w:rsidR="00177EDF" w:rsidRPr="002D4C2D" w:rsidRDefault="00177EDF" w:rsidP="009B383D">
            <w:pPr>
              <w:jc w:val="both"/>
              <w:rPr>
                <w:rFonts w:eastAsia="Calibri"/>
                <w:sz w:val="18"/>
                <w:lang w:val="en-US"/>
              </w:rPr>
            </w:pPr>
            <w:r w:rsidRPr="002D4C2D">
              <w:rPr>
                <w:rFonts w:eastAsia="Calibri"/>
                <w:sz w:val="18"/>
                <w:lang w:val="en-US"/>
              </w:rPr>
              <w:t>This problem is addressed by basing the RAS on the business model, and tying the weightings in the RAS directly to the types of interventions that UNFPA will deliver, as set out in the business model.</w:t>
            </w:r>
          </w:p>
        </w:tc>
      </w:tr>
      <w:tr w:rsidR="00177EDF" w:rsidRPr="00DF6B08" w:rsidTr="009B383D">
        <w:tc>
          <w:tcPr>
            <w:tcW w:w="2610" w:type="dxa"/>
            <w:shd w:val="clear" w:color="auto" w:fill="auto"/>
          </w:tcPr>
          <w:p w:rsidR="00177EDF" w:rsidRPr="002D4C2D" w:rsidRDefault="00177EDF" w:rsidP="009B383D">
            <w:pPr>
              <w:jc w:val="both"/>
              <w:rPr>
                <w:rFonts w:eastAsia="Calibri"/>
                <w:sz w:val="18"/>
                <w:lang w:val="en-US"/>
              </w:rPr>
            </w:pPr>
            <w:r w:rsidRPr="002D4C2D">
              <w:rPr>
                <w:rFonts w:eastAsia="Calibri"/>
                <w:sz w:val="18"/>
                <w:lang w:val="en-US"/>
              </w:rPr>
              <w:t>The current system does not allocate resources in a way that optimizes impact, such as by rewarding performance</w:t>
            </w:r>
          </w:p>
        </w:tc>
        <w:tc>
          <w:tcPr>
            <w:tcW w:w="4860" w:type="dxa"/>
            <w:shd w:val="clear" w:color="auto" w:fill="auto"/>
          </w:tcPr>
          <w:p w:rsidR="00177EDF" w:rsidRPr="002D4C2D" w:rsidRDefault="00177EDF" w:rsidP="009B383D">
            <w:pPr>
              <w:jc w:val="both"/>
              <w:rPr>
                <w:rFonts w:eastAsia="Calibri"/>
                <w:sz w:val="18"/>
                <w:lang w:val="en-US"/>
              </w:rPr>
            </w:pPr>
            <w:r w:rsidRPr="002D4C2D">
              <w:rPr>
                <w:rFonts w:eastAsia="Calibri"/>
                <w:sz w:val="18"/>
                <w:lang w:val="en-US"/>
              </w:rPr>
              <w:t>As noted above, this issue will have to be addressed progressively, as UNFPA does not currently have a system that can objectively assess performance.  Once this system is established, it will be possible to improve the extent to which allocations are based on performance.</w:t>
            </w:r>
          </w:p>
        </w:tc>
      </w:tr>
      <w:tr w:rsidR="00177EDF" w:rsidRPr="00DF6B08" w:rsidTr="009B383D">
        <w:tc>
          <w:tcPr>
            <w:tcW w:w="2610" w:type="dxa"/>
            <w:shd w:val="clear" w:color="auto" w:fill="auto"/>
          </w:tcPr>
          <w:p w:rsidR="00177EDF" w:rsidRPr="002D4C2D" w:rsidRDefault="00177EDF" w:rsidP="009B383D">
            <w:pPr>
              <w:jc w:val="both"/>
              <w:rPr>
                <w:rFonts w:eastAsia="Calibri"/>
                <w:sz w:val="18"/>
                <w:lang w:val="en-US"/>
              </w:rPr>
            </w:pPr>
            <w:r w:rsidRPr="002D4C2D">
              <w:rPr>
                <w:rFonts w:eastAsia="Calibri"/>
                <w:sz w:val="18"/>
                <w:lang w:val="en-US"/>
              </w:rPr>
              <w:t>The current system is not well suited to responding to humanitarian crises</w:t>
            </w:r>
          </w:p>
        </w:tc>
        <w:tc>
          <w:tcPr>
            <w:tcW w:w="4860" w:type="dxa"/>
            <w:shd w:val="clear" w:color="auto" w:fill="auto"/>
          </w:tcPr>
          <w:p w:rsidR="00177EDF" w:rsidRPr="002D4C2D" w:rsidRDefault="00177EDF" w:rsidP="009B383D">
            <w:pPr>
              <w:jc w:val="both"/>
              <w:rPr>
                <w:rFonts w:eastAsia="Calibri"/>
                <w:sz w:val="18"/>
                <w:lang w:val="en-US"/>
              </w:rPr>
            </w:pPr>
            <w:r w:rsidRPr="002D4C2D">
              <w:rPr>
                <w:rFonts w:eastAsia="Calibri"/>
                <w:sz w:val="18"/>
                <w:lang w:val="en-US"/>
              </w:rPr>
              <w:t>The increase in the size of the Emergency Fund from $3 million to $5 million described above will directly address this issue.</w:t>
            </w:r>
          </w:p>
        </w:tc>
      </w:tr>
    </w:tbl>
    <w:p w:rsidR="00177EDF" w:rsidRPr="00445095" w:rsidRDefault="00177EDF" w:rsidP="00177EDF">
      <w:pPr>
        <w:ind w:left="1080" w:right="720"/>
        <w:jc w:val="both"/>
        <w:rPr>
          <w:lang w:val="en-US"/>
        </w:rPr>
      </w:pPr>
    </w:p>
    <w:p w:rsidR="00177EDF" w:rsidRDefault="00177EDF" w:rsidP="00212013">
      <w:pPr>
        <w:numPr>
          <w:ilvl w:val="0"/>
          <w:numId w:val="2"/>
        </w:numPr>
        <w:tabs>
          <w:tab w:val="left" w:pos="1620"/>
        </w:tabs>
        <w:ind w:left="1080" w:right="720" w:firstLine="0"/>
        <w:jc w:val="both"/>
      </w:pPr>
      <w:r w:rsidRPr="004F6B56">
        <w:rPr>
          <w:lang w:val="en-US"/>
        </w:rPr>
        <w:t>As a result, the new approaches will improve the UNFPA’s overall effectiveness and efficiency, resulting in increased benefits for the lives of women, adolescents, and youth across the world.</w:t>
      </w:r>
    </w:p>
    <w:p w:rsidR="00177EDF" w:rsidRPr="009E5D7B" w:rsidRDefault="00177EDF" w:rsidP="00177EDF">
      <w:pPr>
        <w:pStyle w:val="Heading1"/>
        <w:numPr>
          <w:ilvl w:val="0"/>
          <w:numId w:val="0"/>
        </w:numPr>
        <w:ind w:left="936" w:hanging="360"/>
        <w:rPr>
          <w:lang w:val="en-GB"/>
        </w:rPr>
      </w:pPr>
      <w:r>
        <w:br w:type="page"/>
      </w:r>
      <w:bookmarkStart w:id="18" w:name="_Toc367187933"/>
      <w:r w:rsidRPr="009E5D7B">
        <w:rPr>
          <w:lang w:val="en-GB"/>
        </w:rPr>
        <w:lastRenderedPageBreak/>
        <w:t>Appendix: Classification of Countries</w:t>
      </w:r>
      <w:r>
        <w:rPr>
          <w:lang w:val="en-GB"/>
        </w:rPr>
        <w:t>/Territories</w:t>
      </w:r>
      <w:bookmarkEnd w:id="18"/>
    </w:p>
    <w:p w:rsidR="00177EDF" w:rsidRDefault="00177EDF" w:rsidP="00177EDF">
      <w:pPr>
        <w:ind w:left="1080" w:right="720"/>
        <w:jc w:val="both"/>
      </w:pPr>
    </w:p>
    <w:tbl>
      <w:tblPr>
        <w:tblpPr w:leftFromText="180" w:rightFromText="180" w:vertAnchor="text" w:tblpX="432" w:tblpY="-66"/>
        <w:tblW w:w="874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187"/>
        <w:gridCol w:w="2187"/>
        <w:gridCol w:w="2187"/>
        <w:gridCol w:w="2187"/>
      </w:tblGrid>
      <w:tr w:rsidR="00177EDF" w:rsidRPr="00FB7C72" w:rsidTr="009B383D">
        <w:trPr>
          <w:trHeight w:val="399"/>
        </w:trPr>
        <w:tc>
          <w:tcPr>
            <w:tcW w:w="2187" w:type="dxa"/>
            <w:tcBorders>
              <w:bottom w:val="dotted" w:sz="4" w:space="0" w:color="auto"/>
            </w:tcBorders>
            <w:shd w:val="clear" w:color="auto" w:fill="FF0000"/>
            <w:vAlign w:val="center"/>
          </w:tcPr>
          <w:p w:rsidR="00177EDF" w:rsidRDefault="00177EDF" w:rsidP="009B383D">
            <w:pPr>
              <w:jc w:val="center"/>
              <w:rPr>
                <w:b/>
                <w:sz w:val="18"/>
                <w:szCs w:val="18"/>
              </w:rPr>
            </w:pPr>
            <w:r w:rsidRPr="00DA65D6">
              <w:rPr>
                <w:b/>
                <w:sz w:val="18"/>
                <w:szCs w:val="18"/>
              </w:rPr>
              <w:t xml:space="preserve">Red Quadrant </w:t>
            </w:r>
          </w:p>
          <w:p w:rsidR="00177EDF" w:rsidRPr="00B873A9" w:rsidRDefault="00177EDF" w:rsidP="009B383D">
            <w:pPr>
              <w:jc w:val="center"/>
              <w:rPr>
                <w:sz w:val="18"/>
                <w:szCs w:val="18"/>
              </w:rPr>
            </w:pPr>
            <w:r w:rsidRPr="00DA65D6">
              <w:rPr>
                <w:b/>
                <w:sz w:val="18"/>
                <w:szCs w:val="18"/>
              </w:rPr>
              <w:t>(4</w:t>
            </w:r>
            <w:r>
              <w:rPr>
                <w:b/>
                <w:sz w:val="18"/>
                <w:szCs w:val="18"/>
              </w:rPr>
              <w:t>0</w:t>
            </w:r>
            <w:r w:rsidRPr="00DA65D6">
              <w:rPr>
                <w:b/>
                <w:sz w:val="18"/>
                <w:szCs w:val="18"/>
              </w:rPr>
              <w:t xml:space="preserve"> countries)</w:t>
            </w:r>
          </w:p>
        </w:tc>
        <w:tc>
          <w:tcPr>
            <w:tcW w:w="2187" w:type="dxa"/>
            <w:tcBorders>
              <w:bottom w:val="dotted" w:sz="4" w:space="0" w:color="auto"/>
            </w:tcBorders>
            <w:shd w:val="clear" w:color="auto" w:fill="FFC000"/>
            <w:vAlign w:val="center"/>
          </w:tcPr>
          <w:p w:rsidR="00177EDF" w:rsidRDefault="00177EDF" w:rsidP="009B383D">
            <w:pPr>
              <w:jc w:val="center"/>
              <w:rPr>
                <w:b/>
                <w:sz w:val="18"/>
                <w:szCs w:val="18"/>
              </w:rPr>
            </w:pPr>
            <w:r w:rsidRPr="00DA65D6">
              <w:rPr>
                <w:b/>
                <w:sz w:val="18"/>
                <w:szCs w:val="18"/>
              </w:rPr>
              <w:t xml:space="preserve">Orange Quadrant </w:t>
            </w:r>
          </w:p>
          <w:p w:rsidR="00177EDF" w:rsidRPr="00B873A9" w:rsidRDefault="00177EDF" w:rsidP="009B383D">
            <w:pPr>
              <w:jc w:val="center"/>
              <w:rPr>
                <w:sz w:val="18"/>
                <w:szCs w:val="18"/>
              </w:rPr>
            </w:pPr>
            <w:r w:rsidRPr="00DA65D6">
              <w:rPr>
                <w:b/>
                <w:sz w:val="18"/>
                <w:szCs w:val="18"/>
              </w:rPr>
              <w:t>(</w:t>
            </w:r>
            <w:r>
              <w:rPr>
                <w:b/>
                <w:sz w:val="18"/>
                <w:szCs w:val="18"/>
              </w:rPr>
              <w:t>21</w:t>
            </w:r>
            <w:r w:rsidRPr="00DA65D6">
              <w:rPr>
                <w:b/>
                <w:sz w:val="18"/>
                <w:szCs w:val="18"/>
              </w:rPr>
              <w:t xml:space="preserve"> countries)</w:t>
            </w:r>
          </w:p>
        </w:tc>
        <w:tc>
          <w:tcPr>
            <w:tcW w:w="2187" w:type="dxa"/>
            <w:tcBorders>
              <w:bottom w:val="dotted" w:sz="4" w:space="0" w:color="auto"/>
            </w:tcBorders>
            <w:shd w:val="clear" w:color="auto" w:fill="FFFF00"/>
            <w:vAlign w:val="center"/>
          </w:tcPr>
          <w:p w:rsidR="00177EDF" w:rsidRDefault="00177EDF" w:rsidP="009B383D">
            <w:pPr>
              <w:jc w:val="center"/>
              <w:rPr>
                <w:b/>
                <w:sz w:val="18"/>
                <w:szCs w:val="18"/>
              </w:rPr>
            </w:pPr>
            <w:r w:rsidRPr="00DA65D6">
              <w:rPr>
                <w:b/>
                <w:sz w:val="18"/>
                <w:szCs w:val="18"/>
              </w:rPr>
              <w:t xml:space="preserve">Yellow Quadrant </w:t>
            </w:r>
          </w:p>
          <w:p w:rsidR="00177EDF" w:rsidRPr="00B873A9" w:rsidRDefault="00177EDF" w:rsidP="009B383D">
            <w:pPr>
              <w:jc w:val="center"/>
              <w:rPr>
                <w:sz w:val="18"/>
                <w:szCs w:val="18"/>
              </w:rPr>
            </w:pPr>
            <w:r w:rsidRPr="00DA65D6">
              <w:rPr>
                <w:b/>
                <w:sz w:val="18"/>
                <w:szCs w:val="18"/>
              </w:rPr>
              <w:t>(1</w:t>
            </w:r>
            <w:r>
              <w:rPr>
                <w:b/>
                <w:sz w:val="18"/>
                <w:szCs w:val="18"/>
              </w:rPr>
              <w:t>6</w:t>
            </w:r>
            <w:r w:rsidRPr="00DA65D6">
              <w:rPr>
                <w:b/>
                <w:sz w:val="18"/>
                <w:szCs w:val="18"/>
              </w:rPr>
              <w:t xml:space="preserve"> Countries)</w:t>
            </w:r>
          </w:p>
        </w:tc>
        <w:tc>
          <w:tcPr>
            <w:tcW w:w="2187" w:type="dxa"/>
            <w:tcBorders>
              <w:bottom w:val="dotted" w:sz="4" w:space="0" w:color="auto"/>
            </w:tcBorders>
            <w:shd w:val="clear" w:color="auto" w:fill="FF66FF"/>
            <w:vAlign w:val="center"/>
          </w:tcPr>
          <w:p w:rsidR="00177EDF" w:rsidRDefault="00177EDF" w:rsidP="009B383D">
            <w:pPr>
              <w:jc w:val="center"/>
              <w:rPr>
                <w:b/>
                <w:sz w:val="18"/>
                <w:szCs w:val="18"/>
              </w:rPr>
            </w:pPr>
            <w:r w:rsidRPr="00DA65D6">
              <w:rPr>
                <w:b/>
                <w:sz w:val="18"/>
                <w:szCs w:val="18"/>
              </w:rPr>
              <w:t xml:space="preserve">Pink Quadrant </w:t>
            </w:r>
          </w:p>
          <w:p w:rsidR="00177EDF" w:rsidRPr="00B873A9" w:rsidRDefault="00177EDF" w:rsidP="009B383D">
            <w:pPr>
              <w:jc w:val="center"/>
              <w:rPr>
                <w:sz w:val="18"/>
                <w:szCs w:val="18"/>
              </w:rPr>
            </w:pPr>
            <w:r>
              <w:rPr>
                <w:b/>
                <w:sz w:val="18"/>
                <w:szCs w:val="18"/>
              </w:rPr>
              <w:t>(44</w:t>
            </w:r>
            <w:r w:rsidRPr="00DA65D6">
              <w:rPr>
                <w:b/>
                <w:sz w:val="18"/>
                <w:szCs w:val="18"/>
              </w:rPr>
              <w:t xml:space="preserve"> countries)</w:t>
            </w:r>
          </w:p>
        </w:tc>
      </w:tr>
      <w:tr w:rsidR="00177EDF" w:rsidRPr="00FB7C72" w:rsidTr="009B383D">
        <w:trPr>
          <w:trHeight w:val="8279"/>
        </w:trPr>
        <w:tc>
          <w:tcPr>
            <w:tcW w:w="2187" w:type="dxa"/>
            <w:shd w:val="clear" w:color="auto" w:fill="auto"/>
          </w:tcPr>
          <w:p w:rsidR="00177EDF" w:rsidRPr="00B873A9" w:rsidRDefault="00177EDF" w:rsidP="009B383D">
            <w:pPr>
              <w:rPr>
                <w:sz w:val="18"/>
                <w:szCs w:val="18"/>
              </w:rPr>
            </w:pPr>
            <w:r w:rsidRPr="00DA65D6">
              <w:rPr>
                <w:sz w:val="18"/>
                <w:szCs w:val="18"/>
              </w:rPr>
              <w:t>Afghanistan</w:t>
            </w:r>
          </w:p>
          <w:p w:rsidR="00177EDF" w:rsidRPr="00DA65D6" w:rsidRDefault="00177EDF" w:rsidP="009B383D">
            <w:pPr>
              <w:rPr>
                <w:sz w:val="18"/>
                <w:szCs w:val="18"/>
              </w:rPr>
            </w:pPr>
            <w:r w:rsidRPr="00DA65D6">
              <w:rPr>
                <w:sz w:val="18"/>
                <w:szCs w:val="18"/>
              </w:rPr>
              <w:t>Bangladesh</w:t>
            </w:r>
          </w:p>
          <w:p w:rsidR="00177EDF" w:rsidRPr="00DA65D6" w:rsidRDefault="00177EDF" w:rsidP="009B383D">
            <w:pPr>
              <w:rPr>
                <w:sz w:val="18"/>
                <w:szCs w:val="18"/>
                <w:u w:val="single"/>
              </w:rPr>
            </w:pPr>
            <w:r w:rsidRPr="00DA65D6">
              <w:rPr>
                <w:sz w:val="18"/>
                <w:szCs w:val="18"/>
              </w:rPr>
              <w:t>Benin</w:t>
            </w:r>
          </w:p>
          <w:p w:rsidR="00177EDF" w:rsidRPr="00DA65D6" w:rsidRDefault="00177EDF" w:rsidP="009B383D">
            <w:pPr>
              <w:rPr>
                <w:sz w:val="18"/>
                <w:szCs w:val="18"/>
              </w:rPr>
            </w:pPr>
            <w:r w:rsidRPr="00DA65D6">
              <w:rPr>
                <w:sz w:val="18"/>
                <w:szCs w:val="18"/>
              </w:rPr>
              <w:t>Burkina Faso</w:t>
            </w:r>
          </w:p>
          <w:p w:rsidR="00177EDF" w:rsidRPr="00DA65D6" w:rsidRDefault="00177EDF" w:rsidP="009B383D">
            <w:pPr>
              <w:rPr>
                <w:sz w:val="18"/>
                <w:szCs w:val="18"/>
              </w:rPr>
            </w:pPr>
            <w:r w:rsidRPr="00DA65D6">
              <w:rPr>
                <w:sz w:val="18"/>
                <w:szCs w:val="18"/>
              </w:rPr>
              <w:t>Burundi</w:t>
            </w:r>
          </w:p>
          <w:p w:rsidR="00177EDF" w:rsidRPr="00DA65D6" w:rsidRDefault="00177EDF" w:rsidP="009B383D">
            <w:pPr>
              <w:rPr>
                <w:sz w:val="18"/>
                <w:szCs w:val="18"/>
              </w:rPr>
            </w:pPr>
            <w:r w:rsidRPr="00DA65D6">
              <w:rPr>
                <w:sz w:val="18"/>
                <w:szCs w:val="18"/>
              </w:rPr>
              <w:t>Cambodia</w:t>
            </w:r>
          </w:p>
          <w:p w:rsidR="00177EDF" w:rsidRPr="00DA65D6" w:rsidRDefault="00177EDF" w:rsidP="009B383D">
            <w:pPr>
              <w:rPr>
                <w:sz w:val="18"/>
                <w:szCs w:val="18"/>
              </w:rPr>
            </w:pPr>
            <w:r w:rsidRPr="00DA65D6">
              <w:rPr>
                <w:sz w:val="18"/>
                <w:szCs w:val="18"/>
              </w:rPr>
              <w:t>Cameroon</w:t>
            </w:r>
          </w:p>
          <w:p w:rsidR="00177EDF" w:rsidRPr="00DA65D6" w:rsidRDefault="00177EDF" w:rsidP="009B383D">
            <w:pPr>
              <w:rPr>
                <w:sz w:val="18"/>
                <w:szCs w:val="18"/>
              </w:rPr>
            </w:pPr>
            <w:r w:rsidRPr="00DA65D6">
              <w:rPr>
                <w:sz w:val="18"/>
                <w:szCs w:val="18"/>
              </w:rPr>
              <w:t>Central African Republic</w:t>
            </w:r>
          </w:p>
          <w:p w:rsidR="00177EDF" w:rsidRPr="00DA65D6" w:rsidRDefault="00177EDF" w:rsidP="009B383D">
            <w:pPr>
              <w:rPr>
                <w:sz w:val="18"/>
                <w:szCs w:val="18"/>
              </w:rPr>
            </w:pPr>
            <w:r w:rsidRPr="00DA65D6">
              <w:rPr>
                <w:sz w:val="18"/>
                <w:szCs w:val="18"/>
              </w:rPr>
              <w:t>Chad</w:t>
            </w:r>
          </w:p>
          <w:p w:rsidR="00177EDF" w:rsidRPr="00DA65D6" w:rsidRDefault="00177EDF" w:rsidP="009B383D">
            <w:pPr>
              <w:rPr>
                <w:sz w:val="18"/>
                <w:szCs w:val="18"/>
              </w:rPr>
            </w:pPr>
            <w:r w:rsidRPr="00DA65D6">
              <w:rPr>
                <w:sz w:val="18"/>
                <w:szCs w:val="18"/>
              </w:rPr>
              <w:t>Comoros</w:t>
            </w:r>
          </w:p>
          <w:p w:rsidR="00177EDF" w:rsidRPr="00DA65D6" w:rsidRDefault="00177EDF" w:rsidP="009B383D">
            <w:pPr>
              <w:rPr>
                <w:sz w:val="18"/>
                <w:szCs w:val="18"/>
              </w:rPr>
            </w:pPr>
            <w:r w:rsidRPr="00DA65D6">
              <w:rPr>
                <w:sz w:val="18"/>
                <w:szCs w:val="18"/>
              </w:rPr>
              <w:t>C</w:t>
            </w:r>
            <w:r>
              <w:rPr>
                <w:sz w:val="18"/>
                <w:szCs w:val="18"/>
              </w:rPr>
              <w:t>ô</w:t>
            </w:r>
            <w:r w:rsidRPr="00DA65D6">
              <w:rPr>
                <w:sz w:val="18"/>
                <w:szCs w:val="18"/>
              </w:rPr>
              <w:t>te d'Ivoire</w:t>
            </w:r>
          </w:p>
          <w:p w:rsidR="006F19B4" w:rsidRPr="00DA65D6" w:rsidRDefault="006F19B4" w:rsidP="006F19B4">
            <w:pPr>
              <w:ind w:left="180" w:hanging="180"/>
              <w:rPr>
                <w:sz w:val="18"/>
                <w:szCs w:val="18"/>
              </w:rPr>
            </w:pPr>
            <w:r w:rsidRPr="00DA65D6">
              <w:rPr>
                <w:sz w:val="18"/>
                <w:szCs w:val="18"/>
              </w:rPr>
              <w:t>Democratic Republic of</w:t>
            </w:r>
            <w:r>
              <w:rPr>
                <w:sz w:val="18"/>
                <w:szCs w:val="18"/>
              </w:rPr>
              <w:t xml:space="preserve"> the Congo</w:t>
            </w:r>
          </w:p>
          <w:p w:rsidR="00177EDF" w:rsidRPr="00DA65D6" w:rsidRDefault="00177EDF" w:rsidP="009B383D">
            <w:pPr>
              <w:rPr>
                <w:sz w:val="18"/>
                <w:szCs w:val="18"/>
              </w:rPr>
            </w:pPr>
            <w:r w:rsidRPr="00DA65D6">
              <w:rPr>
                <w:sz w:val="18"/>
                <w:szCs w:val="18"/>
              </w:rPr>
              <w:t>Eritrea</w:t>
            </w:r>
          </w:p>
          <w:p w:rsidR="00177EDF" w:rsidRPr="00DA65D6" w:rsidRDefault="00177EDF" w:rsidP="009B383D">
            <w:pPr>
              <w:rPr>
                <w:sz w:val="18"/>
                <w:szCs w:val="18"/>
              </w:rPr>
            </w:pPr>
            <w:r w:rsidRPr="00DA65D6">
              <w:rPr>
                <w:sz w:val="18"/>
                <w:szCs w:val="18"/>
              </w:rPr>
              <w:t>Ethiopia</w:t>
            </w:r>
          </w:p>
          <w:p w:rsidR="00177EDF" w:rsidRPr="00DA65D6" w:rsidRDefault="00177EDF" w:rsidP="009B383D">
            <w:pPr>
              <w:rPr>
                <w:sz w:val="18"/>
                <w:szCs w:val="18"/>
              </w:rPr>
            </w:pPr>
            <w:r>
              <w:rPr>
                <w:sz w:val="18"/>
                <w:szCs w:val="18"/>
              </w:rPr>
              <w:t>Gambia</w:t>
            </w:r>
          </w:p>
          <w:p w:rsidR="00177EDF" w:rsidRPr="00DA65D6" w:rsidRDefault="00177EDF" w:rsidP="009B383D">
            <w:pPr>
              <w:rPr>
                <w:sz w:val="18"/>
                <w:szCs w:val="18"/>
              </w:rPr>
            </w:pPr>
            <w:r w:rsidRPr="00DA65D6">
              <w:rPr>
                <w:sz w:val="18"/>
                <w:szCs w:val="18"/>
              </w:rPr>
              <w:t>Guinea</w:t>
            </w:r>
          </w:p>
          <w:p w:rsidR="00177EDF" w:rsidRDefault="00177EDF" w:rsidP="009B383D">
            <w:pPr>
              <w:rPr>
                <w:sz w:val="18"/>
                <w:szCs w:val="18"/>
              </w:rPr>
            </w:pPr>
            <w:r w:rsidRPr="00DA65D6">
              <w:rPr>
                <w:sz w:val="18"/>
                <w:szCs w:val="18"/>
              </w:rPr>
              <w:t xml:space="preserve">Guinea-Bissau </w:t>
            </w:r>
          </w:p>
          <w:p w:rsidR="00177EDF" w:rsidRPr="00B873A9" w:rsidRDefault="00177EDF" w:rsidP="009B383D">
            <w:pPr>
              <w:rPr>
                <w:sz w:val="18"/>
                <w:szCs w:val="18"/>
              </w:rPr>
            </w:pPr>
            <w:r w:rsidRPr="00DA65D6">
              <w:rPr>
                <w:sz w:val="18"/>
                <w:szCs w:val="18"/>
              </w:rPr>
              <w:t>Haiti</w:t>
            </w:r>
          </w:p>
          <w:p w:rsidR="00177EDF" w:rsidRPr="00DA65D6" w:rsidRDefault="00177EDF" w:rsidP="009B383D">
            <w:pPr>
              <w:rPr>
                <w:sz w:val="18"/>
                <w:szCs w:val="18"/>
              </w:rPr>
            </w:pPr>
            <w:r w:rsidRPr="00DA65D6">
              <w:rPr>
                <w:sz w:val="18"/>
                <w:szCs w:val="18"/>
              </w:rPr>
              <w:t>Kenya</w:t>
            </w:r>
          </w:p>
          <w:p w:rsidR="00177EDF" w:rsidRPr="00DA65D6" w:rsidRDefault="00177EDF" w:rsidP="009B383D">
            <w:pPr>
              <w:rPr>
                <w:sz w:val="18"/>
                <w:szCs w:val="18"/>
              </w:rPr>
            </w:pPr>
            <w:r w:rsidRPr="00DA65D6">
              <w:rPr>
                <w:sz w:val="18"/>
                <w:szCs w:val="18"/>
              </w:rPr>
              <w:t>Lesotho</w:t>
            </w:r>
          </w:p>
          <w:p w:rsidR="00177EDF" w:rsidRPr="00DA65D6" w:rsidRDefault="00177EDF" w:rsidP="009B383D">
            <w:pPr>
              <w:rPr>
                <w:sz w:val="18"/>
                <w:szCs w:val="18"/>
              </w:rPr>
            </w:pPr>
            <w:r w:rsidRPr="00DA65D6">
              <w:rPr>
                <w:sz w:val="18"/>
                <w:szCs w:val="18"/>
              </w:rPr>
              <w:t>Liberia</w:t>
            </w:r>
          </w:p>
          <w:p w:rsidR="00177EDF" w:rsidRDefault="00177EDF" w:rsidP="009B383D">
            <w:pPr>
              <w:rPr>
                <w:sz w:val="18"/>
                <w:szCs w:val="18"/>
              </w:rPr>
            </w:pPr>
            <w:r w:rsidRPr="00DA65D6">
              <w:rPr>
                <w:sz w:val="18"/>
                <w:szCs w:val="18"/>
              </w:rPr>
              <w:t>Madagascar</w:t>
            </w:r>
            <w:r w:rsidRPr="0066298F">
              <w:rPr>
                <w:sz w:val="18"/>
                <w:szCs w:val="18"/>
              </w:rPr>
              <w:t xml:space="preserve"> </w:t>
            </w:r>
          </w:p>
          <w:p w:rsidR="00177EDF" w:rsidRPr="0066298F" w:rsidRDefault="00177EDF" w:rsidP="009B383D">
            <w:pPr>
              <w:rPr>
                <w:sz w:val="18"/>
                <w:szCs w:val="18"/>
              </w:rPr>
            </w:pPr>
            <w:r w:rsidRPr="0066298F">
              <w:rPr>
                <w:sz w:val="18"/>
                <w:szCs w:val="18"/>
              </w:rPr>
              <w:t>Malawi</w:t>
            </w:r>
          </w:p>
          <w:p w:rsidR="00177EDF" w:rsidRPr="00DA65D6" w:rsidRDefault="00177EDF" w:rsidP="009B383D">
            <w:pPr>
              <w:rPr>
                <w:sz w:val="18"/>
                <w:szCs w:val="18"/>
              </w:rPr>
            </w:pPr>
            <w:r w:rsidRPr="00DA65D6">
              <w:rPr>
                <w:sz w:val="18"/>
                <w:szCs w:val="18"/>
              </w:rPr>
              <w:t>Mali</w:t>
            </w:r>
          </w:p>
          <w:p w:rsidR="00177EDF" w:rsidRPr="00DA65D6" w:rsidRDefault="00177EDF" w:rsidP="009B383D">
            <w:pPr>
              <w:rPr>
                <w:sz w:val="18"/>
                <w:szCs w:val="18"/>
              </w:rPr>
            </w:pPr>
            <w:r w:rsidRPr="00DA65D6">
              <w:rPr>
                <w:sz w:val="18"/>
                <w:szCs w:val="18"/>
              </w:rPr>
              <w:t>Mauritania</w:t>
            </w:r>
          </w:p>
          <w:p w:rsidR="00177EDF" w:rsidRPr="0066298F" w:rsidRDefault="00177EDF" w:rsidP="009B383D">
            <w:pPr>
              <w:rPr>
                <w:sz w:val="18"/>
                <w:szCs w:val="18"/>
              </w:rPr>
            </w:pPr>
            <w:r w:rsidRPr="0066298F">
              <w:rPr>
                <w:sz w:val="18"/>
                <w:szCs w:val="18"/>
              </w:rPr>
              <w:t>Mozambique</w:t>
            </w:r>
          </w:p>
          <w:p w:rsidR="00177EDF" w:rsidRPr="00DA65D6" w:rsidRDefault="00177EDF" w:rsidP="009B383D">
            <w:pPr>
              <w:rPr>
                <w:sz w:val="18"/>
                <w:szCs w:val="18"/>
              </w:rPr>
            </w:pPr>
            <w:r w:rsidRPr="00DA65D6">
              <w:rPr>
                <w:sz w:val="18"/>
                <w:szCs w:val="18"/>
              </w:rPr>
              <w:t xml:space="preserve">Nepal </w:t>
            </w:r>
          </w:p>
          <w:p w:rsidR="00177EDF" w:rsidRPr="00DA65D6" w:rsidRDefault="00177EDF" w:rsidP="009B383D">
            <w:pPr>
              <w:rPr>
                <w:sz w:val="18"/>
                <w:szCs w:val="18"/>
              </w:rPr>
            </w:pPr>
            <w:r w:rsidRPr="00DA65D6">
              <w:rPr>
                <w:sz w:val="18"/>
                <w:szCs w:val="18"/>
              </w:rPr>
              <w:t>Niger</w:t>
            </w:r>
          </w:p>
          <w:p w:rsidR="00177EDF" w:rsidRPr="00DA65D6" w:rsidRDefault="00177EDF" w:rsidP="009B383D">
            <w:pPr>
              <w:rPr>
                <w:sz w:val="18"/>
                <w:szCs w:val="18"/>
              </w:rPr>
            </w:pPr>
            <w:r w:rsidRPr="00DA65D6">
              <w:rPr>
                <w:sz w:val="18"/>
                <w:szCs w:val="18"/>
              </w:rPr>
              <w:t>Nigeria</w:t>
            </w:r>
          </w:p>
          <w:p w:rsidR="00177EDF" w:rsidRPr="00DA65D6" w:rsidRDefault="00177EDF" w:rsidP="009B383D">
            <w:pPr>
              <w:ind w:left="162" w:hanging="162"/>
              <w:rPr>
                <w:sz w:val="18"/>
                <w:szCs w:val="18"/>
              </w:rPr>
            </w:pPr>
            <w:r w:rsidRPr="00DA65D6">
              <w:rPr>
                <w:sz w:val="18"/>
                <w:szCs w:val="18"/>
              </w:rPr>
              <w:t>Rwanda</w:t>
            </w:r>
          </w:p>
          <w:p w:rsidR="00177EDF" w:rsidRPr="00DA65D6" w:rsidRDefault="00177EDF" w:rsidP="009B383D">
            <w:pPr>
              <w:rPr>
                <w:sz w:val="18"/>
                <w:szCs w:val="18"/>
              </w:rPr>
            </w:pPr>
            <w:r w:rsidRPr="00DA65D6">
              <w:rPr>
                <w:sz w:val="18"/>
                <w:szCs w:val="18"/>
              </w:rPr>
              <w:t>Senegal</w:t>
            </w:r>
          </w:p>
          <w:p w:rsidR="00177EDF" w:rsidRPr="00DA65D6" w:rsidRDefault="00177EDF" w:rsidP="009B383D">
            <w:pPr>
              <w:rPr>
                <w:sz w:val="18"/>
                <w:szCs w:val="18"/>
              </w:rPr>
            </w:pPr>
            <w:r w:rsidRPr="00DA65D6">
              <w:rPr>
                <w:sz w:val="18"/>
                <w:szCs w:val="18"/>
              </w:rPr>
              <w:t>Sierra Leone</w:t>
            </w:r>
          </w:p>
          <w:p w:rsidR="00177EDF" w:rsidRPr="00DA65D6" w:rsidRDefault="00177EDF" w:rsidP="009B383D">
            <w:pPr>
              <w:rPr>
                <w:sz w:val="18"/>
                <w:szCs w:val="18"/>
              </w:rPr>
            </w:pPr>
            <w:r w:rsidRPr="00DA65D6">
              <w:rPr>
                <w:sz w:val="18"/>
                <w:szCs w:val="18"/>
              </w:rPr>
              <w:t>Somalia</w:t>
            </w:r>
          </w:p>
          <w:p w:rsidR="00177EDF" w:rsidRPr="0066298F" w:rsidRDefault="00177EDF" w:rsidP="009B383D">
            <w:pPr>
              <w:rPr>
                <w:sz w:val="18"/>
                <w:szCs w:val="18"/>
              </w:rPr>
            </w:pPr>
            <w:r w:rsidRPr="0066298F">
              <w:rPr>
                <w:sz w:val="18"/>
                <w:szCs w:val="18"/>
              </w:rPr>
              <w:t>South Sudan</w:t>
            </w:r>
          </w:p>
          <w:p w:rsidR="00177EDF" w:rsidRPr="00DA65D6" w:rsidRDefault="00177EDF" w:rsidP="009B383D">
            <w:pPr>
              <w:rPr>
                <w:sz w:val="18"/>
                <w:szCs w:val="18"/>
              </w:rPr>
            </w:pPr>
            <w:r w:rsidRPr="00DA65D6">
              <w:rPr>
                <w:sz w:val="18"/>
                <w:szCs w:val="18"/>
              </w:rPr>
              <w:t>Sudan</w:t>
            </w:r>
          </w:p>
          <w:p w:rsidR="00177EDF" w:rsidRPr="00B873A9" w:rsidRDefault="00177EDF" w:rsidP="009B383D">
            <w:pPr>
              <w:rPr>
                <w:sz w:val="18"/>
                <w:szCs w:val="18"/>
              </w:rPr>
            </w:pPr>
            <w:r w:rsidRPr="00DA65D6">
              <w:rPr>
                <w:sz w:val="18"/>
                <w:szCs w:val="18"/>
              </w:rPr>
              <w:t>Togo</w:t>
            </w:r>
          </w:p>
          <w:p w:rsidR="00177EDF" w:rsidRDefault="00177EDF" w:rsidP="009B383D">
            <w:pPr>
              <w:rPr>
                <w:sz w:val="18"/>
                <w:szCs w:val="18"/>
              </w:rPr>
            </w:pPr>
            <w:r w:rsidRPr="0066298F">
              <w:rPr>
                <w:sz w:val="18"/>
                <w:szCs w:val="18"/>
              </w:rPr>
              <w:t>Uganda</w:t>
            </w:r>
          </w:p>
          <w:p w:rsidR="00177EDF" w:rsidRPr="0066298F" w:rsidRDefault="00177EDF" w:rsidP="000D67D6">
            <w:pPr>
              <w:ind w:left="180" w:hanging="180"/>
              <w:rPr>
                <w:sz w:val="18"/>
                <w:szCs w:val="18"/>
              </w:rPr>
            </w:pPr>
            <w:r>
              <w:rPr>
                <w:sz w:val="18"/>
                <w:szCs w:val="18"/>
              </w:rPr>
              <w:t>United Republic of Tanzania</w:t>
            </w:r>
          </w:p>
          <w:p w:rsidR="00177EDF" w:rsidRPr="0066298F" w:rsidRDefault="00177EDF" w:rsidP="009B383D">
            <w:pPr>
              <w:rPr>
                <w:sz w:val="18"/>
                <w:szCs w:val="18"/>
              </w:rPr>
            </w:pPr>
            <w:r w:rsidRPr="0066298F">
              <w:rPr>
                <w:sz w:val="18"/>
                <w:szCs w:val="18"/>
              </w:rPr>
              <w:t>Zambia</w:t>
            </w:r>
          </w:p>
          <w:p w:rsidR="00177EDF" w:rsidRPr="00B873A9" w:rsidRDefault="00177EDF" w:rsidP="009B383D">
            <w:pPr>
              <w:rPr>
                <w:sz w:val="18"/>
                <w:szCs w:val="18"/>
              </w:rPr>
            </w:pPr>
            <w:r w:rsidRPr="0066298F">
              <w:rPr>
                <w:sz w:val="18"/>
                <w:szCs w:val="18"/>
              </w:rPr>
              <w:t>Zimbabwe</w:t>
            </w:r>
          </w:p>
        </w:tc>
        <w:tc>
          <w:tcPr>
            <w:tcW w:w="2187" w:type="dxa"/>
            <w:shd w:val="clear" w:color="auto" w:fill="auto"/>
          </w:tcPr>
          <w:p w:rsidR="00177EDF" w:rsidRPr="00DA65D6" w:rsidRDefault="00177EDF" w:rsidP="009B383D">
            <w:pPr>
              <w:ind w:left="162" w:hanging="162"/>
              <w:rPr>
                <w:sz w:val="18"/>
                <w:szCs w:val="18"/>
              </w:rPr>
            </w:pPr>
            <w:r w:rsidRPr="00DA65D6">
              <w:rPr>
                <w:sz w:val="18"/>
                <w:szCs w:val="18"/>
              </w:rPr>
              <w:t>Angola</w:t>
            </w:r>
          </w:p>
          <w:p w:rsidR="00177EDF" w:rsidRPr="00DA65D6" w:rsidRDefault="00177EDF" w:rsidP="009B383D">
            <w:pPr>
              <w:ind w:left="162" w:hanging="162"/>
              <w:rPr>
                <w:sz w:val="18"/>
                <w:szCs w:val="18"/>
              </w:rPr>
            </w:pPr>
            <w:r w:rsidRPr="00DA65D6">
              <w:rPr>
                <w:sz w:val="18"/>
                <w:szCs w:val="18"/>
              </w:rPr>
              <w:t>Bolivia</w:t>
            </w:r>
            <w:r w:rsidR="00015F15">
              <w:rPr>
                <w:sz w:val="18"/>
                <w:szCs w:val="18"/>
              </w:rPr>
              <w:t xml:space="preserve"> (Plurinational State of)</w:t>
            </w:r>
          </w:p>
          <w:p w:rsidR="00177EDF" w:rsidRPr="00DA65D6" w:rsidRDefault="00177EDF" w:rsidP="009B383D">
            <w:pPr>
              <w:ind w:left="162" w:hanging="162"/>
              <w:rPr>
                <w:sz w:val="18"/>
                <w:szCs w:val="18"/>
              </w:rPr>
            </w:pPr>
            <w:r w:rsidRPr="00DA65D6">
              <w:rPr>
                <w:sz w:val="18"/>
                <w:szCs w:val="18"/>
              </w:rPr>
              <w:t>Cape Verde</w:t>
            </w:r>
          </w:p>
          <w:p w:rsidR="00177EDF" w:rsidRPr="00DA65D6" w:rsidRDefault="00177EDF" w:rsidP="009B383D">
            <w:pPr>
              <w:ind w:left="162" w:hanging="162"/>
              <w:rPr>
                <w:sz w:val="18"/>
                <w:szCs w:val="18"/>
              </w:rPr>
            </w:pPr>
            <w:r w:rsidRPr="00DA65D6">
              <w:rPr>
                <w:sz w:val="18"/>
                <w:szCs w:val="18"/>
              </w:rPr>
              <w:t>Congo</w:t>
            </w:r>
          </w:p>
          <w:p w:rsidR="006F19B4" w:rsidRDefault="006F19B4" w:rsidP="009B383D">
            <w:pPr>
              <w:ind w:left="162" w:hanging="162"/>
              <w:rPr>
                <w:sz w:val="18"/>
                <w:szCs w:val="18"/>
              </w:rPr>
            </w:pPr>
            <w:r w:rsidRPr="001C3762">
              <w:rPr>
                <w:sz w:val="18"/>
                <w:szCs w:val="18"/>
              </w:rPr>
              <w:t>Democratic People's Republic of</w:t>
            </w:r>
            <w:r>
              <w:rPr>
                <w:sz w:val="18"/>
                <w:szCs w:val="18"/>
              </w:rPr>
              <w:t xml:space="preserve"> Korea</w:t>
            </w:r>
          </w:p>
          <w:p w:rsidR="00177EDF" w:rsidRPr="00DA65D6" w:rsidRDefault="00177EDF" w:rsidP="009B383D">
            <w:pPr>
              <w:ind w:left="162" w:hanging="162"/>
              <w:rPr>
                <w:sz w:val="18"/>
                <w:szCs w:val="18"/>
              </w:rPr>
            </w:pPr>
            <w:r w:rsidRPr="00DA65D6">
              <w:rPr>
                <w:sz w:val="18"/>
                <w:szCs w:val="18"/>
              </w:rPr>
              <w:t>Ghana</w:t>
            </w:r>
          </w:p>
          <w:p w:rsidR="00177EDF" w:rsidRPr="00DA65D6" w:rsidRDefault="00177EDF" w:rsidP="009B383D">
            <w:pPr>
              <w:ind w:left="162" w:hanging="162"/>
              <w:rPr>
                <w:sz w:val="18"/>
                <w:szCs w:val="18"/>
              </w:rPr>
            </w:pPr>
            <w:r w:rsidRPr="00DA65D6">
              <w:rPr>
                <w:sz w:val="18"/>
                <w:szCs w:val="18"/>
              </w:rPr>
              <w:t>Guatemala</w:t>
            </w:r>
          </w:p>
          <w:p w:rsidR="00177EDF" w:rsidRPr="00DA65D6" w:rsidRDefault="00177EDF" w:rsidP="009B383D">
            <w:pPr>
              <w:ind w:left="162" w:hanging="162"/>
              <w:rPr>
                <w:sz w:val="18"/>
                <w:szCs w:val="18"/>
              </w:rPr>
            </w:pPr>
            <w:r w:rsidRPr="00DA65D6">
              <w:rPr>
                <w:sz w:val="18"/>
                <w:szCs w:val="18"/>
              </w:rPr>
              <w:t>Honduras</w:t>
            </w:r>
          </w:p>
          <w:p w:rsidR="006F19B4" w:rsidRDefault="00177EDF" w:rsidP="009B383D">
            <w:pPr>
              <w:ind w:left="162" w:hanging="162"/>
              <w:rPr>
                <w:sz w:val="18"/>
                <w:szCs w:val="18"/>
              </w:rPr>
            </w:pPr>
            <w:r>
              <w:rPr>
                <w:sz w:val="18"/>
                <w:szCs w:val="18"/>
              </w:rPr>
              <w:t>India</w:t>
            </w:r>
          </w:p>
          <w:p w:rsidR="00177EDF" w:rsidRPr="00DA65D6" w:rsidRDefault="00177EDF" w:rsidP="009B383D">
            <w:pPr>
              <w:ind w:left="162" w:hanging="162"/>
              <w:rPr>
                <w:sz w:val="18"/>
                <w:szCs w:val="18"/>
              </w:rPr>
            </w:pPr>
            <w:r w:rsidRPr="00DA65D6">
              <w:rPr>
                <w:sz w:val="18"/>
                <w:szCs w:val="18"/>
              </w:rPr>
              <w:t>Kyrgyz Republic</w:t>
            </w:r>
          </w:p>
          <w:p w:rsidR="00177EDF" w:rsidRPr="001C3762" w:rsidRDefault="00177EDF" w:rsidP="009B383D">
            <w:pPr>
              <w:ind w:left="162" w:hanging="162"/>
              <w:rPr>
                <w:sz w:val="18"/>
                <w:szCs w:val="18"/>
              </w:rPr>
            </w:pPr>
            <w:r w:rsidRPr="001C3762">
              <w:rPr>
                <w:sz w:val="18"/>
                <w:szCs w:val="18"/>
              </w:rPr>
              <w:t>Lao</w:t>
            </w:r>
            <w:r>
              <w:rPr>
                <w:sz w:val="18"/>
                <w:szCs w:val="18"/>
              </w:rPr>
              <w:t xml:space="preserve"> People’s </w:t>
            </w:r>
            <w:r w:rsidRPr="001C3762">
              <w:rPr>
                <w:sz w:val="18"/>
                <w:szCs w:val="18"/>
              </w:rPr>
              <w:t>D</w:t>
            </w:r>
            <w:r>
              <w:rPr>
                <w:sz w:val="18"/>
                <w:szCs w:val="18"/>
              </w:rPr>
              <w:t xml:space="preserve">emocratic </w:t>
            </w:r>
            <w:r w:rsidRPr="001C3762">
              <w:rPr>
                <w:sz w:val="18"/>
                <w:szCs w:val="18"/>
              </w:rPr>
              <w:t>R</w:t>
            </w:r>
            <w:r>
              <w:rPr>
                <w:sz w:val="18"/>
                <w:szCs w:val="18"/>
              </w:rPr>
              <w:t>epublic</w:t>
            </w:r>
          </w:p>
          <w:p w:rsidR="00177EDF" w:rsidRDefault="00177EDF" w:rsidP="009B383D">
            <w:pPr>
              <w:ind w:left="162" w:hanging="162"/>
              <w:rPr>
                <w:sz w:val="18"/>
                <w:szCs w:val="18"/>
              </w:rPr>
            </w:pPr>
            <w:r w:rsidRPr="001C3762">
              <w:rPr>
                <w:sz w:val="18"/>
                <w:szCs w:val="18"/>
              </w:rPr>
              <w:t>Myanmar</w:t>
            </w:r>
          </w:p>
          <w:p w:rsidR="00177EDF" w:rsidRPr="001C3762" w:rsidRDefault="00177EDF" w:rsidP="009B383D">
            <w:pPr>
              <w:ind w:left="162" w:hanging="162"/>
              <w:rPr>
                <w:sz w:val="18"/>
                <w:szCs w:val="18"/>
              </w:rPr>
            </w:pPr>
            <w:r>
              <w:rPr>
                <w:sz w:val="18"/>
                <w:szCs w:val="18"/>
              </w:rPr>
              <w:t>Nicaragua</w:t>
            </w:r>
          </w:p>
          <w:p w:rsidR="00177EDF" w:rsidRDefault="00177EDF" w:rsidP="009B383D">
            <w:pPr>
              <w:ind w:left="162" w:hanging="162"/>
              <w:rPr>
                <w:sz w:val="18"/>
                <w:szCs w:val="18"/>
              </w:rPr>
            </w:pPr>
            <w:r w:rsidRPr="001C3762">
              <w:rPr>
                <w:sz w:val="18"/>
                <w:szCs w:val="18"/>
              </w:rPr>
              <w:t xml:space="preserve">Pakistan </w:t>
            </w:r>
          </w:p>
          <w:p w:rsidR="00177EDF" w:rsidRPr="001C3762" w:rsidRDefault="00177EDF" w:rsidP="009B383D">
            <w:pPr>
              <w:ind w:left="162" w:hanging="162"/>
              <w:rPr>
                <w:sz w:val="18"/>
                <w:szCs w:val="18"/>
              </w:rPr>
            </w:pPr>
            <w:r w:rsidRPr="001C3762">
              <w:rPr>
                <w:sz w:val="18"/>
                <w:szCs w:val="18"/>
              </w:rPr>
              <w:t>Papua New Guinea</w:t>
            </w:r>
          </w:p>
          <w:p w:rsidR="00177EDF" w:rsidRDefault="00177EDF" w:rsidP="009B383D">
            <w:pPr>
              <w:ind w:left="162" w:hanging="162"/>
              <w:rPr>
                <w:sz w:val="18"/>
                <w:szCs w:val="18"/>
              </w:rPr>
            </w:pPr>
            <w:r w:rsidRPr="001C3762">
              <w:rPr>
                <w:sz w:val="18"/>
                <w:szCs w:val="18"/>
              </w:rPr>
              <w:t>Philippines</w:t>
            </w:r>
          </w:p>
          <w:p w:rsidR="00177EDF" w:rsidRPr="001C3762" w:rsidRDefault="00177EDF" w:rsidP="009B383D">
            <w:pPr>
              <w:ind w:left="162" w:hanging="162"/>
              <w:rPr>
                <w:sz w:val="18"/>
                <w:szCs w:val="18"/>
              </w:rPr>
            </w:pPr>
            <w:r>
              <w:rPr>
                <w:sz w:val="18"/>
                <w:szCs w:val="18"/>
              </w:rPr>
              <w:t>Sao Tome and Principe</w:t>
            </w:r>
          </w:p>
          <w:p w:rsidR="00177EDF" w:rsidRPr="00DA65D6" w:rsidRDefault="00177EDF" w:rsidP="009B383D">
            <w:pPr>
              <w:ind w:left="162" w:hanging="162"/>
              <w:rPr>
                <w:sz w:val="18"/>
                <w:szCs w:val="18"/>
              </w:rPr>
            </w:pPr>
            <w:r w:rsidRPr="00DA65D6">
              <w:rPr>
                <w:sz w:val="18"/>
                <w:szCs w:val="18"/>
              </w:rPr>
              <w:t>Swaziland</w:t>
            </w:r>
          </w:p>
          <w:p w:rsidR="00177EDF" w:rsidRPr="00DA65D6" w:rsidRDefault="00177EDF" w:rsidP="009B383D">
            <w:pPr>
              <w:ind w:left="162" w:hanging="162"/>
              <w:rPr>
                <w:sz w:val="18"/>
                <w:szCs w:val="18"/>
              </w:rPr>
            </w:pPr>
            <w:r w:rsidRPr="00DA65D6">
              <w:rPr>
                <w:sz w:val="18"/>
                <w:szCs w:val="18"/>
              </w:rPr>
              <w:t>Tajikistan</w:t>
            </w:r>
          </w:p>
          <w:p w:rsidR="00177EDF" w:rsidRDefault="00177EDF" w:rsidP="009B383D">
            <w:pPr>
              <w:ind w:left="162" w:hanging="162"/>
              <w:rPr>
                <w:sz w:val="18"/>
                <w:szCs w:val="18"/>
              </w:rPr>
            </w:pPr>
            <w:r w:rsidRPr="001C3762">
              <w:rPr>
                <w:sz w:val="18"/>
                <w:szCs w:val="18"/>
              </w:rPr>
              <w:t>Timor-Leste</w:t>
            </w:r>
          </w:p>
          <w:p w:rsidR="00177EDF" w:rsidRPr="00823372" w:rsidRDefault="00177EDF" w:rsidP="009B383D">
            <w:pPr>
              <w:ind w:left="162" w:hanging="162"/>
              <w:rPr>
                <w:sz w:val="18"/>
                <w:szCs w:val="18"/>
              </w:rPr>
            </w:pPr>
            <w:r w:rsidRPr="00823372">
              <w:rPr>
                <w:sz w:val="18"/>
                <w:szCs w:val="18"/>
              </w:rPr>
              <w:t>Yemen</w:t>
            </w:r>
          </w:p>
        </w:tc>
        <w:tc>
          <w:tcPr>
            <w:tcW w:w="2187" w:type="dxa"/>
            <w:shd w:val="clear" w:color="auto" w:fill="auto"/>
          </w:tcPr>
          <w:p w:rsidR="00177EDF" w:rsidRPr="00DA65D6" w:rsidRDefault="00177EDF" w:rsidP="009B383D">
            <w:pPr>
              <w:rPr>
                <w:sz w:val="18"/>
                <w:szCs w:val="18"/>
              </w:rPr>
            </w:pPr>
            <w:r w:rsidRPr="00DA65D6">
              <w:rPr>
                <w:sz w:val="18"/>
                <w:szCs w:val="18"/>
              </w:rPr>
              <w:t>Bhutan</w:t>
            </w:r>
          </w:p>
          <w:p w:rsidR="00177EDF" w:rsidRPr="00DA65D6" w:rsidRDefault="00177EDF" w:rsidP="009B383D">
            <w:pPr>
              <w:rPr>
                <w:sz w:val="18"/>
                <w:szCs w:val="18"/>
              </w:rPr>
            </w:pPr>
            <w:r w:rsidRPr="00DA65D6">
              <w:rPr>
                <w:sz w:val="18"/>
                <w:szCs w:val="18"/>
              </w:rPr>
              <w:t>Djibouti</w:t>
            </w:r>
          </w:p>
          <w:p w:rsidR="00177EDF" w:rsidRPr="00DA65D6" w:rsidRDefault="00177EDF" w:rsidP="009B383D">
            <w:pPr>
              <w:rPr>
                <w:sz w:val="18"/>
                <w:szCs w:val="18"/>
              </w:rPr>
            </w:pPr>
            <w:r>
              <w:rPr>
                <w:sz w:val="18"/>
                <w:szCs w:val="18"/>
              </w:rPr>
              <w:t>Egypt</w:t>
            </w:r>
          </w:p>
          <w:p w:rsidR="00177EDF" w:rsidRPr="00DA65D6" w:rsidRDefault="00177EDF" w:rsidP="009B383D">
            <w:pPr>
              <w:rPr>
                <w:sz w:val="18"/>
                <w:szCs w:val="18"/>
              </w:rPr>
            </w:pPr>
            <w:r w:rsidRPr="00DA65D6">
              <w:rPr>
                <w:sz w:val="18"/>
                <w:szCs w:val="18"/>
              </w:rPr>
              <w:t>El Salvador</w:t>
            </w:r>
          </w:p>
          <w:p w:rsidR="00177EDF" w:rsidRPr="00DA65D6" w:rsidRDefault="00177EDF" w:rsidP="009B383D">
            <w:pPr>
              <w:rPr>
                <w:sz w:val="18"/>
                <w:szCs w:val="18"/>
              </w:rPr>
            </w:pPr>
            <w:r w:rsidRPr="00DA65D6">
              <w:rPr>
                <w:sz w:val="18"/>
                <w:szCs w:val="18"/>
              </w:rPr>
              <w:t>Gabon</w:t>
            </w:r>
          </w:p>
          <w:p w:rsidR="00177EDF" w:rsidRPr="00DA65D6" w:rsidRDefault="00177EDF" w:rsidP="009B383D">
            <w:pPr>
              <w:rPr>
                <w:sz w:val="18"/>
                <w:szCs w:val="18"/>
              </w:rPr>
            </w:pPr>
            <w:r w:rsidRPr="00DA65D6">
              <w:rPr>
                <w:sz w:val="18"/>
                <w:szCs w:val="18"/>
              </w:rPr>
              <w:t>Georgia</w:t>
            </w:r>
          </w:p>
          <w:p w:rsidR="00177EDF" w:rsidRDefault="00177EDF" w:rsidP="009B383D">
            <w:pPr>
              <w:rPr>
                <w:sz w:val="18"/>
                <w:szCs w:val="18"/>
              </w:rPr>
            </w:pPr>
            <w:r w:rsidRPr="00DA65D6">
              <w:rPr>
                <w:sz w:val="18"/>
                <w:szCs w:val="18"/>
              </w:rPr>
              <w:t>Indonesia</w:t>
            </w:r>
          </w:p>
          <w:p w:rsidR="00177EDF" w:rsidRPr="00DA65D6" w:rsidRDefault="00177EDF" w:rsidP="009B383D">
            <w:pPr>
              <w:rPr>
                <w:sz w:val="18"/>
                <w:szCs w:val="18"/>
              </w:rPr>
            </w:pPr>
            <w:r>
              <w:rPr>
                <w:sz w:val="18"/>
                <w:szCs w:val="18"/>
              </w:rPr>
              <w:t>Iraq</w:t>
            </w:r>
          </w:p>
          <w:p w:rsidR="00177EDF" w:rsidRPr="00DA65D6" w:rsidRDefault="00177EDF" w:rsidP="009B383D">
            <w:pPr>
              <w:rPr>
                <w:sz w:val="18"/>
                <w:szCs w:val="18"/>
              </w:rPr>
            </w:pPr>
            <w:r w:rsidRPr="00DA65D6">
              <w:rPr>
                <w:sz w:val="18"/>
                <w:szCs w:val="18"/>
              </w:rPr>
              <w:t>Morocco</w:t>
            </w:r>
          </w:p>
          <w:p w:rsidR="00177EDF" w:rsidRPr="00DA65D6" w:rsidRDefault="00177EDF" w:rsidP="009B383D">
            <w:pPr>
              <w:rPr>
                <w:sz w:val="18"/>
                <w:szCs w:val="18"/>
              </w:rPr>
            </w:pPr>
            <w:r w:rsidRPr="00DA65D6">
              <w:rPr>
                <w:sz w:val="18"/>
                <w:szCs w:val="18"/>
              </w:rPr>
              <w:t>Multi-country Pacific</w:t>
            </w:r>
            <w:r w:rsidRPr="00DA65D6">
              <w:rPr>
                <w:rStyle w:val="FootnoteReference"/>
                <w:sz w:val="18"/>
                <w:szCs w:val="18"/>
                <w:vertAlign w:val="superscript"/>
              </w:rPr>
              <w:footnoteReference w:id="10"/>
            </w:r>
          </w:p>
          <w:p w:rsidR="00177EDF" w:rsidRPr="00DA65D6" w:rsidRDefault="00177EDF" w:rsidP="009B383D">
            <w:pPr>
              <w:rPr>
                <w:sz w:val="18"/>
                <w:szCs w:val="18"/>
              </w:rPr>
            </w:pPr>
            <w:r w:rsidRPr="00DA65D6">
              <w:rPr>
                <w:sz w:val="18"/>
                <w:szCs w:val="18"/>
              </w:rPr>
              <w:t>Namibia</w:t>
            </w:r>
          </w:p>
          <w:p w:rsidR="00177EDF" w:rsidRPr="00DA65D6" w:rsidRDefault="00177EDF" w:rsidP="009B383D">
            <w:pPr>
              <w:rPr>
                <w:sz w:val="18"/>
                <w:szCs w:val="18"/>
              </w:rPr>
            </w:pPr>
            <w:r w:rsidRPr="00DA65D6">
              <w:rPr>
                <w:sz w:val="18"/>
                <w:szCs w:val="18"/>
              </w:rPr>
              <w:t>Palestine</w:t>
            </w:r>
          </w:p>
          <w:p w:rsidR="00177EDF" w:rsidRPr="00DA65D6" w:rsidRDefault="00177EDF" w:rsidP="009B383D">
            <w:pPr>
              <w:rPr>
                <w:sz w:val="18"/>
                <w:szCs w:val="18"/>
              </w:rPr>
            </w:pPr>
            <w:r w:rsidRPr="00DA65D6">
              <w:rPr>
                <w:sz w:val="18"/>
                <w:szCs w:val="18"/>
              </w:rPr>
              <w:t>Panama</w:t>
            </w:r>
          </w:p>
          <w:p w:rsidR="00177EDF" w:rsidRPr="00DA65D6" w:rsidRDefault="00177EDF" w:rsidP="009B383D">
            <w:pPr>
              <w:rPr>
                <w:sz w:val="18"/>
                <w:szCs w:val="18"/>
              </w:rPr>
            </w:pPr>
            <w:r w:rsidRPr="00DA65D6">
              <w:rPr>
                <w:sz w:val="18"/>
                <w:szCs w:val="18"/>
              </w:rPr>
              <w:t>Paraguay</w:t>
            </w:r>
          </w:p>
          <w:p w:rsidR="00177EDF" w:rsidRPr="00DA65D6" w:rsidRDefault="00177EDF" w:rsidP="009B383D">
            <w:pPr>
              <w:rPr>
                <w:sz w:val="18"/>
                <w:szCs w:val="18"/>
              </w:rPr>
            </w:pPr>
            <w:r w:rsidRPr="00DA65D6">
              <w:rPr>
                <w:sz w:val="18"/>
                <w:szCs w:val="18"/>
              </w:rPr>
              <w:t>South Africa</w:t>
            </w:r>
          </w:p>
          <w:p w:rsidR="00177EDF" w:rsidRPr="00DA65D6" w:rsidRDefault="00177EDF" w:rsidP="009B383D">
            <w:pPr>
              <w:rPr>
                <w:sz w:val="18"/>
                <w:szCs w:val="18"/>
              </w:rPr>
            </w:pPr>
            <w:r w:rsidRPr="00DA65D6">
              <w:rPr>
                <w:sz w:val="18"/>
                <w:szCs w:val="18"/>
              </w:rPr>
              <w:t>Syrian Arab Republic</w:t>
            </w:r>
          </w:p>
          <w:p w:rsidR="00177EDF" w:rsidRDefault="00177EDF" w:rsidP="009B383D"/>
        </w:tc>
        <w:tc>
          <w:tcPr>
            <w:tcW w:w="2187" w:type="dxa"/>
            <w:shd w:val="clear" w:color="auto" w:fill="auto"/>
          </w:tcPr>
          <w:p w:rsidR="00177EDF" w:rsidRPr="00DA65D6" w:rsidRDefault="00177EDF" w:rsidP="009B383D">
            <w:pPr>
              <w:rPr>
                <w:sz w:val="18"/>
                <w:szCs w:val="18"/>
              </w:rPr>
            </w:pPr>
            <w:r w:rsidRPr="00DA65D6">
              <w:rPr>
                <w:sz w:val="18"/>
                <w:szCs w:val="18"/>
              </w:rPr>
              <w:t>Albania</w:t>
            </w:r>
          </w:p>
          <w:p w:rsidR="00177EDF" w:rsidRPr="00DA65D6" w:rsidRDefault="00177EDF" w:rsidP="009B383D">
            <w:pPr>
              <w:rPr>
                <w:sz w:val="18"/>
                <w:szCs w:val="18"/>
              </w:rPr>
            </w:pPr>
            <w:r w:rsidRPr="00DA65D6">
              <w:rPr>
                <w:sz w:val="18"/>
                <w:szCs w:val="18"/>
              </w:rPr>
              <w:t>Algeria</w:t>
            </w:r>
          </w:p>
          <w:p w:rsidR="00177EDF" w:rsidRPr="00DA65D6" w:rsidRDefault="00177EDF" w:rsidP="009B383D">
            <w:pPr>
              <w:rPr>
                <w:sz w:val="18"/>
                <w:szCs w:val="18"/>
              </w:rPr>
            </w:pPr>
            <w:r w:rsidRPr="00DA65D6">
              <w:rPr>
                <w:sz w:val="18"/>
                <w:szCs w:val="18"/>
              </w:rPr>
              <w:t>Argentina</w:t>
            </w:r>
          </w:p>
          <w:p w:rsidR="00177EDF" w:rsidRPr="00DA65D6" w:rsidRDefault="00177EDF" w:rsidP="009B383D">
            <w:pPr>
              <w:rPr>
                <w:sz w:val="18"/>
                <w:szCs w:val="18"/>
              </w:rPr>
            </w:pPr>
            <w:r w:rsidRPr="00DA65D6">
              <w:rPr>
                <w:sz w:val="18"/>
                <w:szCs w:val="18"/>
              </w:rPr>
              <w:t>Armenia</w:t>
            </w:r>
          </w:p>
          <w:p w:rsidR="00177EDF" w:rsidRPr="00DA65D6" w:rsidRDefault="00177EDF" w:rsidP="009B383D">
            <w:pPr>
              <w:rPr>
                <w:sz w:val="18"/>
                <w:szCs w:val="18"/>
              </w:rPr>
            </w:pPr>
            <w:r w:rsidRPr="00DA65D6">
              <w:rPr>
                <w:sz w:val="18"/>
                <w:szCs w:val="18"/>
              </w:rPr>
              <w:t>Azerbaijan</w:t>
            </w:r>
          </w:p>
          <w:p w:rsidR="00177EDF" w:rsidRPr="00DA65D6" w:rsidRDefault="00177EDF" w:rsidP="009B383D">
            <w:pPr>
              <w:rPr>
                <w:sz w:val="18"/>
                <w:szCs w:val="18"/>
              </w:rPr>
            </w:pPr>
            <w:r w:rsidRPr="00DA65D6">
              <w:rPr>
                <w:sz w:val="18"/>
                <w:szCs w:val="18"/>
              </w:rPr>
              <w:t>Belarus</w:t>
            </w:r>
          </w:p>
          <w:p w:rsidR="00177EDF" w:rsidRPr="00DA65D6" w:rsidRDefault="00177EDF" w:rsidP="009B383D">
            <w:pPr>
              <w:rPr>
                <w:sz w:val="18"/>
                <w:szCs w:val="18"/>
              </w:rPr>
            </w:pPr>
            <w:r w:rsidRPr="00DA65D6">
              <w:rPr>
                <w:sz w:val="18"/>
                <w:szCs w:val="18"/>
              </w:rPr>
              <w:t>Bosnia and Herzegovina</w:t>
            </w:r>
          </w:p>
          <w:p w:rsidR="00177EDF" w:rsidRPr="00DA65D6" w:rsidRDefault="00177EDF" w:rsidP="009B383D">
            <w:pPr>
              <w:rPr>
                <w:sz w:val="18"/>
                <w:szCs w:val="18"/>
              </w:rPr>
            </w:pPr>
            <w:r w:rsidRPr="00DA65D6">
              <w:rPr>
                <w:sz w:val="18"/>
                <w:szCs w:val="18"/>
              </w:rPr>
              <w:t>Botswana</w:t>
            </w:r>
          </w:p>
          <w:p w:rsidR="00177EDF" w:rsidRPr="00DA65D6" w:rsidRDefault="00177EDF" w:rsidP="009B383D">
            <w:pPr>
              <w:rPr>
                <w:sz w:val="18"/>
                <w:szCs w:val="18"/>
              </w:rPr>
            </w:pPr>
            <w:r w:rsidRPr="00DA65D6">
              <w:rPr>
                <w:sz w:val="18"/>
                <w:szCs w:val="18"/>
              </w:rPr>
              <w:t>Brazil</w:t>
            </w:r>
          </w:p>
          <w:p w:rsidR="00177EDF" w:rsidRPr="00DA65D6" w:rsidRDefault="00177EDF" w:rsidP="009B383D">
            <w:pPr>
              <w:rPr>
                <w:sz w:val="18"/>
                <w:szCs w:val="18"/>
              </w:rPr>
            </w:pPr>
            <w:r w:rsidRPr="00DA65D6">
              <w:rPr>
                <w:sz w:val="18"/>
                <w:szCs w:val="18"/>
              </w:rPr>
              <w:t>Chile</w:t>
            </w:r>
          </w:p>
          <w:p w:rsidR="00177EDF" w:rsidRPr="00DA65D6" w:rsidRDefault="00177EDF" w:rsidP="009B383D">
            <w:pPr>
              <w:rPr>
                <w:sz w:val="18"/>
                <w:szCs w:val="18"/>
              </w:rPr>
            </w:pPr>
            <w:r w:rsidRPr="00DA65D6">
              <w:rPr>
                <w:sz w:val="18"/>
                <w:szCs w:val="18"/>
              </w:rPr>
              <w:t>China</w:t>
            </w:r>
          </w:p>
          <w:p w:rsidR="00177EDF" w:rsidRPr="00DA65D6" w:rsidRDefault="00177EDF" w:rsidP="009B383D">
            <w:pPr>
              <w:rPr>
                <w:sz w:val="18"/>
                <w:szCs w:val="18"/>
              </w:rPr>
            </w:pPr>
            <w:r w:rsidRPr="00DA65D6">
              <w:rPr>
                <w:sz w:val="18"/>
                <w:szCs w:val="18"/>
              </w:rPr>
              <w:t>Colombia</w:t>
            </w:r>
          </w:p>
          <w:p w:rsidR="00177EDF" w:rsidRPr="00DA65D6" w:rsidRDefault="00177EDF" w:rsidP="009B383D">
            <w:pPr>
              <w:rPr>
                <w:sz w:val="18"/>
                <w:szCs w:val="18"/>
              </w:rPr>
            </w:pPr>
            <w:r w:rsidRPr="00DA65D6">
              <w:rPr>
                <w:sz w:val="18"/>
                <w:szCs w:val="18"/>
              </w:rPr>
              <w:t>Costa Rica</w:t>
            </w:r>
          </w:p>
          <w:p w:rsidR="00177EDF" w:rsidRPr="00DA65D6" w:rsidRDefault="00177EDF" w:rsidP="009B383D">
            <w:pPr>
              <w:rPr>
                <w:sz w:val="18"/>
                <w:szCs w:val="18"/>
              </w:rPr>
            </w:pPr>
            <w:r w:rsidRPr="00DA65D6">
              <w:rPr>
                <w:sz w:val="18"/>
                <w:szCs w:val="18"/>
              </w:rPr>
              <w:t>Cuba</w:t>
            </w:r>
          </w:p>
          <w:p w:rsidR="00177EDF" w:rsidRPr="00DA65D6" w:rsidRDefault="00177EDF" w:rsidP="009B383D">
            <w:pPr>
              <w:rPr>
                <w:sz w:val="18"/>
                <w:szCs w:val="18"/>
              </w:rPr>
            </w:pPr>
            <w:r w:rsidRPr="00DA65D6">
              <w:rPr>
                <w:sz w:val="18"/>
                <w:szCs w:val="18"/>
              </w:rPr>
              <w:t>Dominican Republic</w:t>
            </w:r>
          </w:p>
          <w:p w:rsidR="00177EDF" w:rsidRPr="00DA65D6" w:rsidRDefault="00177EDF" w:rsidP="009B383D">
            <w:pPr>
              <w:rPr>
                <w:sz w:val="18"/>
                <w:szCs w:val="18"/>
              </w:rPr>
            </w:pPr>
            <w:r w:rsidRPr="00DA65D6">
              <w:rPr>
                <w:sz w:val="18"/>
                <w:szCs w:val="18"/>
              </w:rPr>
              <w:t>Ecuador</w:t>
            </w:r>
          </w:p>
          <w:p w:rsidR="00177EDF" w:rsidRPr="00DA65D6" w:rsidRDefault="00177EDF" w:rsidP="009B383D">
            <w:pPr>
              <w:rPr>
                <w:sz w:val="18"/>
                <w:szCs w:val="18"/>
              </w:rPr>
            </w:pPr>
            <w:r w:rsidRPr="00DA65D6">
              <w:rPr>
                <w:sz w:val="18"/>
                <w:szCs w:val="18"/>
              </w:rPr>
              <w:t>Equatorial Guinea</w:t>
            </w:r>
          </w:p>
          <w:p w:rsidR="00177EDF" w:rsidRPr="00DA65D6" w:rsidRDefault="00177EDF" w:rsidP="009B383D">
            <w:pPr>
              <w:rPr>
                <w:sz w:val="18"/>
                <w:szCs w:val="18"/>
              </w:rPr>
            </w:pPr>
            <w:r w:rsidRPr="00DA65D6">
              <w:rPr>
                <w:sz w:val="18"/>
                <w:szCs w:val="18"/>
              </w:rPr>
              <w:t xml:space="preserve">Iran </w:t>
            </w:r>
            <w:r w:rsidR="00AA1446">
              <w:rPr>
                <w:sz w:val="18"/>
                <w:szCs w:val="18"/>
              </w:rPr>
              <w:t>(</w:t>
            </w:r>
            <w:r w:rsidRPr="00DA65D6">
              <w:rPr>
                <w:sz w:val="18"/>
                <w:szCs w:val="18"/>
              </w:rPr>
              <w:t>Islamic</w:t>
            </w:r>
            <w:r>
              <w:rPr>
                <w:sz w:val="18"/>
                <w:szCs w:val="18"/>
              </w:rPr>
              <w:t xml:space="preserve"> Republic</w:t>
            </w:r>
            <w:r w:rsidR="00AA1446">
              <w:rPr>
                <w:sz w:val="18"/>
                <w:szCs w:val="18"/>
              </w:rPr>
              <w:t xml:space="preserve"> of)</w:t>
            </w:r>
          </w:p>
          <w:p w:rsidR="00177EDF" w:rsidRPr="00DA65D6" w:rsidRDefault="00177EDF" w:rsidP="009B383D">
            <w:pPr>
              <w:rPr>
                <w:sz w:val="18"/>
                <w:szCs w:val="18"/>
              </w:rPr>
            </w:pPr>
            <w:r w:rsidRPr="00DA65D6">
              <w:rPr>
                <w:sz w:val="18"/>
                <w:szCs w:val="18"/>
              </w:rPr>
              <w:t>Jordan</w:t>
            </w:r>
          </w:p>
          <w:p w:rsidR="00177EDF" w:rsidRPr="00DA65D6" w:rsidRDefault="00177EDF" w:rsidP="009B383D">
            <w:pPr>
              <w:rPr>
                <w:sz w:val="18"/>
                <w:szCs w:val="18"/>
              </w:rPr>
            </w:pPr>
            <w:r w:rsidRPr="00DA65D6">
              <w:rPr>
                <w:sz w:val="18"/>
                <w:szCs w:val="18"/>
              </w:rPr>
              <w:t>Kazakhstan</w:t>
            </w:r>
          </w:p>
          <w:p w:rsidR="00177EDF" w:rsidRPr="00DA65D6" w:rsidRDefault="00177EDF" w:rsidP="009B383D">
            <w:pPr>
              <w:rPr>
                <w:sz w:val="18"/>
                <w:szCs w:val="18"/>
              </w:rPr>
            </w:pPr>
            <w:r w:rsidRPr="00DA65D6">
              <w:rPr>
                <w:sz w:val="18"/>
                <w:szCs w:val="18"/>
              </w:rPr>
              <w:t>Kosovo</w:t>
            </w:r>
          </w:p>
          <w:p w:rsidR="00177EDF" w:rsidRPr="00DA65D6" w:rsidRDefault="00177EDF" w:rsidP="009B383D">
            <w:pPr>
              <w:rPr>
                <w:sz w:val="18"/>
                <w:szCs w:val="18"/>
              </w:rPr>
            </w:pPr>
            <w:r w:rsidRPr="00DA65D6">
              <w:rPr>
                <w:sz w:val="18"/>
                <w:szCs w:val="18"/>
              </w:rPr>
              <w:t>Lebanon</w:t>
            </w:r>
          </w:p>
          <w:p w:rsidR="00177EDF" w:rsidRPr="00DA65D6" w:rsidRDefault="00177EDF" w:rsidP="009B383D">
            <w:pPr>
              <w:rPr>
                <w:sz w:val="18"/>
                <w:szCs w:val="18"/>
              </w:rPr>
            </w:pPr>
            <w:r w:rsidRPr="00DA65D6">
              <w:rPr>
                <w:sz w:val="18"/>
                <w:szCs w:val="18"/>
              </w:rPr>
              <w:t>Libya</w:t>
            </w:r>
          </w:p>
          <w:p w:rsidR="00177EDF" w:rsidRPr="00DA65D6" w:rsidRDefault="00177EDF" w:rsidP="009B383D">
            <w:pPr>
              <w:rPr>
                <w:sz w:val="18"/>
                <w:szCs w:val="18"/>
              </w:rPr>
            </w:pPr>
            <w:r w:rsidRPr="00DA65D6">
              <w:rPr>
                <w:sz w:val="18"/>
                <w:szCs w:val="18"/>
              </w:rPr>
              <w:t>Malaysi</w:t>
            </w:r>
            <w:r>
              <w:rPr>
                <w:sz w:val="18"/>
                <w:szCs w:val="18"/>
              </w:rPr>
              <w:t>a</w:t>
            </w:r>
          </w:p>
          <w:p w:rsidR="00177EDF" w:rsidRPr="00DA65D6" w:rsidRDefault="00177EDF" w:rsidP="009B383D">
            <w:pPr>
              <w:rPr>
                <w:sz w:val="18"/>
                <w:szCs w:val="18"/>
              </w:rPr>
            </w:pPr>
            <w:r w:rsidRPr="00DA65D6">
              <w:rPr>
                <w:sz w:val="18"/>
                <w:szCs w:val="18"/>
              </w:rPr>
              <w:t>Maldives</w:t>
            </w:r>
          </w:p>
          <w:p w:rsidR="00177EDF" w:rsidRPr="00DA65D6" w:rsidRDefault="00177EDF" w:rsidP="009B383D">
            <w:pPr>
              <w:rPr>
                <w:sz w:val="18"/>
                <w:szCs w:val="18"/>
              </w:rPr>
            </w:pPr>
            <w:r w:rsidRPr="00DA65D6">
              <w:rPr>
                <w:sz w:val="18"/>
                <w:szCs w:val="18"/>
              </w:rPr>
              <w:t>Mauritius</w:t>
            </w:r>
          </w:p>
          <w:p w:rsidR="00177EDF" w:rsidRPr="00DA65D6" w:rsidRDefault="00177EDF" w:rsidP="009B383D">
            <w:pPr>
              <w:rPr>
                <w:sz w:val="18"/>
                <w:szCs w:val="18"/>
              </w:rPr>
            </w:pPr>
            <w:r w:rsidRPr="00DA65D6">
              <w:rPr>
                <w:sz w:val="18"/>
                <w:szCs w:val="18"/>
              </w:rPr>
              <w:t>Mexico</w:t>
            </w:r>
          </w:p>
          <w:p w:rsidR="00177EDF" w:rsidRPr="00DA65D6" w:rsidRDefault="00177EDF" w:rsidP="009B383D">
            <w:pPr>
              <w:rPr>
                <w:sz w:val="18"/>
                <w:szCs w:val="18"/>
              </w:rPr>
            </w:pPr>
            <w:r w:rsidRPr="00DA65D6">
              <w:rPr>
                <w:sz w:val="18"/>
                <w:szCs w:val="18"/>
              </w:rPr>
              <w:t>Mongolia</w:t>
            </w:r>
          </w:p>
          <w:p w:rsidR="00177EDF" w:rsidRPr="0066298F" w:rsidRDefault="000D67D6" w:rsidP="00212013">
            <w:pPr>
              <w:ind w:left="189" w:hanging="180"/>
              <w:rPr>
                <w:sz w:val="18"/>
                <w:szCs w:val="18"/>
              </w:rPr>
            </w:pPr>
            <w:r>
              <w:rPr>
                <w:sz w:val="18"/>
                <w:szCs w:val="18"/>
              </w:rPr>
              <w:t>Multi-c</w:t>
            </w:r>
            <w:r w:rsidR="00177EDF" w:rsidRPr="00DA65D6">
              <w:rPr>
                <w:sz w:val="18"/>
                <w:szCs w:val="18"/>
              </w:rPr>
              <w:t>ountry Caribbean</w:t>
            </w:r>
            <w:r w:rsidR="00177EDF" w:rsidRPr="00DA65D6">
              <w:rPr>
                <w:rStyle w:val="FootnoteReference"/>
                <w:sz w:val="18"/>
                <w:szCs w:val="18"/>
                <w:vertAlign w:val="superscript"/>
              </w:rPr>
              <w:footnoteReference w:id="11"/>
            </w:r>
          </w:p>
          <w:p w:rsidR="00177EDF" w:rsidRPr="00DA65D6" w:rsidRDefault="00177EDF" w:rsidP="009B383D">
            <w:pPr>
              <w:rPr>
                <w:sz w:val="18"/>
                <w:szCs w:val="18"/>
              </w:rPr>
            </w:pPr>
            <w:r w:rsidRPr="00DA65D6">
              <w:rPr>
                <w:sz w:val="18"/>
                <w:szCs w:val="18"/>
              </w:rPr>
              <w:t>Oman</w:t>
            </w:r>
          </w:p>
          <w:p w:rsidR="00177EDF" w:rsidRPr="00DA65D6" w:rsidRDefault="00177EDF" w:rsidP="009B383D">
            <w:pPr>
              <w:rPr>
                <w:sz w:val="18"/>
                <w:szCs w:val="18"/>
              </w:rPr>
            </w:pPr>
            <w:r w:rsidRPr="00DA65D6">
              <w:rPr>
                <w:sz w:val="18"/>
                <w:szCs w:val="18"/>
              </w:rPr>
              <w:t>Peru</w:t>
            </w:r>
          </w:p>
          <w:p w:rsidR="00015F15" w:rsidRDefault="00015F15" w:rsidP="009B383D">
            <w:pPr>
              <w:rPr>
                <w:sz w:val="18"/>
                <w:szCs w:val="18"/>
              </w:rPr>
            </w:pPr>
            <w:r>
              <w:rPr>
                <w:sz w:val="18"/>
                <w:szCs w:val="18"/>
              </w:rPr>
              <w:t>Republic of Moldova</w:t>
            </w:r>
          </w:p>
          <w:p w:rsidR="00177EDF" w:rsidRPr="00DA65D6" w:rsidRDefault="00177EDF" w:rsidP="009B383D">
            <w:pPr>
              <w:rPr>
                <w:sz w:val="18"/>
                <w:szCs w:val="18"/>
              </w:rPr>
            </w:pPr>
            <w:r w:rsidRPr="00DA65D6">
              <w:rPr>
                <w:sz w:val="18"/>
                <w:szCs w:val="18"/>
              </w:rPr>
              <w:t>Serbia</w:t>
            </w:r>
          </w:p>
          <w:p w:rsidR="00177EDF" w:rsidRPr="00DA65D6" w:rsidRDefault="00177EDF" w:rsidP="009B383D">
            <w:pPr>
              <w:rPr>
                <w:sz w:val="18"/>
                <w:szCs w:val="18"/>
              </w:rPr>
            </w:pPr>
            <w:r w:rsidRPr="00DA65D6">
              <w:rPr>
                <w:sz w:val="18"/>
                <w:szCs w:val="18"/>
              </w:rPr>
              <w:t>Sri Lanka</w:t>
            </w:r>
          </w:p>
          <w:p w:rsidR="00177EDF" w:rsidRDefault="00177EDF" w:rsidP="009B383D">
            <w:pPr>
              <w:rPr>
                <w:sz w:val="18"/>
                <w:szCs w:val="18"/>
              </w:rPr>
            </w:pPr>
            <w:r w:rsidRPr="00DA65D6">
              <w:rPr>
                <w:sz w:val="18"/>
                <w:szCs w:val="18"/>
              </w:rPr>
              <w:t>Thailand</w:t>
            </w:r>
          </w:p>
          <w:p w:rsidR="00177EDF" w:rsidRPr="00DA65D6" w:rsidRDefault="00EF2932" w:rsidP="000D67D6">
            <w:pPr>
              <w:ind w:left="189" w:hanging="189"/>
              <w:rPr>
                <w:sz w:val="18"/>
                <w:szCs w:val="18"/>
              </w:rPr>
            </w:pPr>
            <w:r>
              <w:rPr>
                <w:sz w:val="18"/>
                <w:szCs w:val="18"/>
              </w:rPr>
              <w:t>t</w:t>
            </w:r>
            <w:r w:rsidR="000D67D6">
              <w:rPr>
                <w:sz w:val="18"/>
                <w:szCs w:val="18"/>
              </w:rPr>
              <w:t>he former Yugoslav Repu</w:t>
            </w:r>
            <w:r w:rsidR="00177EDF">
              <w:rPr>
                <w:sz w:val="18"/>
                <w:szCs w:val="18"/>
              </w:rPr>
              <w:t>blic of Macedonia</w:t>
            </w:r>
          </w:p>
          <w:p w:rsidR="00177EDF" w:rsidRPr="00DA65D6" w:rsidRDefault="00177EDF" w:rsidP="009B383D">
            <w:pPr>
              <w:rPr>
                <w:sz w:val="18"/>
                <w:szCs w:val="18"/>
              </w:rPr>
            </w:pPr>
            <w:r w:rsidRPr="00DA65D6">
              <w:rPr>
                <w:sz w:val="18"/>
                <w:szCs w:val="18"/>
              </w:rPr>
              <w:t>Tunisia</w:t>
            </w:r>
          </w:p>
          <w:p w:rsidR="00177EDF" w:rsidRPr="00DA65D6" w:rsidRDefault="00177EDF" w:rsidP="009B383D">
            <w:pPr>
              <w:rPr>
                <w:sz w:val="18"/>
                <w:szCs w:val="18"/>
              </w:rPr>
            </w:pPr>
            <w:r w:rsidRPr="00DA65D6">
              <w:rPr>
                <w:sz w:val="18"/>
                <w:szCs w:val="18"/>
              </w:rPr>
              <w:t>Turkey</w:t>
            </w:r>
          </w:p>
          <w:p w:rsidR="00177EDF" w:rsidRPr="00DA65D6" w:rsidRDefault="00177EDF" w:rsidP="009B383D">
            <w:pPr>
              <w:rPr>
                <w:sz w:val="18"/>
                <w:szCs w:val="18"/>
              </w:rPr>
            </w:pPr>
            <w:r w:rsidRPr="00DA65D6">
              <w:rPr>
                <w:sz w:val="18"/>
                <w:szCs w:val="18"/>
              </w:rPr>
              <w:t>Turkmenistan</w:t>
            </w:r>
          </w:p>
          <w:p w:rsidR="00177EDF" w:rsidRDefault="00177EDF" w:rsidP="009B383D">
            <w:pPr>
              <w:rPr>
                <w:sz w:val="18"/>
                <w:szCs w:val="18"/>
              </w:rPr>
            </w:pPr>
            <w:r>
              <w:rPr>
                <w:sz w:val="18"/>
                <w:szCs w:val="18"/>
              </w:rPr>
              <w:t>Ukraine</w:t>
            </w:r>
          </w:p>
          <w:p w:rsidR="00177EDF" w:rsidRPr="00DA65D6" w:rsidRDefault="00177EDF" w:rsidP="009B383D">
            <w:pPr>
              <w:rPr>
                <w:sz w:val="18"/>
                <w:szCs w:val="18"/>
              </w:rPr>
            </w:pPr>
            <w:r w:rsidRPr="00DA65D6">
              <w:rPr>
                <w:sz w:val="18"/>
                <w:szCs w:val="18"/>
              </w:rPr>
              <w:t>Uruguay</w:t>
            </w:r>
          </w:p>
          <w:p w:rsidR="00177EDF" w:rsidRDefault="00177EDF" w:rsidP="009B383D">
            <w:pPr>
              <w:rPr>
                <w:sz w:val="18"/>
                <w:szCs w:val="18"/>
              </w:rPr>
            </w:pPr>
            <w:r>
              <w:rPr>
                <w:sz w:val="18"/>
                <w:szCs w:val="18"/>
              </w:rPr>
              <w:t>Uzbekistan</w:t>
            </w:r>
          </w:p>
          <w:p w:rsidR="00177EDF" w:rsidRPr="00DA65D6" w:rsidRDefault="00177EDF" w:rsidP="00212013">
            <w:pPr>
              <w:ind w:left="189" w:hanging="180"/>
              <w:rPr>
                <w:sz w:val="18"/>
                <w:szCs w:val="18"/>
              </w:rPr>
            </w:pPr>
            <w:r w:rsidRPr="00DA65D6">
              <w:rPr>
                <w:sz w:val="18"/>
                <w:szCs w:val="18"/>
              </w:rPr>
              <w:t>Venezuela</w:t>
            </w:r>
            <w:r w:rsidR="00015F15">
              <w:rPr>
                <w:sz w:val="18"/>
                <w:szCs w:val="18"/>
              </w:rPr>
              <w:t xml:space="preserve"> (Bolivarian Republic of)</w:t>
            </w:r>
          </w:p>
          <w:p w:rsidR="00177EDF" w:rsidRDefault="00177EDF" w:rsidP="00177EDF">
            <w:r w:rsidRPr="00DA65D6">
              <w:rPr>
                <w:sz w:val="18"/>
                <w:szCs w:val="18"/>
              </w:rPr>
              <w:t>Viet</w:t>
            </w:r>
            <w:r>
              <w:rPr>
                <w:sz w:val="18"/>
                <w:szCs w:val="18"/>
              </w:rPr>
              <w:t xml:space="preserve"> N</w:t>
            </w:r>
            <w:r w:rsidRPr="00DA65D6">
              <w:rPr>
                <w:sz w:val="18"/>
                <w:szCs w:val="18"/>
              </w:rPr>
              <w:t>am</w:t>
            </w:r>
          </w:p>
        </w:tc>
      </w:tr>
    </w:tbl>
    <w:p w:rsidR="00063312" w:rsidRDefault="00063312"/>
    <w:sectPr w:rsidR="00063312" w:rsidSect="00212013">
      <w:headerReference w:type="even" r:id="rId23"/>
      <w:headerReference w:type="default" r:id="rId24"/>
      <w:footerReference w:type="even" r:id="rId25"/>
      <w:footerReference w:type="default" r:id="rId26"/>
      <w:footnotePr>
        <w:numFmt w:val="chicago"/>
      </w:footnotePr>
      <w:pgSz w:w="12240" w:h="15840"/>
      <w:pgMar w:top="1440" w:right="1440" w:bottom="1440" w:left="1440" w:header="1008"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7C24" w:rsidRDefault="008C7C24" w:rsidP="00177EDF">
      <w:r>
        <w:separator/>
      </w:r>
    </w:p>
  </w:endnote>
  <w:endnote w:type="continuationSeparator" w:id="0">
    <w:p w:rsidR="008C7C24" w:rsidRDefault="008C7C24" w:rsidP="00177E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Times New Roman Bold">
    <w:panose1 w:val="02020803070505020304"/>
    <w:charset w:val="00"/>
    <w:family w:val="roman"/>
    <w:notTrueType/>
    <w:pitch w:val="variable"/>
    <w:sig w:usb0="00000003" w:usb1="00000000" w:usb2="00000000" w:usb3="00000000" w:csb0="00000001" w:csb1="00000000"/>
  </w:font>
  <w:font w:name="ヒラギノ角ゴ Pro W3">
    <w:panose1 w:val="00000000000000000000"/>
    <w:charset w:val="80"/>
    <w:family w:val="auto"/>
    <w:notTrueType/>
    <w:pitch w:val="variable"/>
    <w:sig w:usb0="01000000" w:usb1="00000000" w:usb2="07040001"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1A7" w:rsidRDefault="00AD21A7">
    <w:pPr>
      <w:pStyle w:val="Footer"/>
      <w:framePr w:wrap="around" w:vAnchor="text" w:hAnchor="margin" w:xAlign="outside" w:y="1"/>
      <w:rPr>
        <w:rStyle w:val="PageNumber"/>
        <w:b/>
        <w:bCs/>
        <w:sz w:val="18"/>
      </w:rPr>
    </w:pPr>
    <w:r>
      <w:rPr>
        <w:rStyle w:val="PageNumber"/>
        <w:b/>
        <w:bCs/>
        <w:sz w:val="18"/>
      </w:rPr>
      <w:fldChar w:fldCharType="begin"/>
    </w:r>
    <w:r>
      <w:rPr>
        <w:rStyle w:val="PageNumber"/>
        <w:b/>
        <w:bCs/>
        <w:sz w:val="18"/>
      </w:rPr>
      <w:instrText xml:space="preserve">PAGE  </w:instrText>
    </w:r>
    <w:r>
      <w:rPr>
        <w:rStyle w:val="PageNumber"/>
        <w:b/>
        <w:bCs/>
        <w:sz w:val="18"/>
      </w:rPr>
      <w:fldChar w:fldCharType="separate"/>
    </w:r>
    <w:r w:rsidR="00D57D99">
      <w:rPr>
        <w:rStyle w:val="PageNumber"/>
        <w:b/>
        <w:bCs/>
        <w:noProof/>
        <w:sz w:val="18"/>
      </w:rPr>
      <w:t>30</w:t>
    </w:r>
    <w:r>
      <w:rPr>
        <w:rStyle w:val="PageNumber"/>
        <w:b/>
        <w:bCs/>
        <w:sz w:val="18"/>
      </w:rPr>
      <w:fldChar w:fldCharType="end"/>
    </w:r>
  </w:p>
  <w:p w:rsidR="00AD21A7" w:rsidRDefault="00AD21A7">
    <w:pPr>
      <w:pStyle w:val="Footer"/>
      <w:ind w:right="360" w:firstLine="36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1A7" w:rsidRDefault="00AD21A7">
    <w:pPr>
      <w:pStyle w:val="Footer"/>
      <w:framePr w:wrap="around" w:vAnchor="text" w:hAnchor="margin" w:xAlign="outside" w:y="1"/>
      <w:rPr>
        <w:rStyle w:val="PageNumber"/>
        <w:b/>
        <w:bCs/>
        <w:sz w:val="18"/>
      </w:rPr>
    </w:pPr>
    <w:r>
      <w:rPr>
        <w:rStyle w:val="PageNumber"/>
        <w:b/>
        <w:bCs/>
        <w:sz w:val="18"/>
      </w:rPr>
      <w:fldChar w:fldCharType="begin"/>
    </w:r>
    <w:r>
      <w:rPr>
        <w:rStyle w:val="PageNumber"/>
        <w:b/>
        <w:bCs/>
        <w:sz w:val="18"/>
      </w:rPr>
      <w:instrText xml:space="preserve">PAGE  </w:instrText>
    </w:r>
    <w:r>
      <w:rPr>
        <w:rStyle w:val="PageNumber"/>
        <w:b/>
        <w:bCs/>
        <w:sz w:val="18"/>
      </w:rPr>
      <w:fldChar w:fldCharType="separate"/>
    </w:r>
    <w:r w:rsidR="00D57D99">
      <w:rPr>
        <w:rStyle w:val="PageNumber"/>
        <w:b/>
        <w:bCs/>
        <w:noProof/>
        <w:sz w:val="18"/>
      </w:rPr>
      <w:t>31</w:t>
    </w:r>
    <w:r>
      <w:rPr>
        <w:rStyle w:val="PageNumber"/>
        <w:b/>
        <w:bCs/>
        <w:sz w:val="18"/>
      </w:rPr>
      <w:fldChar w:fldCharType="end"/>
    </w:r>
  </w:p>
  <w:p w:rsidR="00AD21A7" w:rsidRDefault="00AD21A7">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7C24" w:rsidRDefault="008C7C24" w:rsidP="00177EDF">
      <w:r>
        <w:separator/>
      </w:r>
    </w:p>
  </w:footnote>
  <w:footnote w:type="continuationSeparator" w:id="0">
    <w:p w:rsidR="008C7C24" w:rsidRDefault="008C7C24" w:rsidP="00177EDF">
      <w:r>
        <w:continuationSeparator/>
      </w:r>
    </w:p>
  </w:footnote>
  <w:footnote w:id="1">
    <w:p w:rsidR="00AD21A7" w:rsidRPr="00611D51" w:rsidRDefault="00AD21A7" w:rsidP="00177EDF">
      <w:pPr>
        <w:pStyle w:val="FootnoteText"/>
        <w:rPr>
          <w:sz w:val="18"/>
        </w:rPr>
      </w:pPr>
      <w:r w:rsidRPr="00611D51">
        <w:rPr>
          <w:rStyle w:val="FootnoteReference"/>
          <w:sz w:val="18"/>
        </w:rPr>
        <w:footnoteRef/>
      </w:r>
      <w:r w:rsidRPr="00611D51">
        <w:rPr>
          <w:sz w:val="18"/>
        </w:rPr>
        <w:t xml:space="preserve"> According to DP-FPA/2010/1-E/ICEF/2010/AB/L.10 (“Joint report Road map to an integrated budget: cost classification and results-based budgeting”).</w:t>
      </w:r>
    </w:p>
  </w:footnote>
  <w:footnote w:id="2">
    <w:p w:rsidR="00AD21A7" w:rsidRPr="001D18CB" w:rsidRDefault="00AD21A7" w:rsidP="00177EDF">
      <w:pPr>
        <w:pStyle w:val="FootnoteText"/>
        <w:rPr>
          <w:sz w:val="18"/>
          <w:lang w:val="en-US"/>
        </w:rPr>
      </w:pPr>
      <w:r w:rsidRPr="001D18CB">
        <w:rPr>
          <w:rStyle w:val="FootnoteReference"/>
          <w:sz w:val="18"/>
        </w:rPr>
        <w:footnoteRef/>
      </w:r>
      <w:r w:rsidRPr="001D18CB">
        <w:rPr>
          <w:sz w:val="18"/>
        </w:rPr>
        <w:t xml:space="preserve"> </w:t>
      </w:r>
      <w:r w:rsidRPr="001D18CB">
        <w:rPr>
          <w:sz w:val="18"/>
          <w:lang w:val="en-US"/>
        </w:rPr>
        <w:t xml:space="preserve">See section IV for more information about this. </w:t>
      </w:r>
    </w:p>
  </w:footnote>
  <w:footnote w:id="3">
    <w:p w:rsidR="00AD21A7" w:rsidRPr="001D18CB" w:rsidRDefault="00AD21A7" w:rsidP="00177EDF">
      <w:pPr>
        <w:pStyle w:val="FootnoteText"/>
        <w:rPr>
          <w:lang w:val="en-US"/>
        </w:rPr>
      </w:pPr>
      <w:r w:rsidRPr="001D18CB">
        <w:rPr>
          <w:rStyle w:val="FootnoteReference"/>
          <w:sz w:val="18"/>
        </w:rPr>
        <w:footnoteRef/>
      </w:r>
      <w:r w:rsidRPr="001D18CB">
        <w:rPr>
          <w:sz w:val="18"/>
        </w:rPr>
        <w:t xml:space="preserve"> The countries in the pink quadrant are those with the lowest need and highest ability to finance</w:t>
      </w:r>
      <w:r>
        <w:rPr>
          <w:sz w:val="18"/>
        </w:rPr>
        <w:t xml:space="preserve"> their own programmatic interventions (see </w:t>
      </w:r>
      <w:r w:rsidRPr="001D18CB">
        <w:rPr>
          <w:sz w:val="18"/>
          <w:lang w:val="en-US"/>
        </w:rPr>
        <w:t>section IV for more information</w:t>
      </w:r>
      <w:r>
        <w:rPr>
          <w:sz w:val="18"/>
          <w:lang w:val="en-US"/>
        </w:rPr>
        <w:t xml:space="preserve"> about the classification).  The reason that they are focused on in this context is that ROs are expected to play a particularly active roles in their countries, as the country offices themselves typically have fewer staff than the country offices in countries in the red quadrant, for example.</w:t>
      </w:r>
    </w:p>
  </w:footnote>
  <w:footnote w:id="4">
    <w:p w:rsidR="00AD21A7" w:rsidRPr="00F9647B" w:rsidRDefault="00AD21A7" w:rsidP="00177EDF">
      <w:pPr>
        <w:pStyle w:val="FootnoteText"/>
        <w:rPr>
          <w:sz w:val="18"/>
        </w:rPr>
      </w:pPr>
      <w:r w:rsidRPr="00F9647B">
        <w:rPr>
          <w:rStyle w:val="FootnoteReference"/>
          <w:sz w:val="18"/>
        </w:rPr>
        <w:footnoteRef/>
      </w:r>
      <w:r w:rsidRPr="00F9647B">
        <w:rPr>
          <w:sz w:val="18"/>
        </w:rPr>
        <w:t xml:space="preserve"> The change from 133 to 134 countries is due to creation of South Sudan.</w:t>
      </w:r>
    </w:p>
  </w:footnote>
  <w:footnote w:id="5">
    <w:p w:rsidR="00AD21A7" w:rsidRPr="00F70C9E" w:rsidRDefault="00AD21A7" w:rsidP="00177EDF">
      <w:pPr>
        <w:pStyle w:val="FootnoteText"/>
        <w:rPr>
          <w:sz w:val="18"/>
        </w:rPr>
      </w:pPr>
      <w:r w:rsidRPr="00F70C9E">
        <w:rPr>
          <w:rStyle w:val="FootnoteReference"/>
          <w:sz w:val="18"/>
        </w:rPr>
        <w:footnoteRef/>
      </w:r>
      <w:r w:rsidRPr="00F70C9E">
        <w:rPr>
          <w:sz w:val="18"/>
        </w:rPr>
        <w:t xml:space="preserve"> This term is used throughout to refer to the states and territories in which UNFPA operates, which includes some territories that are not states and some multi-country groupings.</w:t>
      </w:r>
    </w:p>
  </w:footnote>
  <w:footnote w:id="6">
    <w:p w:rsidR="00AD21A7" w:rsidRPr="00C26D87" w:rsidRDefault="00AD21A7" w:rsidP="00177EDF">
      <w:pPr>
        <w:pStyle w:val="FootnoteText"/>
        <w:rPr>
          <w:sz w:val="18"/>
        </w:rPr>
      </w:pPr>
      <w:r w:rsidRPr="00C26D87">
        <w:rPr>
          <w:rStyle w:val="FootnoteReference"/>
          <w:sz w:val="18"/>
        </w:rPr>
        <w:footnoteRef/>
      </w:r>
      <w:r w:rsidRPr="00C26D87">
        <w:rPr>
          <w:sz w:val="18"/>
        </w:rPr>
        <w:t xml:space="preserve"> Barros et al (2012). Equity in maternal, newborn, and child health interventions in Countdown to 2015: a retrospective review of survey data from 54 countries. </w:t>
      </w:r>
      <w:r w:rsidRPr="00C26D87">
        <w:rPr>
          <w:i/>
          <w:sz w:val="18"/>
        </w:rPr>
        <w:t>The Lancet</w:t>
      </w:r>
      <w:r w:rsidRPr="00C26D87">
        <w:rPr>
          <w:sz w:val="18"/>
        </w:rPr>
        <w:t xml:space="preserve">, Vol 379, March 31, 2012. </w:t>
      </w:r>
    </w:p>
  </w:footnote>
  <w:footnote w:id="7">
    <w:p w:rsidR="00AD21A7" w:rsidRPr="00E71096" w:rsidRDefault="00AD21A7" w:rsidP="000B75F0">
      <w:pPr>
        <w:pStyle w:val="FootnoteText"/>
        <w:rPr>
          <w:sz w:val="18"/>
          <w:lang w:val="en-US"/>
        </w:rPr>
      </w:pPr>
      <w:r w:rsidRPr="00E71096">
        <w:rPr>
          <w:rStyle w:val="FootnoteReference"/>
          <w:sz w:val="18"/>
        </w:rPr>
        <w:footnoteRef/>
      </w:r>
      <w:r w:rsidRPr="00E71096">
        <w:rPr>
          <w:sz w:val="18"/>
        </w:rPr>
        <w:t xml:space="preserve"> </w:t>
      </w:r>
      <w:r w:rsidRPr="00E71096">
        <w:rPr>
          <w:sz w:val="18"/>
          <w:lang w:val="en-US"/>
        </w:rPr>
        <w:t>Available at http://data.worldbank.org/about/country-classifications/country-and-lending-groups.</w:t>
      </w:r>
    </w:p>
  </w:footnote>
  <w:footnote w:id="8">
    <w:p w:rsidR="00AD21A7" w:rsidRPr="007A5110" w:rsidRDefault="00AD21A7" w:rsidP="00177EDF">
      <w:pPr>
        <w:pStyle w:val="FootnoteText"/>
        <w:rPr>
          <w:sz w:val="18"/>
          <w:szCs w:val="18"/>
          <w:lang w:val="en-US"/>
        </w:rPr>
      </w:pPr>
      <w:r w:rsidRPr="007A5110">
        <w:rPr>
          <w:rStyle w:val="FootnoteReference"/>
          <w:sz w:val="18"/>
          <w:szCs w:val="18"/>
        </w:rPr>
        <w:footnoteRef/>
      </w:r>
      <w:r w:rsidRPr="007A5110">
        <w:rPr>
          <w:sz w:val="18"/>
          <w:szCs w:val="18"/>
        </w:rPr>
        <w:t xml:space="preserve"> Figures do not add to 100 per cent because of rounding</w:t>
      </w:r>
      <w:r>
        <w:rPr>
          <w:sz w:val="18"/>
          <w:szCs w:val="18"/>
        </w:rPr>
        <w:t>.</w:t>
      </w:r>
    </w:p>
  </w:footnote>
  <w:footnote w:id="9">
    <w:p w:rsidR="00AD21A7" w:rsidRPr="00D447BE" w:rsidRDefault="00AD21A7" w:rsidP="00177EDF">
      <w:pPr>
        <w:pStyle w:val="FootnoteText"/>
        <w:rPr>
          <w:sz w:val="18"/>
        </w:rPr>
      </w:pPr>
      <w:r w:rsidRPr="00D447BE">
        <w:rPr>
          <w:rStyle w:val="FootnoteReference"/>
          <w:sz w:val="18"/>
        </w:rPr>
        <w:footnoteRef/>
      </w:r>
      <w:r w:rsidRPr="00D447BE">
        <w:rPr>
          <w:sz w:val="18"/>
        </w:rPr>
        <w:t xml:space="preserve"> For these calculations, the multi-country programmes </w:t>
      </w:r>
      <w:r>
        <w:rPr>
          <w:sz w:val="18"/>
        </w:rPr>
        <w:t xml:space="preserve">in the South Pacific and in the Caribbean </w:t>
      </w:r>
      <w:r w:rsidRPr="00D447BE">
        <w:rPr>
          <w:sz w:val="18"/>
        </w:rPr>
        <w:t>are each counted as single countries</w:t>
      </w:r>
      <w:r>
        <w:rPr>
          <w:sz w:val="18"/>
        </w:rPr>
        <w:t xml:space="preserve"> because a single Country Programme Document is approved by the Executive Board for each of them</w:t>
      </w:r>
      <w:r w:rsidRPr="00D447BE">
        <w:rPr>
          <w:sz w:val="18"/>
        </w:rPr>
        <w:t>.</w:t>
      </w:r>
      <w:r>
        <w:rPr>
          <w:sz w:val="18"/>
        </w:rPr>
        <w:t xml:space="preserve">  However, the specific contexts of each country/territory within the multi-country programmes will be used for determining the appropriate programming strategies that are most applicable for that country/territory.</w:t>
      </w:r>
      <w:r w:rsidRPr="00D447BE">
        <w:rPr>
          <w:sz w:val="18"/>
        </w:rPr>
        <w:t xml:space="preserve">  The multi-country programme in the South Pacific is in the yellow quadrant, while that in the Caribbean is in the pink quadrant.</w:t>
      </w:r>
      <w:r>
        <w:rPr>
          <w:sz w:val="18"/>
        </w:rPr>
        <w:t xml:space="preserve">  In both cases, the classifications were made by combining indicator values in a population-weighted manner, but using an unweighted approached produces the same results.</w:t>
      </w:r>
    </w:p>
  </w:footnote>
  <w:footnote w:id="10">
    <w:p w:rsidR="00AD21A7" w:rsidRPr="00862F1E" w:rsidRDefault="00AD21A7" w:rsidP="00177EDF">
      <w:pPr>
        <w:pStyle w:val="FootnoteText"/>
        <w:rPr>
          <w:sz w:val="16"/>
          <w:szCs w:val="16"/>
        </w:rPr>
      </w:pPr>
      <w:r w:rsidRPr="00862F1E">
        <w:rPr>
          <w:rStyle w:val="FootnoteReference"/>
          <w:vertAlign w:val="superscript"/>
        </w:rPr>
        <w:footnoteRef/>
      </w:r>
      <w:r w:rsidRPr="00862F1E">
        <w:t xml:space="preserve"> </w:t>
      </w:r>
      <w:r w:rsidRPr="00862F1E">
        <w:rPr>
          <w:sz w:val="16"/>
          <w:szCs w:val="16"/>
        </w:rPr>
        <w:t>Cook Islands, Fiji, Micronesia</w:t>
      </w:r>
      <w:r>
        <w:rPr>
          <w:sz w:val="16"/>
          <w:szCs w:val="16"/>
        </w:rPr>
        <w:t xml:space="preserve"> (Federated </w:t>
      </w:r>
      <w:r w:rsidRPr="00862F1E">
        <w:rPr>
          <w:sz w:val="16"/>
          <w:szCs w:val="16"/>
        </w:rPr>
        <w:t>S</w:t>
      </w:r>
      <w:r>
        <w:rPr>
          <w:sz w:val="16"/>
          <w:szCs w:val="16"/>
        </w:rPr>
        <w:t>tates)</w:t>
      </w:r>
      <w:r w:rsidRPr="00862F1E">
        <w:rPr>
          <w:sz w:val="16"/>
          <w:szCs w:val="16"/>
        </w:rPr>
        <w:t xml:space="preserve">, Kiribati, Marshall Islands, Niue, Nauru, Palau, </w:t>
      </w:r>
      <w:r>
        <w:rPr>
          <w:sz w:val="16"/>
          <w:szCs w:val="16"/>
        </w:rPr>
        <w:t xml:space="preserve">Samoa, </w:t>
      </w:r>
      <w:r w:rsidRPr="00862F1E">
        <w:rPr>
          <w:sz w:val="16"/>
          <w:szCs w:val="16"/>
        </w:rPr>
        <w:t>Solomon Islands, T</w:t>
      </w:r>
      <w:r>
        <w:rPr>
          <w:sz w:val="16"/>
          <w:szCs w:val="16"/>
        </w:rPr>
        <w:t xml:space="preserve">okelau, Tonga, Tuvalu, </w:t>
      </w:r>
      <w:r w:rsidR="00015F15">
        <w:rPr>
          <w:sz w:val="16"/>
          <w:szCs w:val="16"/>
        </w:rPr>
        <w:t xml:space="preserve">and </w:t>
      </w:r>
      <w:r>
        <w:rPr>
          <w:sz w:val="16"/>
          <w:szCs w:val="16"/>
        </w:rPr>
        <w:t>Vanuatu.</w:t>
      </w:r>
    </w:p>
  </w:footnote>
  <w:footnote w:id="11">
    <w:p w:rsidR="00AD21A7" w:rsidRPr="00DA65D6" w:rsidRDefault="00AD21A7" w:rsidP="00177EDF">
      <w:pPr>
        <w:pStyle w:val="FootnoteText"/>
        <w:rPr>
          <w:sz w:val="16"/>
          <w:szCs w:val="16"/>
        </w:rPr>
      </w:pPr>
      <w:r w:rsidRPr="00862F1E">
        <w:rPr>
          <w:rStyle w:val="FootnoteReference"/>
          <w:vertAlign w:val="superscript"/>
        </w:rPr>
        <w:footnoteRef/>
      </w:r>
      <w:r w:rsidRPr="00862F1E">
        <w:rPr>
          <w:vertAlign w:val="superscript"/>
        </w:rPr>
        <w:t xml:space="preserve"> </w:t>
      </w:r>
      <w:r w:rsidRPr="00862F1E">
        <w:rPr>
          <w:sz w:val="16"/>
          <w:szCs w:val="16"/>
        </w:rPr>
        <w:t xml:space="preserve">Anguilla, Antigua and Barbuda, Aruba, Bahamas, Barbados, </w:t>
      </w:r>
      <w:r>
        <w:rPr>
          <w:sz w:val="16"/>
          <w:szCs w:val="16"/>
        </w:rPr>
        <w:t xml:space="preserve">Belize, </w:t>
      </w:r>
      <w:r w:rsidRPr="00862F1E">
        <w:rPr>
          <w:sz w:val="16"/>
          <w:szCs w:val="16"/>
        </w:rPr>
        <w:t xml:space="preserve">Bermuda, British Virgin Islands, Cayman Islands, </w:t>
      </w:r>
      <w:r>
        <w:rPr>
          <w:sz w:val="16"/>
          <w:szCs w:val="16"/>
        </w:rPr>
        <w:t xml:space="preserve">Curacao, </w:t>
      </w:r>
      <w:r w:rsidRPr="00862F1E">
        <w:rPr>
          <w:sz w:val="16"/>
          <w:szCs w:val="16"/>
        </w:rPr>
        <w:t xml:space="preserve">Dominica, Grenada, </w:t>
      </w:r>
      <w:r>
        <w:rPr>
          <w:sz w:val="16"/>
          <w:szCs w:val="16"/>
        </w:rPr>
        <w:t xml:space="preserve">Guyana, Jamaica, </w:t>
      </w:r>
      <w:r w:rsidRPr="00862F1E">
        <w:rPr>
          <w:sz w:val="16"/>
          <w:szCs w:val="16"/>
        </w:rPr>
        <w:t>Montserrat,</w:t>
      </w:r>
      <w:r>
        <w:rPr>
          <w:sz w:val="16"/>
          <w:szCs w:val="16"/>
        </w:rPr>
        <w:t xml:space="preserve"> </w:t>
      </w:r>
      <w:r w:rsidRPr="00862F1E">
        <w:rPr>
          <w:sz w:val="16"/>
          <w:szCs w:val="16"/>
        </w:rPr>
        <w:t xml:space="preserve">Netherlands Antilles, </w:t>
      </w:r>
      <w:r>
        <w:rPr>
          <w:sz w:val="16"/>
          <w:szCs w:val="16"/>
        </w:rPr>
        <w:t xml:space="preserve">St. Lucia, </w:t>
      </w:r>
      <w:r w:rsidRPr="00862F1E">
        <w:rPr>
          <w:sz w:val="16"/>
          <w:szCs w:val="16"/>
        </w:rPr>
        <w:t xml:space="preserve">St. Kitts and Nevis, </w:t>
      </w:r>
      <w:r>
        <w:rPr>
          <w:sz w:val="16"/>
          <w:szCs w:val="16"/>
        </w:rPr>
        <w:t xml:space="preserve">Saint Maarten (Dutch Part),St. Vincent and the Grenadines, Suriname, </w:t>
      </w:r>
      <w:r w:rsidRPr="00862F1E">
        <w:rPr>
          <w:sz w:val="16"/>
          <w:szCs w:val="16"/>
        </w:rPr>
        <w:t>Turks and Caicos</w:t>
      </w:r>
      <w:r>
        <w:rPr>
          <w:sz w:val="16"/>
          <w:szCs w:val="16"/>
        </w:rPr>
        <w:t xml:space="preserve">, </w:t>
      </w:r>
      <w:r w:rsidR="00015F15">
        <w:rPr>
          <w:sz w:val="16"/>
          <w:szCs w:val="16"/>
        </w:rPr>
        <w:t xml:space="preserve">and </w:t>
      </w:r>
      <w:r>
        <w:rPr>
          <w:sz w:val="16"/>
          <w:szCs w:val="16"/>
        </w:rPr>
        <w:t>Trinidad and Tobago.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1A7" w:rsidRDefault="00AD21A7">
    <w:pPr>
      <w:pStyle w:val="Header"/>
      <w:framePr w:wrap="around" w:vAnchor="text" w:hAnchor="margin" w:xAlign="right" w:y="1"/>
      <w:rPr>
        <w:rStyle w:val="PageNumber"/>
      </w:rPr>
    </w:pPr>
  </w:p>
  <w:p w:rsidR="00AD21A7" w:rsidRPr="009703FE" w:rsidRDefault="00AD21A7" w:rsidP="009B383D">
    <w:pPr>
      <w:pStyle w:val="Header"/>
      <w:tabs>
        <w:tab w:val="clear" w:pos="4320"/>
        <w:tab w:val="clear" w:pos="8640"/>
        <w:tab w:val="left" w:pos="1008"/>
        <w:tab w:val="left" w:pos="7200"/>
      </w:tabs>
      <w:spacing w:line="360" w:lineRule="auto"/>
      <w:ind w:left="-90" w:right="-90"/>
      <w:rPr>
        <w:b/>
        <w:bCs/>
        <w:sz w:val="18"/>
        <w:lang w:val="en-GB"/>
      </w:rPr>
    </w:pPr>
    <w:r>
      <w:rPr>
        <w:b/>
        <w:bCs/>
        <w:sz w:val="18"/>
        <w:lang w:val="en-GB"/>
      </w:rPr>
      <w:t>Annex 4</w:t>
    </w:r>
    <w:r w:rsidR="00015F15">
      <w:rPr>
        <w:b/>
        <w:bCs/>
        <w:sz w:val="18"/>
        <w:lang w:val="en-GB"/>
      </w:rPr>
      <w:t xml:space="preserve"> to the UNFPA Strategic Plan, 2014-2017</w:t>
    </w:r>
  </w:p>
  <w:p w:rsidR="00AD21A7" w:rsidRDefault="00AD21A7" w:rsidP="009B383D">
    <w:pPr>
      <w:pStyle w:val="Header"/>
      <w:tabs>
        <w:tab w:val="clear" w:pos="4320"/>
        <w:tab w:val="clear" w:pos="8640"/>
        <w:tab w:val="left" w:pos="720"/>
      </w:tabs>
      <w:spacing w:line="360" w:lineRule="auto"/>
      <w:jc w:val="both"/>
      <w:rPr>
        <w:b/>
        <w:bCs/>
        <w:sz w:val="18"/>
        <w:lang w:val="fr-FR"/>
      </w:rPr>
    </w:pPr>
    <w:r>
      <w:rPr>
        <w:b/>
        <w:bCs/>
        <w:noProof/>
        <w:lang w:val="en-US" w:eastAsia="en-US"/>
      </w:rPr>
      <mc:AlternateContent>
        <mc:Choice Requires="wps">
          <w:drawing>
            <wp:anchor distT="0" distB="0" distL="114300" distR="114300" simplePos="0" relativeHeight="251659264" behindDoc="0" locked="0" layoutInCell="1" allowOverlap="1" wp14:anchorId="55388FF3" wp14:editId="75F7334B">
              <wp:simplePos x="0" y="0"/>
              <wp:positionH relativeFrom="column">
                <wp:posOffset>-62865</wp:posOffset>
              </wp:positionH>
              <wp:positionV relativeFrom="paragraph">
                <wp:posOffset>34290</wp:posOffset>
              </wp:positionV>
              <wp:extent cx="6057900" cy="0"/>
              <wp:effectExtent l="0" t="0" r="0" b="0"/>
              <wp:wrapNone/>
              <wp:docPr id="6"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2.7pt" to="472.0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oW0EwIAACgEAAAOAAAAZHJzL2Uyb0RvYy54bWysU8uu2jAQ3VfqP1jeQxIau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"/>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1A7" w:rsidRDefault="00AD21A7">
    <w:pPr>
      <w:pStyle w:val="Header"/>
      <w:framePr w:wrap="around" w:vAnchor="text" w:hAnchor="margin" w:xAlign="right" w:y="1"/>
      <w:rPr>
        <w:rStyle w:val="PageNumber"/>
      </w:rPr>
    </w:pPr>
  </w:p>
  <w:p w:rsidR="00AD21A7" w:rsidRPr="009703FE" w:rsidRDefault="00AD21A7" w:rsidP="009B383D">
    <w:pPr>
      <w:pStyle w:val="Header"/>
      <w:tabs>
        <w:tab w:val="clear" w:pos="4320"/>
        <w:tab w:val="clear" w:pos="8640"/>
        <w:tab w:val="left" w:pos="1008"/>
        <w:tab w:val="left" w:pos="7200"/>
      </w:tabs>
      <w:spacing w:line="360" w:lineRule="auto"/>
      <w:ind w:right="90"/>
      <w:jc w:val="right"/>
      <w:rPr>
        <w:b/>
        <w:bCs/>
        <w:sz w:val="18"/>
        <w:lang w:val="en-GB"/>
      </w:rPr>
    </w:pPr>
    <w:r>
      <w:rPr>
        <w:b/>
        <w:bCs/>
        <w:sz w:val="18"/>
        <w:lang w:val="en-GB"/>
      </w:rPr>
      <w:t>Annex 4</w:t>
    </w:r>
    <w:r w:rsidR="00015F15">
      <w:rPr>
        <w:b/>
        <w:bCs/>
        <w:sz w:val="18"/>
        <w:lang w:val="en-GB"/>
      </w:rPr>
      <w:t xml:space="preserve"> to the UNFPA Strategic Plan, 2014-2017</w:t>
    </w:r>
  </w:p>
  <w:p w:rsidR="00AD21A7" w:rsidRDefault="00AD21A7">
    <w:pPr>
      <w:pStyle w:val="Header"/>
      <w:tabs>
        <w:tab w:val="clear" w:pos="4320"/>
        <w:tab w:val="clear" w:pos="8640"/>
        <w:tab w:val="left" w:pos="864"/>
      </w:tabs>
      <w:spacing w:line="360" w:lineRule="auto"/>
      <w:rPr>
        <w:lang w:val="fr-FR"/>
      </w:rPr>
    </w:pPr>
    <w:r>
      <w:rPr>
        <w:noProof/>
        <w:lang w:val="en-US" w:eastAsia="en-US"/>
      </w:rPr>
      <mc:AlternateContent>
        <mc:Choice Requires="wps">
          <w:drawing>
            <wp:anchor distT="0" distB="0" distL="114300" distR="114300" simplePos="0" relativeHeight="251660288" behindDoc="0" locked="0" layoutInCell="1" allowOverlap="1" wp14:anchorId="4133963D" wp14:editId="73176D4F">
              <wp:simplePos x="0" y="0"/>
              <wp:positionH relativeFrom="column">
                <wp:posOffset>-62865</wp:posOffset>
              </wp:positionH>
              <wp:positionV relativeFrom="paragraph">
                <wp:posOffset>34290</wp:posOffset>
              </wp:positionV>
              <wp:extent cx="5943600" cy="0"/>
              <wp:effectExtent l="0" t="0" r="0" b="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2.7pt" to="463.0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LqJ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&#1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92BAE"/>
    <w:multiLevelType w:val="hybridMultilevel"/>
    <w:tmpl w:val="C0C0007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EAD36E6"/>
    <w:multiLevelType w:val="hybridMultilevel"/>
    <w:tmpl w:val="A8EAC28C"/>
    <w:lvl w:ilvl="0" w:tplc="04090001">
      <w:start w:val="1"/>
      <w:numFmt w:val="bullet"/>
      <w:lvlText w:val=""/>
      <w:lvlJc w:val="left"/>
      <w:pPr>
        <w:ind w:left="1890" w:hanging="360"/>
      </w:pPr>
      <w:rPr>
        <w:rFonts w:ascii="Symbol" w:hAnsi="Symbol"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02475CE"/>
    <w:multiLevelType w:val="hybridMultilevel"/>
    <w:tmpl w:val="8244D89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8035201"/>
    <w:multiLevelType w:val="hybridMultilevel"/>
    <w:tmpl w:val="7792C2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8CD18E2"/>
    <w:multiLevelType w:val="hybridMultilevel"/>
    <w:tmpl w:val="8F10EB1E"/>
    <w:lvl w:ilvl="0" w:tplc="04090001">
      <w:start w:val="1"/>
      <w:numFmt w:val="bullet"/>
      <w:lvlText w:val=""/>
      <w:lvlJc w:val="left"/>
      <w:pPr>
        <w:ind w:left="1890" w:hanging="360"/>
      </w:pPr>
      <w:rPr>
        <w:rFonts w:ascii="Symbol" w:hAnsi="Symbol"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1065FC2"/>
    <w:multiLevelType w:val="hybridMultilevel"/>
    <w:tmpl w:val="AB0A2D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1EB5357"/>
    <w:multiLevelType w:val="hybridMultilevel"/>
    <w:tmpl w:val="0A6ABFF6"/>
    <w:lvl w:ilvl="0" w:tplc="04090001">
      <w:start w:val="1"/>
      <w:numFmt w:val="bullet"/>
      <w:lvlText w:val=""/>
      <w:lvlJc w:val="left"/>
      <w:pPr>
        <w:ind w:left="1890" w:hanging="360"/>
      </w:pPr>
      <w:rPr>
        <w:rFonts w:ascii="Symbol" w:hAnsi="Symbol"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347D576E"/>
    <w:multiLevelType w:val="hybridMultilevel"/>
    <w:tmpl w:val="DD2EC616"/>
    <w:lvl w:ilvl="0" w:tplc="04090001">
      <w:start w:val="1"/>
      <w:numFmt w:val="bullet"/>
      <w:lvlText w:val=""/>
      <w:lvlJc w:val="left"/>
      <w:pPr>
        <w:ind w:left="733" w:hanging="360"/>
      </w:pPr>
      <w:rPr>
        <w:rFonts w:ascii="Symbol" w:hAnsi="Symbol" w:hint="default"/>
      </w:rPr>
    </w:lvl>
    <w:lvl w:ilvl="1" w:tplc="04090003" w:tentative="1">
      <w:start w:val="1"/>
      <w:numFmt w:val="bullet"/>
      <w:lvlText w:val="o"/>
      <w:lvlJc w:val="left"/>
      <w:pPr>
        <w:ind w:left="1453" w:hanging="360"/>
      </w:pPr>
      <w:rPr>
        <w:rFonts w:ascii="Courier New" w:hAnsi="Courier New" w:cs="Courier New" w:hint="default"/>
      </w:rPr>
    </w:lvl>
    <w:lvl w:ilvl="2" w:tplc="04090005" w:tentative="1">
      <w:start w:val="1"/>
      <w:numFmt w:val="bullet"/>
      <w:lvlText w:val=""/>
      <w:lvlJc w:val="left"/>
      <w:pPr>
        <w:ind w:left="2173" w:hanging="360"/>
      </w:pPr>
      <w:rPr>
        <w:rFonts w:ascii="Wingdings" w:hAnsi="Wingdings" w:hint="default"/>
      </w:rPr>
    </w:lvl>
    <w:lvl w:ilvl="3" w:tplc="04090001" w:tentative="1">
      <w:start w:val="1"/>
      <w:numFmt w:val="bullet"/>
      <w:lvlText w:val=""/>
      <w:lvlJc w:val="left"/>
      <w:pPr>
        <w:ind w:left="2893" w:hanging="360"/>
      </w:pPr>
      <w:rPr>
        <w:rFonts w:ascii="Symbol" w:hAnsi="Symbol" w:hint="default"/>
      </w:rPr>
    </w:lvl>
    <w:lvl w:ilvl="4" w:tplc="04090003" w:tentative="1">
      <w:start w:val="1"/>
      <w:numFmt w:val="bullet"/>
      <w:lvlText w:val="o"/>
      <w:lvlJc w:val="left"/>
      <w:pPr>
        <w:ind w:left="3613" w:hanging="360"/>
      </w:pPr>
      <w:rPr>
        <w:rFonts w:ascii="Courier New" w:hAnsi="Courier New" w:cs="Courier New" w:hint="default"/>
      </w:rPr>
    </w:lvl>
    <w:lvl w:ilvl="5" w:tplc="04090005" w:tentative="1">
      <w:start w:val="1"/>
      <w:numFmt w:val="bullet"/>
      <w:lvlText w:val=""/>
      <w:lvlJc w:val="left"/>
      <w:pPr>
        <w:ind w:left="4333" w:hanging="360"/>
      </w:pPr>
      <w:rPr>
        <w:rFonts w:ascii="Wingdings" w:hAnsi="Wingdings" w:hint="default"/>
      </w:rPr>
    </w:lvl>
    <w:lvl w:ilvl="6" w:tplc="04090001" w:tentative="1">
      <w:start w:val="1"/>
      <w:numFmt w:val="bullet"/>
      <w:lvlText w:val=""/>
      <w:lvlJc w:val="left"/>
      <w:pPr>
        <w:ind w:left="5053" w:hanging="360"/>
      </w:pPr>
      <w:rPr>
        <w:rFonts w:ascii="Symbol" w:hAnsi="Symbol" w:hint="default"/>
      </w:rPr>
    </w:lvl>
    <w:lvl w:ilvl="7" w:tplc="04090003" w:tentative="1">
      <w:start w:val="1"/>
      <w:numFmt w:val="bullet"/>
      <w:lvlText w:val="o"/>
      <w:lvlJc w:val="left"/>
      <w:pPr>
        <w:ind w:left="5773" w:hanging="360"/>
      </w:pPr>
      <w:rPr>
        <w:rFonts w:ascii="Courier New" w:hAnsi="Courier New" w:cs="Courier New" w:hint="default"/>
      </w:rPr>
    </w:lvl>
    <w:lvl w:ilvl="8" w:tplc="04090005" w:tentative="1">
      <w:start w:val="1"/>
      <w:numFmt w:val="bullet"/>
      <w:lvlText w:val=""/>
      <w:lvlJc w:val="left"/>
      <w:pPr>
        <w:ind w:left="6493" w:hanging="360"/>
      </w:pPr>
      <w:rPr>
        <w:rFonts w:ascii="Wingdings" w:hAnsi="Wingdings" w:hint="default"/>
      </w:rPr>
    </w:lvl>
  </w:abstractNum>
  <w:abstractNum w:abstractNumId="8">
    <w:nsid w:val="36BD3E36"/>
    <w:multiLevelType w:val="hybridMultilevel"/>
    <w:tmpl w:val="CC48A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C0536F"/>
    <w:multiLevelType w:val="singleLevel"/>
    <w:tmpl w:val="1F708ACC"/>
    <w:lvl w:ilvl="0">
      <w:start w:val="1"/>
      <w:numFmt w:val="upperLetter"/>
      <w:pStyle w:val="Heading5"/>
      <w:lvlText w:val="%1."/>
      <w:lvlJc w:val="left"/>
      <w:pPr>
        <w:tabs>
          <w:tab w:val="num" w:pos="360"/>
        </w:tabs>
        <w:ind w:left="360" w:hanging="360"/>
      </w:pPr>
      <w:rPr>
        <w:rFonts w:hint="default"/>
      </w:rPr>
    </w:lvl>
  </w:abstractNum>
  <w:abstractNum w:abstractNumId="10">
    <w:nsid w:val="3ED40F6E"/>
    <w:multiLevelType w:val="hybridMultilevel"/>
    <w:tmpl w:val="40A69C38"/>
    <w:lvl w:ilvl="0" w:tplc="D4EE42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C97EE3"/>
    <w:multiLevelType w:val="hybridMultilevel"/>
    <w:tmpl w:val="34DC6D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C260A0E"/>
    <w:multiLevelType w:val="hybridMultilevel"/>
    <w:tmpl w:val="01AC6B10"/>
    <w:lvl w:ilvl="0" w:tplc="0DE43126">
      <w:start w:val="1"/>
      <w:numFmt w:val="upperRoman"/>
      <w:pStyle w:val="Heading1"/>
      <w:lvlText w:val="%1."/>
      <w:lvlJc w:val="left"/>
      <w:pPr>
        <w:ind w:left="936" w:hanging="360"/>
      </w:pPr>
      <w:rPr>
        <w:rFonts w:hint="default"/>
        <w:spacing w:val="0"/>
        <w:position w:val="0"/>
      </w:rPr>
    </w:lvl>
    <w:lvl w:ilvl="1" w:tplc="04090019" w:tentative="1">
      <w:start w:val="1"/>
      <w:numFmt w:val="lowerLetter"/>
      <w:lvlText w:val="%2."/>
      <w:lvlJc w:val="left"/>
      <w:pPr>
        <w:ind w:left="1670" w:hanging="360"/>
      </w:pPr>
    </w:lvl>
    <w:lvl w:ilvl="2" w:tplc="0409001B" w:tentative="1">
      <w:start w:val="1"/>
      <w:numFmt w:val="lowerRoman"/>
      <w:lvlText w:val="%3."/>
      <w:lvlJc w:val="right"/>
      <w:pPr>
        <w:ind w:left="2390" w:hanging="180"/>
      </w:pPr>
    </w:lvl>
    <w:lvl w:ilvl="3" w:tplc="0409000F" w:tentative="1">
      <w:start w:val="1"/>
      <w:numFmt w:val="decimal"/>
      <w:lvlText w:val="%4."/>
      <w:lvlJc w:val="left"/>
      <w:pPr>
        <w:ind w:left="3110" w:hanging="360"/>
      </w:pPr>
    </w:lvl>
    <w:lvl w:ilvl="4" w:tplc="04090019" w:tentative="1">
      <w:start w:val="1"/>
      <w:numFmt w:val="lowerLetter"/>
      <w:lvlText w:val="%5."/>
      <w:lvlJc w:val="left"/>
      <w:pPr>
        <w:ind w:left="3830" w:hanging="360"/>
      </w:pPr>
    </w:lvl>
    <w:lvl w:ilvl="5" w:tplc="0409001B" w:tentative="1">
      <w:start w:val="1"/>
      <w:numFmt w:val="lowerRoman"/>
      <w:lvlText w:val="%6."/>
      <w:lvlJc w:val="right"/>
      <w:pPr>
        <w:ind w:left="4550" w:hanging="180"/>
      </w:pPr>
    </w:lvl>
    <w:lvl w:ilvl="6" w:tplc="0409000F" w:tentative="1">
      <w:start w:val="1"/>
      <w:numFmt w:val="decimal"/>
      <w:lvlText w:val="%7."/>
      <w:lvlJc w:val="left"/>
      <w:pPr>
        <w:ind w:left="5270" w:hanging="360"/>
      </w:pPr>
    </w:lvl>
    <w:lvl w:ilvl="7" w:tplc="04090019" w:tentative="1">
      <w:start w:val="1"/>
      <w:numFmt w:val="lowerLetter"/>
      <w:lvlText w:val="%8."/>
      <w:lvlJc w:val="left"/>
      <w:pPr>
        <w:ind w:left="5990" w:hanging="360"/>
      </w:pPr>
    </w:lvl>
    <w:lvl w:ilvl="8" w:tplc="0409001B" w:tentative="1">
      <w:start w:val="1"/>
      <w:numFmt w:val="lowerRoman"/>
      <w:lvlText w:val="%9."/>
      <w:lvlJc w:val="right"/>
      <w:pPr>
        <w:ind w:left="6710" w:hanging="180"/>
      </w:pPr>
    </w:lvl>
  </w:abstractNum>
  <w:abstractNum w:abstractNumId="13">
    <w:nsid w:val="590561D9"/>
    <w:multiLevelType w:val="hybridMultilevel"/>
    <w:tmpl w:val="220808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64171B92"/>
    <w:multiLevelType w:val="hybridMultilevel"/>
    <w:tmpl w:val="49D4D830"/>
    <w:lvl w:ilvl="0" w:tplc="41387C20">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2F70B4"/>
    <w:multiLevelType w:val="hybridMultilevel"/>
    <w:tmpl w:val="04A6C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3B48D9"/>
    <w:multiLevelType w:val="hybridMultilevel"/>
    <w:tmpl w:val="EEFA74DE"/>
    <w:lvl w:ilvl="0" w:tplc="B7BC311E">
      <w:start w:val="1"/>
      <w:numFmt w:val="upperLetter"/>
      <w:pStyle w:val="Heading2"/>
      <w:lvlText w:val="%1."/>
      <w:lvlJc w:val="left"/>
      <w:pPr>
        <w:ind w:left="835" w:hanging="360"/>
      </w:pPr>
      <w:rPr>
        <w:rFonts w:hint="default"/>
      </w:rPr>
    </w:lvl>
    <w:lvl w:ilvl="1" w:tplc="04090019" w:tentative="1">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abstractNum w:abstractNumId="17">
    <w:nsid w:val="7ABD7FA1"/>
    <w:multiLevelType w:val="hybridMultilevel"/>
    <w:tmpl w:val="24C061BA"/>
    <w:lvl w:ilvl="0" w:tplc="0409000F">
      <w:start w:val="1"/>
      <w:numFmt w:val="decimal"/>
      <w:lvlText w:val="%1."/>
      <w:lvlJc w:val="left"/>
      <w:pPr>
        <w:ind w:left="189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9"/>
  </w:num>
  <w:num w:numId="2">
    <w:abstractNumId w:val="17"/>
  </w:num>
  <w:num w:numId="3">
    <w:abstractNumId w:val="12"/>
  </w:num>
  <w:num w:numId="4">
    <w:abstractNumId w:val="14"/>
  </w:num>
  <w:num w:numId="5">
    <w:abstractNumId w:val="13"/>
  </w:num>
  <w:num w:numId="6">
    <w:abstractNumId w:val="10"/>
  </w:num>
  <w:num w:numId="7">
    <w:abstractNumId w:val="8"/>
  </w:num>
  <w:num w:numId="8">
    <w:abstractNumId w:val="7"/>
  </w:num>
  <w:num w:numId="9">
    <w:abstractNumId w:val="2"/>
  </w:num>
  <w:num w:numId="10">
    <w:abstractNumId w:val="4"/>
  </w:num>
  <w:num w:numId="11">
    <w:abstractNumId w:val="14"/>
    <w:lvlOverride w:ilvl="0">
      <w:startOverride w:val="1"/>
    </w:lvlOverride>
  </w:num>
  <w:num w:numId="12">
    <w:abstractNumId w:val="6"/>
  </w:num>
  <w:num w:numId="13">
    <w:abstractNumId w:val="0"/>
  </w:num>
  <w:num w:numId="14">
    <w:abstractNumId w:val="3"/>
  </w:num>
  <w:num w:numId="15">
    <w:abstractNumId w:val="11"/>
  </w:num>
  <w:num w:numId="16">
    <w:abstractNumId w:val="1"/>
  </w:num>
  <w:num w:numId="17">
    <w:abstractNumId w:val="16"/>
  </w:num>
  <w:num w:numId="18">
    <w:abstractNumId w:val="16"/>
    <w:lvlOverride w:ilvl="0">
      <w:startOverride w:val="1"/>
    </w:lvlOverride>
  </w:num>
  <w:num w:numId="19">
    <w:abstractNumId w:val="5"/>
  </w:num>
  <w:num w:numId="20">
    <w:abstractNumId w:val="15"/>
  </w:num>
  <w:num w:numId="21">
    <w:abstractNumId w:val="16"/>
    <w:lvlOverride w:ilvl="0">
      <w:startOverride w:val="1"/>
    </w:lvlOverride>
  </w:num>
  <w:num w:numId="22">
    <w:abstractNumId w:val="14"/>
    <w:lvlOverride w:ilvl="0">
      <w:startOverride w:val="1"/>
    </w:lvlOverride>
  </w:num>
  <w:num w:numId="23">
    <w:abstractNumId w:val="14"/>
    <w:lvlOverride w:ilvl="0">
      <w:startOverride w:val="1"/>
    </w:lvlOverride>
  </w:num>
  <w:num w:numId="24">
    <w:abstractNumId w:val="14"/>
    <w:lvlOverride w:ilvl="0">
      <w:startOverride w:val="1"/>
    </w:lvlOverride>
  </w:num>
  <w:num w:numId="25">
    <w:abstractNumId w:val="12"/>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trackRevisions/>
  <w:defaultTabStop w:val="720"/>
  <w:evenAndOddHeaders/>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EDF"/>
    <w:rsid w:val="00000C3F"/>
    <w:rsid w:val="0001256D"/>
    <w:rsid w:val="00015F15"/>
    <w:rsid w:val="00054871"/>
    <w:rsid w:val="00055378"/>
    <w:rsid w:val="00063312"/>
    <w:rsid w:val="00073E1F"/>
    <w:rsid w:val="000B75F0"/>
    <w:rsid w:val="000C4B8A"/>
    <w:rsid w:val="000D67D6"/>
    <w:rsid w:val="0015549B"/>
    <w:rsid w:val="00177EDF"/>
    <w:rsid w:val="001874DD"/>
    <w:rsid w:val="00212013"/>
    <w:rsid w:val="00280B13"/>
    <w:rsid w:val="00280E63"/>
    <w:rsid w:val="002A3E7D"/>
    <w:rsid w:val="002E5314"/>
    <w:rsid w:val="002F0ACF"/>
    <w:rsid w:val="00467CB1"/>
    <w:rsid w:val="004B56A0"/>
    <w:rsid w:val="004F6B56"/>
    <w:rsid w:val="005631B6"/>
    <w:rsid w:val="005B0755"/>
    <w:rsid w:val="00656376"/>
    <w:rsid w:val="006E1A22"/>
    <w:rsid w:val="006F19B4"/>
    <w:rsid w:val="00745DC1"/>
    <w:rsid w:val="007F25C4"/>
    <w:rsid w:val="008C7C24"/>
    <w:rsid w:val="008D4A1C"/>
    <w:rsid w:val="00925178"/>
    <w:rsid w:val="0098316F"/>
    <w:rsid w:val="00984095"/>
    <w:rsid w:val="009A08C8"/>
    <w:rsid w:val="009B383D"/>
    <w:rsid w:val="009F7272"/>
    <w:rsid w:val="00A14ED0"/>
    <w:rsid w:val="00A85311"/>
    <w:rsid w:val="00A9426C"/>
    <w:rsid w:val="00AA1446"/>
    <w:rsid w:val="00AD21A7"/>
    <w:rsid w:val="00BD63A1"/>
    <w:rsid w:val="00BE5454"/>
    <w:rsid w:val="00C6528A"/>
    <w:rsid w:val="00C81FE7"/>
    <w:rsid w:val="00CF1AAE"/>
    <w:rsid w:val="00D347CC"/>
    <w:rsid w:val="00D57D99"/>
    <w:rsid w:val="00D667AF"/>
    <w:rsid w:val="00DA690A"/>
    <w:rsid w:val="00EE0724"/>
    <w:rsid w:val="00EF11E0"/>
    <w:rsid w:val="00EF2932"/>
    <w:rsid w:val="00F40CB0"/>
    <w:rsid w:val="00F50564"/>
    <w:rsid w:val="00FD2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0" w:qFormat="1"/>
    <w:lsdException w:name="heading 6"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Title" w:semiHidden="0" w:unhideWhenUsed="0" w:qFormat="1"/>
    <w:lsdException w:name="Default Paragraph Font" w:uiPriority="1"/>
    <w:lsdException w:name="Subtitle" w:semiHidden="0"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EDF"/>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uiPriority w:val="99"/>
    <w:qFormat/>
    <w:rsid w:val="00177EDF"/>
    <w:pPr>
      <w:keepNext/>
      <w:numPr>
        <w:numId w:val="3"/>
      </w:numPr>
      <w:tabs>
        <w:tab w:val="left" w:pos="1080"/>
      </w:tabs>
      <w:outlineLvl w:val="0"/>
    </w:pPr>
    <w:rPr>
      <w:b/>
      <w:sz w:val="28"/>
      <w:lang w:val="x-none" w:eastAsia="x-none"/>
    </w:rPr>
  </w:style>
  <w:style w:type="paragraph" w:styleId="Heading2">
    <w:name w:val="heading 2"/>
    <w:basedOn w:val="Normal"/>
    <w:next w:val="Normal"/>
    <w:link w:val="Heading2Char"/>
    <w:uiPriority w:val="99"/>
    <w:qFormat/>
    <w:rsid w:val="00177EDF"/>
    <w:pPr>
      <w:keepNext/>
      <w:numPr>
        <w:numId w:val="17"/>
      </w:numPr>
      <w:tabs>
        <w:tab w:val="left" w:pos="1080"/>
      </w:tabs>
      <w:outlineLvl w:val="1"/>
    </w:pPr>
    <w:rPr>
      <w:b/>
      <w:sz w:val="24"/>
      <w:lang w:val="x-none" w:eastAsia="x-none"/>
    </w:rPr>
  </w:style>
  <w:style w:type="paragraph" w:styleId="Heading3">
    <w:name w:val="heading 3"/>
    <w:basedOn w:val="Normal"/>
    <w:next w:val="Normal"/>
    <w:link w:val="Heading3Char"/>
    <w:uiPriority w:val="99"/>
    <w:qFormat/>
    <w:rsid w:val="00177EDF"/>
    <w:pPr>
      <w:keepNext/>
      <w:numPr>
        <w:numId w:val="4"/>
      </w:numPr>
      <w:ind w:left="1440"/>
      <w:outlineLvl w:val="2"/>
    </w:pPr>
    <w:rPr>
      <w:b/>
      <w:sz w:val="22"/>
      <w:lang w:val="x-none" w:eastAsia="x-none"/>
    </w:rPr>
  </w:style>
  <w:style w:type="paragraph" w:styleId="Heading4">
    <w:name w:val="heading 4"/>
    <w:basedOn w:val="Normal"/>
    <w:next w:val="Normal"/>
    <w:link w:val="Heading4Char"/>
    <w:uiPriority w:val="99"/>
    <w:qFormat/>
    <w:rsid w:val="00177EDF"/>
    <w:pPr>
      <w:keepNext/>
      <w:jc w:val="center"/>
      <w:outlineLvl w:val="3"/>
    </w:pPr>
    <w:rPr>
      <w:u w:val="single"/>
      <w:lang w:val="x-none" w:eastAsia="x-none"/>
    </w:rPr>
  </w:style>
  <w:style w:type="paragraph" w:styleId="Heading5">
    <w:name w:val="heading 5"/>
    <w:basedOn w:val="Normal"/>
    <w:next w:val="Normal"/>
    <w:link w:val="Heading5Char"/>
    <w:qFormat/>
    <w:rsid w:val="00177EDF"/>
    <w:pPr>
      <w:keepNext/>
      <w:numPr>
        <w:numId w:val="1"/>
      </w:numPr>
      <w:tabs>
        <w:tab w:val="center" w:pos="4680"/>
      </w:tabs>
      <w:jc w:val="center"/>
      <w:outlineLvl w:val="4"/>
    </w:pPr>
    <w:rPr>
      <w:u w:val="single"/>
    </w:rPr>
  </w:style>
  <w:style w:type="paragraph" w:styleId="Heading6">
    <w:name w:val="heading 6"/>
    <w:basedOn w:val="Normal"/>
    <w:next w:val="Normal"/>
    <w:link w:val="Heading6Char"/>
    <w:uiPriority w:val="99"/>
    <w:qFormat/>
    <w:rsid w:val="00177EDF"/>
    <w:pPr>
      <w:keepNext/>
      <w:outlineLvl w:val="5"/>
    </w:pPr>
    <w:rPr>
      <w:rFonts w:ascii="Arial" w:hAnsi="Arial"/>
      <w:b/>
      <w:sz w:val="32"/>
      <w:lang w:val="x-none" w:eastAsia="x-none"/>
    </w:rPr>
  </w:style>
  <w:style w:type="paragraph" w:styleId="Heading7">
    <w:name w:val="heading 7"/>
    <w:basedOn w:val="Normal"/>
    <w:next w:val="Normal"/>
    <w:link w:val="Heading7Char"/>
    <w:qFormat/>
    <w:rsid w:val="00177EDF"/>
    <w:pPr>
      <w:keepNext/>
      <w:ind w:left="720"/>
      <w:outlineLvl w:val="6"/>
    </w:pPr>
  </w:style>
  <w:style w:type="paragraph" w:styleId="Heading8">
    <w:name w:val="heading 8"/>
    <w:basedOn w:val="Normal"/>
    <w:next w:val="Normal"/>
    <w:link w:val="Heading8Char"/>
    <w:qFormat/>
    <w:rsid w:val="00177EDF"/>
    <w:pPr>
      <w:keepNext/>
      <w:jc w:val="both"/>
      <w:outlineLvl w:val="7"/>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77EDF"/>
    <w:rPr>
      <w:rFonts w:ascii="Times New Roman" w:eastAsia="Times New Roman" w:hAnsi="Times New Roman" w:cs="Times New Roman"/>
      <w:b/>
      <w:sz w:val="28"/>
      <w:szCs w:val="20"/>
      <w:lang w:val="x-none" w:eastAsia="x-none"/>
    </w:rPr>
  </w:style>
  <w:style w:type="character" w:customStyle="1" w:styleId="Heading2Char">
    <w:name w:val="Heading 2 Char"/>
    <w:basedOn w:val="DefaultParagraphFont"/>
    <w:link w:val="Heading2"/>
    <w:uiPriority w:val="99"/>
    <w:rsid w:val="00177EDF"/>
    <w:rPr>
      <w:rFonts w:ascii="Times New Roman" w:eastAsia="Times New Roman" w:hAnsi="Times New Roman" w:cs="Times New Roman"/>
      <w:b/>
      <w:sz w:val="24"/>
      <w:szCs w:val="20"/>
      <w:lang w:val="x-none" w:eastAsia="x-none"/>
    </w:rPr>
  </w:style>
  <w:style w:type="character" w:customStyle="1" w:styleId="Heading3Char">
    <w:name w:val="Heading 3 Char"/>
    <w:basedOn w:val="DefaultParagraphFont"/>
    <w:link w:val="Heading3"/>
    <w:uiPriority w:val="99"/>
    <w:rsid w:val="00177EDF"/>
    <w:rPr>
      <w:rFonts w:ascii="Times New Roman" w:eastAsia="Times New Roman" w:hAnsi="Times New Roman" w:cs="Times New Roman"/>
      <w:b/>
      <w:szCs w:val="20"/>
      <w:lang w:val="x-none" w:eastAsia="x-none"/>
    </w:rPr>
  </w:style>
  <w:style w:type="character" w:customStyle="1" w:styleId="Heading4Char">
    <w:name w:val="Heading 4 Char"/>
    <w:basedOn w:val="DefaultParagraphFont"/>
    <w:link w:val="Heading4"/>
    <w:uiPriority w:val="99"/>
    <w:rsid w:val="00177EDF"/>
    <w:rPr>
      <w:rFonts w:ascii="Times New Roman" w:eastAsia="Times New Roman" w:hAnsi="Times New Roman" w:cs="Times New Roman"/>
      <w:sz w:val="20"/>
      <w:szCs w:val="20"/>
      <w:u w:val="single"/>
      <w:lang w:val="x-none" w:eastAsia="x-none"/>
    </w:rPr>
  </w:style>
  <w:style w:type="character" w:customStyle="1" w:styleId="Heading5Char">
    <w:name w:val="Heading 5 Char"/>
    <w:basedOn w:val="DefaultParagraphFont"/>
    <w:link w:val="Heading5"/>
    <w:rsid w:val="00177EDF"/>
    <w:rPr>
      <w:rFonts w:ascii="Times New Roman" w:eastAsia="Times New Roman" w:hAnsi="Times New Roman" w:cs="Times New Roman"/>
      <w:sz w:val="20"/>
      <w:szCs w:val="20"/>
      <w:u w:val="single"/>
      <w:lang w:val="en-GB"/>
    </w:rPr>
  </w:style>
  <w:style w:type="character" w:customStyle="1" w:styleId="Heading6Char">
    <w:name w:val="Heading 6 Char"/>
    <w:basedOn w:val="DefaultParagraphFont"/>
    <w:link w:val="Heading6"/>
    <w:uiPriority w:val="99"/>
    <w:rsid w:val="00177EDF"/>
    <w:rPr>
      <w:rFonts w:ascii="Arial" w:eastAsia="Times New Roman" w:hAnsi="Arial" w:cs="Times New Roman"/>
      <w:b/>
      <w:sz w:val="32"/>
      <w:szCs w:val="20"/>
      <w:lang w:val="x-none" w:eastAsia="x-none"/>
    </w:rPr>
  </w:style>
  <w:style w:type="character" w:customStyle="1" w:styleId="Heading7Char">
    <w:name w:val="Heading 7 Char"/>
    <w:basedOn w:val="DefaultParagraphFont"/>
    <w:link w:val="Heading7"/>
    <w:rsid w:val="00177EDF"/>
    <w:rPr>
      <w:rFonts w:ascii="Times New Roman" w:eastAsia="Times New Roman" w:hAnsi="Times New Roman" w:cs="Times New Roman"/>
      <w:sz w:val="20"/>
      <w:szCs w:val="20"/>
      <w:lang w:val="en-GB"/>
    </w:rPr>
  </w:style>
  <w:style w:type="character" w:customStyle="1" w:styleId="Heading8Char">
    <w:name w:val="Heading 8 Char"/>
    <w:basedOn w:val="DefaultParagraphFont"/>
    <w:link w:val="Heading8"/>
    <w:rsid w:val="00177EDF"/>
    <w:rPr>
      <w:rFonts w:ascii="Times New Roman" w:eastAsia="Times New Roman" w:hAnsi="Times New Roman" w:cs="Times New Roman"/>
      <w:i/>
      <w:sz w:val="20"/>
      <w:szCs w:val="20"/>
      <w:lang w:val="en-GB"/>
    </w:rPr>
  </w:style>
  <w:style w:type="paragraph" w:styleId="Header">
    <w:name w:val="header"/>
    <w:basedOn w:val="Normal"/>
    <w:link w:val="HeaderChar"/>
    <w:uiPriority w:val="99"/>
    <w:rsid w:val="00177EDF"/>
    <w:pPr>
      <w:tabs>
        <w:tab w:val="center" w:pos="4320"/>
        <w:tab w:val="right" w:pos="8640"/>
      </w:tabs>
    </w:pPr>
    <w:rPr>
      <w:lang w:val="x-none" w:eastAsia="x-none"/>
    </w:rPr>
  </w:style>
  <w:style w:type="character" w:customStyle="1" w:styleId="HeaderChar">
    <w:name w:val="Header Char"/>
    <w:basedOn w:val="DefaultParagraphFont"/>
    <w:link w:val="Header"/>
    <w:uiPriority w:val="99"/>
    <w:rsid w:val="00177EDF"/>
    <w:rPr>
      <w:rFonts w:ascii="Times New Roman" w:eastAsia="Times New Roman" w:hAnsi="Times New Roman" w:cs="Times New Roman"/>
      <w:sz w:val="20"/>
      <w:szCs w:val="20"/>
      <w:lang w:val="x-none" w:eastAsia="x-none"/>
    </w:rPr>
  </w:style>
  <w:style w:type="paragraph" w:styleId="Footer">
    <w:name w:val="footer"/>
    <w:basedOn w:val="Normal"/>
    <w:link w:val="FooterChar"/>
    <w:uiPriority w:val="99"/>
    <w:rsid w:val="00177EDF"/>
    <w:pPr>
      <w:tabs>
        <w:tab w:val="center" w:pos="4320"/>
        <w:tab w:val="right" w:pos="8640"/>
      </w:tabs>
    </w:pPr>
    <w:rPr>
      <w:lang w:val="x-none" w:eastAsia="x-none"/>
    </w:rPr>
  </w:style>
  <w:style w:type="character" w:customStyle="1" w:styleId="FooterChar">
    <w:name w:val="Footer Char"/>
    <w:basedOn w:val="DefaultParagraphFont"/>
    <w:link w:val="Footer"/>
    <w:uiPriority w:val="99"/>
    <w:rsid w:val="00177EDF"/>
    <w:rPr>
      <w:rFonts w:ascii="Times New Roman" w:eastAsia="Times New Roman" w:hAnsi="Times New Roman" w:cs="Times New Roman"/>
      <w:sz w:val="20"/>
      <w:szCs w:val="20"/>
      <w:lang w:val="x-none" w:eastAsia="x-none"/>
    </w:rPr>
  </w:style>
  <w:style w:type="character" w:styleId="PageNumber">
    <w:name w:val="page number"/>
    <w:basedOn w:val="DefaultParagraphFont"/>
    <w:rsid w:val="00177EDF"/>
  </w:style>
  <w:style w:type="character" w:styleId="FootnoteReference">
    <w:name w:val="footnote reference"/>
    <w:uiPriority w:val="99"/>
    <w:rsid w:val="00177EDF"/>
  </w:style>
  <w:style w:type="paragraph" w:customStyle="1" w:styleId="Level1">
    <w:name w:val="Level 1"/>
    <w:basedOn w:val="Normal"/>
    <w:rsid w:val="00177EDF"/>
    <w:pPr>
      <w:widowControl w:val="0"/>
    </w:pPr>
    <w:rPr>
      <w:snapToGrid w:val="0"/>
    </w:rPr>
  </w:style>
  <w:style w:type="paragraph" w:styleId="Title">
    <w:name w:val="Title"/>
    <w:basedOn w:val="Normal"/>
    <w:link w:val="TitleChar"/>
    <w:uiPriority w:val="99"/>
    <w:qFormat/>
    <w:rsid w:val="00177EDF"/>
    <w:pPr>
      <w:jc w:val="center"/>
    </w:pPr>
    <w:rPr>
      <w:b/>
      <w:sz w:val="28"/>
      <w:lang w:eastAsia="x-none"/>
    </w:rPr>
  </w:style>
  <w:style w:type="character" w:customStyle="1" w:styleId="TitleChar">
    <w:name w:val="Title Char"/>
    <w:basedOn w:val="DefaultParagraphFont"/>
    <w:link w:val="Title"/>
    <w:uiPriority w:val="99"/>
    <w:rsid w:val="00177EDF"/>
    <w:rPr>
      <w:rFonts w:ascii="Times New Roman" w:eastAsia="Times New Roman" w:hAnsi="Times New Roman" w:cs="Times New Roman"/>
      <w:b/>
      <w:sz w:val="28"/>
      <w:szCs w:val="20"/>
      <w:lang w:val="en-GB" w:eastAsia="x-none"/>
    </w:rPr>
  </w:style>
  <w:style w:type="paragraph" w:styleId="TOC1">
    <w:name w:val="toc 1"/>
    <w:basedOn w:val="Normal"/>
    <w:next w:val="Normal"/>
    <w:autoRedefine/>
    <w:uiPriority w:val="39"/>
    <w:rsid w:val="0098316F"/>
    <w:pPr>
      <w:tabs>
        <w:tab w:val="right" w:leader="dot" w:pos="9350"/>
      </w:tabs>
      <w:spacing w:before="120" w:after="120"/>
      <w:ind w:left="634" w:hanging="634"/>
    </w:pPr>
    <w:rPr>
      <w:noProof/>
    </w:rPr>
  </w:style>
  <w:style w:type="paragraph" w:styleId="TOC2">
    <w:name w:val="toc 2"/>
    <w:basedOn w:val="Normal"/>
    <w:next w:val="Normal"/>
    <w:autoRedefine/>
    <w:uiPriority w:val="39"/>
    <w:rsid w:val="00177EDF"/>
    <w:pPr>
      <w:tabs>
        <w:tab w:val="left" w:pos="630"/>
        <w:tab w:val="right" w:leader="dot" w:pos="9350"/>
      </w:tabs>
      <w:ind w:left="200"/>
    </w:pPr>
    <w:rPr>
      <w:noProof/>
    </w:rPr>
  </w:style>
  <w:style w:type="paragraph" w:styleId="TOC3">
    <w:name w:val="toc 3"/>
    <w:basedOn w:val="Normal"/>
    <w:next w:val="Normal"/>
    <w:autoRedefine/>
    <w:uiPriority w:val="39"/>
    <w:rsid w:val="00177EDF"/>
    <w:pPr>
      <w:tabs>
        <w:tab w:val="left" w:pos="1800"/>
        <w:tab w:val="right" w:leader="dot" w:pos="9350"/>
      </w:tabs>
      <w:ind w:left="1260" w:hanging="860"/>
    </w:pPr>
    <w:rPr>
      <w:noProof/>
    </w:rPr>
  </w:style>
  <w:style w:type="paragraph" w:styleId="FootnoteText">
    <w:name w:val="footnote text"/>
    <w:basedOn w:val="Normal"/>
    <w:link w:val="FootnoteTextChar"/>
    <w:uiPriority w:val="99"/>
    <w:rsid w:val="00177EDF"/>
    <w:rPr>
      <w:lang w:eastAsia="x-none"/>
    </w:rPr>
  </w:style>
  <w:style w:type="character" w:customStyle="1" w:styleId="FootnoteTextChar">
    <w:name w:val="Footnote Text Char"/>
    <w:basedOn w:val="DefaultParagraphFont"/>
    <w:link w:val="FootnoteText"/>
    <w:uiPriority w:val="99"/>
    <w:rsid w:val="00177EDF"/>
    <w:rPr>
      <w:rFonts w:ascii="Times New Roman" w:eastAsia="Times New Roman" w:hAnsi="Times New Roman" w:cs="Times New Roman"/>
      <w:sz w:val="20"/>
      <w:szCs w:val="20"/>
      <w:lang w:val="en-GB" w:eastAsia="x-none"/>
    </w:rPr>
  </w:style>
  <w:style w:type="paragraph" w:styleId="BodyText3">
    <w:name w:val="Body Text 3"/>
    <w:basedOn w:val="Normal"/>
    <w:link w:val="BodyText3Char"/>
    <w:rsid w:val="00177EDF"/>
    <w:pPr>
      <w:widowControl w:val="0"/>
      <w:jc w:val="both"/>
    </w:pPr>
    <w:rPr>
      <w:snapToGrid w:val="0"/>
    </w:rPr>
  </w:style>
  <w:style w:type="character" w:customStyle="1" w:styleId="BodyText3Char">
    <w:name w:val="Body Text 3 Char"/>
    <w:basedOn w:val="DefaultParagraphFont"/>
    <w:link w:val="BodyText3"/>
    <w:rsid w:val="00177EDF"/>
    <w:rPr>
      <w:rFonts w:ascii="Times New Roman" w:eastAsia="Times New Roman" w:hAnsi="Times New Roman" w:cs="Times New Roman"/>
      <w:snapToGrid w:val="0"/>
      <w:sz w:val="20"/>
      <w:szCs w:val="20"/>
      <w:lang w:val="en-GB"/>
    </w:rPr>
  </w:style>
  <w:style w:type="paragraph" w:styleId="BodyText2">
    <w:name w:val="Body Text 2"/>
    <w:basedOn w:val="Normal"/>
    <w:link w:val="BodyText2Char"/>
    <w:rsid w:val="00177EDF"/>
    <w:rPr>
      <w:u w:val="single"/>
    </w:rPr>
  </w:style>
  <w:style w:type="character" w:customStyle="1" w:styleId="BodyText2Char">
    <w:name w:val="Body Text 2 Char"/>
    <w:basedOn w:val="DefaultParagraphFont"/>
    <w:link w:val="BodyText2"/>
    <w:rsid w:val="00177EDF"/>
    <w:rPr>
      <w:rFonts w:ascii="Times New Roman" w:eastAsia="Times New Roman" w:hAnsi="Times New Roman" w:cs="Times New Roman"/>
      <w:sz w:val="20"/>
      <w:szCs w:val="20"/>
      <w:u w:val="single"/>
      <w:lang w:val="en-GB"/>
    </w:rPr>
  </w:style>
  <w:style w:type="paragraph" w:styleId="BodyText">
    <w:name w:val="Body Text"/>
    <w:basedOn w:val="Normal"/>
    <w:link w:val="BodyTextChar"/>
    <w:uiPriority w:val="99"/>
    <w:rsid w:val="00177EDF"/>
    <w:pPr>
      <w:spacing w:line="480" w:lineRule="auto"/>
    </w:pPr>
    <w:rPr>
      <w:lang w:val="x-none" w:eastAsia="x-none"/>
    </w:rPr>
  </w:style>
  <w:style w:type="character" w:customStyle="1" w:styleId="BodyTextChar">
    <w:name w:val="Body Text Char"/>
    <w:basedOn w:val="DefaultParagraphFont"/>
    <w:link w:val="BodyText"/>
    <w:uiPriority w:val="99"/>
    <w:rsid w:val="00177EDF"/>
    <w:rPr>
      <w:rFonts w:ascii="Times New Roman" w:eastAsia="Times New Roman" w:hAnsi="Times New Roman" w:cs="Times New Roman"/>
      <w:sz w:val="20"/>
      <w:szCs w:val="20"/>
      <w:lang w:val="x-none" w:eastAsia="x-none"/>
    </w:rPr>
  </w:style>
  <w:style w:type="paragraph" w:styleId="BodyTextIndent2">
    <w:name w:val="Body Text Indent 2"/>
    <w:basedOn w:val="Normal"/>
    <w:link w:val="BodyTextIndent2Char"/>
    <w:rsid w:val="00177EDF"/>
    <w:pPr>
      <w:ind w:left="720" w:hanging="720"/>
    </w:pPr>
  </w:style>
  <w:style w:type="character" w:customStyle="1" w:styleId="BodyTextIndent2Char">
    <w:name w:val="Body Text Indent 2 Char"/>
    <w:basedOn w:val="DefaultParagraphFont"/>
    <w:link w:val="BodyTextIndent2"/>
    <w:rsid w:val="00177EDF"/>
    <w:rPr>
      <w:rFonts w:ascii="Times New Roman" w:eastAsia="Times New Roman" w:hAnsi="Times New Roman" w:cs="Times New Roman"/>
      <w:sz w:val="20"/>
      <w:szCs w:val="20"/>
      <w:lang w:val="en-GB"/>
    </w:rPr>
  </w:style>
  <w:style w:type="character" w:styleId="CommentReference">
    <w:name w:val="annotation reference"/>
    <w:uiPriority w:val="99"/>
    <w:semiHidden/>
    <w:rsid w:val="00177EDF"/>
    <w:rPr>
      <w:sz w:val="16"/>
    </w:rPr>
  </w:style>
  <w:style w:type="paragraph" w:styleId="BodyTextIndent">
    <w:name w:val="Body Text Indent"/>
    <w:basedOn w:val="Normal"/>
    <w:link w:val="BodyTextIndentChar"/>
    <w:uiPriority w:val="99"/>
    <w:rsid w:val="00177EDF"/>
    <w:pPr>
      <w:ind w:left="720"/>
    </w:pPr>
    <w:rPr>
      <w:lang w:val="x-none" w:eastAsia="x-none"/>
    </w:rPr>
  </w:style>
  <w:style w:type="character" w:customStyle="1" w:styleId="BodyTextIndentChar">
    <w:name w:val="Body Text Indent Char"/>
    <w:basedOn w:val="DefaultParagraphFont"/>
    <w:link w:val="BodyTextIndent"/>
    <w:uiPriority w:val="99"/>
    <w:rsid w:val="00177EDF"/>
    <w:rPr>
      <w:rFonts w:ascii="Times New Roman" w:eastAsia="Times New Roman" w:hAnsi="Times New Roman" w:cs="Times New Roman"/>
      <w:sz w:val="20"/>
      <w:szCs w:val="20"/>
      <w:lang w:val="x-none" w:eastAsia="x-none"/>
    </w:rPr>
  </w:style>
  <w:style w:type="paragraph" w:styleId="BodyTextIndent3">
    <w:name w:val="Body Text Indent 3"/>
    <w:basedOn w:val="Normal"/>
    <w:link w:val="BodyTextIndent3Char"/>
    <w:rsid w:val="00177EDF"/>
    <w:pPr>
      <w:ind w:left="720"/>
    </w:pPr>
    <w:rPr>
      <w:i/>
    </w:rPr>
  </w:style>
  <w:style w:type="character" w:customStyle="1" w:styleId="BodyTextIndent3Char">
    <w:name w:val="Body Text Indent 3 Char"/>
    <w:basedOn w:val="DefaultParagraphFont"/>
    <w:link w:val="BodyTextIndent3"/>
    <w:rsid w:val="00177EDF"/>
    <w:rPr>
      <w:rFonts w:ascii="Times New Roman" w:eastAsia="Times New Roman" w:hAnsi="Times New Roman" w:cs="Times New Roman"/>
      <w:i/>
      <w:sz w:val="20"/>
      <w:szCs w:val="20"/>
      <w:lang w:val="en-GB"/>
    </w:rPr>
  </w:style>
  <w:style w:type="paragraph" w:styleId="CommentText">
    <w:name w:val="annotation text"/>
    <w:basedOn w:val="Normal"/>
    <w:link w:val="CommentTextChar"/>
    <w:uiPriority w:val="99"/>
    <w:semiHidden/>
    <w:rsid w:val="00177EDF"/>
    <w:pPr>
      <w:widowControl w:val="0"/>
    </w:pPr>
    <w:rPr>
      <w:snapToGrid w:val="0"/>
      <w:lang w:val="x-none" w:eastAsia="x-none"/>
    </w:rPr>
  </w:style>
  <w:style w:type="character" w:customStyle="1" w:styleId="CommentTextChar">
    <w:name w:val="Comment Text Char"/>
    <w:basedOn w:val="DefaultParagraphFont"/>
    <w:link w:val="CommentText"/>
    <w:uiPriority w:val="99"/>
    <w:semiHidden/>
    <w:rsid w:val="00177EDF"/>
    <w:rPr>
      <w:rFonts w:ascii="Times New Roman" w:eastAsia="Times New Roman" w:hAnsi="Times New Roman" w:cs="Times New Roman"/>
      <w:snapToGrid w:val="0"/>
      <w:sz w:val="20"/>
      <w:szCs w:val="20"/>
      <w:lang w:val="x-none" w:eastAsia="x-none"/>
    </w:rPr>
  </w:style>
  <w:style w:type="paragraph" w:styleId="ListParagraph">
    <w:name w:val="List Paragraph"/>
    <w:basedOn w:val="Normal"/>
    <w:link w:val="ListParagraphChar"/>
    <w:uiPriority w:val="34"/>
    <w:qFormat/>
    <w:rsid w:val="00177EDF"/>
    <w:pPr>
      <w:spacing w:line="276" w:lineRule="auto"/>
      <w:ind w:left="1440"/>
      <w:contextualSpacing/>
    </w:pPr>
    <w:rPr>
      <w:rFonts w:eastAsia="Calibri"/>
      <w:szCs w:val="22"/>
    </w:rPr>
  </w:style>
  <w:style w:type="paragraph" w:customStyle="1" w:styleId="SingleTxt">
    <w:name w:val="__Single Txt"/>
    <w:basedOn w:val="Normal"/>
    <w:rsid w:val="00177EDF"/>
    <w:pPr>
      <w:tabs>
        <w:tab w:val="left" w:pos="1267"/>
        <w:tab w:val="left" w:pos="1742"/>
        <w:tab w:val="left" w:pos="2218"/>
        <w:tab w:val="left" w:pos="2693"/>
        <w:tab w:val="left" w:pos="3182"/>
        <w:tab w:val="left" w:pos="3658"/>
        <w:tab w:val="left" w:pos="4133"/>
        <w:tab w:val="left" w:pos="4622"/>
        <w:tab w:val="left" w:pos="5098"/>
        <w:tab w:val="left" w:pos="5573"/>
        <w:tab w:val="left" w:pos="6048"/>
      </w:tabs>
      <w:suppressAutoHyphens/>
      <w:spacing w:after="120" w:line="240" w:lineRule="exact"/>
      <w:ind w:left="1267" w:right="1267"/>
      <w:jc w:val="both"/>
    </w:pPr>
    <w:rPr>
      <w:spacing w:val="4"/>
      <w:w w:val="103"/>
      <w:kern w:val="14"/>
    </w:rPr>
  </w:style>
  <w:style w:type="paragraph" w:styleId="Subtitle">
    <w:name w:val="Subtitle"/>
    <w:basedOn w:val="Normal"/>
    <w:link w:val="SubtitleChar"/>
    <w:uiPriority w:val="99"/>
    <w:qFormat/>
    <w:rsid w:val="00177EDF"/>
    <w:pPr>
      <w:jc w:val="center"/>
    </w:pPr>
    <w:rPr>
      <w:b/>
      <w:szCs w:val="28"/>
      <w:lang w:val="x-none" w:eastAsia="x-none"/>
    </w:rPr>
  </w:style>
  <w:style w:type="character" w:customStyle="1" w:styleId="SubtitleChar">
    <w:name w:val="Subtitle Char"/>
    <w:basedOn w:val="DefaultParagraphFont"/>
    <w:link w:val="Subtitle"/>
    <w:uiPriority w:val="99"/>
    <w:rsid w:val="00177EDF"/>
    <w:rPr>
      <w:rFonts w:ascii="Times New Roman" w:eastAsia="Times New Roman" w:hAnsi="Times New Roman" w:cs="Times New Roman"/>
      <w:b/>
      <w:sz w:val="20"/>
      <w:szCs w:val="28"/>
      <w:lang w:val="x-none" w:eastAsia="x-none"/>
    </w:rPr>
  </w:style>
  <w:style w:type="paragraph" w:customStyle="1" w:styleId="xl24">
    <w:name w:val="xl24"/>
    <w:basedOn w:val="Normal"/>
    <w:uiPriority w:val="99"/>
    <w:rsid w:val="00177EDF"/>
    <w:pPr>
      <w:spacing w:before="100" w:after="100"/>
    </w:pPr>
    <w:rPr>
      <w:rFonts w:ascii="Arial Unicode MS" w:eastAsia="Arial Unicode MS" w:hAnsi="Arial Unicode MS"/>
      <w:sz w:val="16"/>
    </w:rPr>
  </w:style>
  <w:style w:type="paragraph" w:customStyle="1" w:styleId="Default">
    <w:name w:val="Default"/>
    <w:uiPriority w:val="99"/>
    <w:rsid w:val="00177EDF"/>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uiPriority w:val="99"/>
    <w:rsid w:val="00177EDF"/>
    <w:rPr>
      <w:rFonts w:cs="Times New Roman"/>
      <w:color w:val="0000FF"/>
      <w:u w:val="single"/>
    </w:rPr>
  </w:style>
  <w:style w:type="paragraph" w:styleId="CommentSubject">
    <w:name w:val="annotation subject"/>
    <w:basedOn w:val="CommentText"/>
    <w:next w:val="CommentText"/>
    <w:link w:val="CommentSubjectChar"/>
    <w:uiPriority w:val="99"/>
    <w:rsid w:val="00177EDF"/>
    <w:pPr>
      <w:widowControl/>
    </w:pPr>
    <w:rPr>
      <w:b/>
      <w:bCs/>
    </w:rPr>
  </w:style>
  <w:style w:type="character" w:customStyle="1" w:styleId="CommentSubjectChar">
    <w:name w:val="Comment Subject Char"/>
    <w:basedOn w:val="CommentTextChar"/>
    <w:link w:val="CommentSubject"/>
    <w:uiPriority w:val="99"/>
    <w:rsid w:val="00177EDF"/>
    <w:rPr>
      <w:rFonts w:ascii="Times New Roman" w:eastAsia="Times New Roman" w:hAnsi="Times New Roman" w:cs="Times New Roman"/>
      <w:b/>
      <w:bCs/>
      <w:snapToGrid w:val="0"/>
      <w:sz w:val="20"/>
      <w:szCs w:val="20"/>
      <w:lang w:val="x-none" w:eastAsia="x-none"/>
    </w:rPr>
  </w:style>
  <w:style w:type="paragraph" w:styleId="BalloonText">
    <w:name w:val="Balloon Text"/>
    <w:basedOn w:val="Normal"/>
    <w:link w:val="BalloonTextChar"/>
    <w:uiPriority w:val="99"/>
    <w:rsid w:val="00177EDF"/>
    <w:rPr>
      <w:rFonts w:ascii="Tahoma" w:hAnsi="Tahoma"/>
      <w:sz w:val="16"/>
      <w:szCs w:val="16"/>
      <w:lang w:val="x-none" w:eastAsia="x-none"/>
    </w:rPr>
  </w:style>
  <w:style w:type="character" w:customStyle="1" w:styleId="BalloonTextChar">
    <w:name w:val="Balloon Text Char"/>
    <w:basedOn w:val="DefaultParagraphFont"/>
    <w:link w:val="BalloonText"/>
    <w:uiPriority w:val="99"/>
    <w:rsid w:val="00177EDF"/>
    <w:rPr>
      <w:rFonts w:ascii="Tahoma" w:eastAsia="Times New Roman" w:hAnsi="Tahoma" w:cs="Times New Roman"/>
      <w:sz w:val="16"/>
      <w:szCs w:val="16"/>
      <w:lang w:val="x-none" w:eastAsia="x-none"/>
    </w:rPr>
  </w:style>
  <w:style w:type="paragraph" w:styleId="EndnoteText">
    <w:name w:val="endnote text"/>
    <w:basedOn w:val="Normal"/>
    <w:link w:val="EndnoteTextChar"/>
    <w:uiPriority w:val="99"/>
    <w:rsid w:val="00177EDF"/>
  </w:style>
  <w:style w:type="character" w:customStyle="1" w:styleId="EndnoteTextChar">
    <w:name w:val="Endnote Text Char"/>
    <w:basedOn w:val="DefaultParagraphFont"/>
    <w:link w:val="EndnoteText"/>
    <w:uiPriority w:val="99"/>
    <w:rsid w:val="00177EDF"/>
    <w:rPr>
      <w:rFonts w:ascii="Times New Roman" w:eastAsia="Times New Roman" w:hAnsi="Times New Roman" w:cs="Times New Roman"/>
      <w:sz w:val="20"/>
      <w:szCs w:val="20"/>
      <w:lang w:val="en-GB"/>
    </w:rPr>
  </w:style>
  <w:style w:type="character" w:styleId="EndnoteReference">
    <w:name w:val="endnote reference"/>
    <w:uiPriority w:val="99"/>
    <w:rsid w:val="00177EDF"/>
    <w:rPr>
      <w:rFonts w:cs="Times New Roman"/>
      <w:vertAlign w:val="superscript"/>
    </w:rPr>
  </w:style>
  <w:style w:type="character" w:customStyle="1" w:styleId="ti">
    <w:name w:val="ti"/>
    <w:uiPriority w:val="99"/>
    <w:rsid w:val="00177EDF"/>
    <w:rPr>
      <w:rFonts w:cs="Times New Roman"/>
    </w:rPr>
  </w:style>
  <w:style w:type="table" w:styleId="TableGrid">
    <w:name w:val="Table Grid"/>
    <w:basedOn w:val="TableNormal"/>
    <w:uiPriority w:val="59"/>
    <w:rsid w:val="00177EDF"/>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177EDF"/>
    <w:pPr>
      <w:spacing w:before="100" w:beforeAutospacing="1" w:after="100" w:afterAutospacing="1"/>
    </w:pPr>
    <w:rPr>
      <w:color w:val="575349"/>
      <w:szCs w:val="24"/>
    </w:rPr>
  </w:style>
  <w:style w:type="paragraph" w:styleId="HTMLPreformatted">
    <w:name w:val="HTML Preformatted"/>
    <w:basedOn w:val="Normal"/>
    <w:link w:val="HTMLPreformattedChar"/>
    <w:rsid w:val="00177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x-none" w:eastAsia="x-none"/>
    </w:rPr>
  </w:style>
  <w:style w:type="character" w:customStyle="1" w:styleId="HTMLPreformattedChar">
    <w:name w:val="HTML Preformatted Char"/>
    <w:basedOn w:val="DefaultParagraphFont"/>
    <w:link w:val="HTMLPreformatted"/>
    <w:rsid w:val="00177EDF"/>
    <w:rPr>
      <w:rFonts w:ascii="Courier New" w:eastAsia="Times New Roman" w:hAnsi="Courier New" w:cs="Times New Roman"/>
      <w:sz w:val="20"/>
      <w:szCs w:val="20"/>
      <w:lang w:val="x-none" w:eastAsia="x-none"/>
    </w:rPr>
  </w:style>
  <w:style w:type="paragraph" w:styleId="NoSpacing">
    <w:name w:val="No Spacing"/>
    <w:link w:val="NoSpacingChar"/>
    <w:uiPriority w:val="1"/>
    <w:qFormat/>
    <w:rsid w:val="00177EDF"/>
    <w:pPr>
      <w:spacing w:after="0" w:line="240" w:lineRule="auto"/>
    </w:pPr>
    <w:rPr>
      <w:rFonts w:ascii="Calibri" w:eastAsia="Calibri" w:hAnsi="Calibri" w:cs="Times New Roman"/>
    </w:rPr>
  </w:style>
  <w:style w:type="character" w:styleId="Emphasis">
    <w:name w:val="Emphasis"/>
    <w:uiPriority w:val="20"/>
    <w:qFormat/>
    <w:rsid w:val="00177EDF"/>
    <w:rPr>
      <w:i/>
      <w:iCs/>
    </w:rPr>
  </w:style>
  <w:style w:type="character" w:customStyle="1" w:styleId="reportbody1">
    <w:name w:val="reportbody1"/>
    <w:rsid w:val="00177EDF"/>
    <w:rPr>
      <w:rFonts w:ascii="Tahoma" w:hAnsi="Tahoma" w:cs="Tahoma" w:hint="default"/>
      <w:color w:val="000000"/>
      <w:sz w:val="11"/>
      <w:szCs w:val="11"/>
    </w:rPr>
  </w:style>
  <w:style w:type="paragraph" w:customStyle="1" w:styleId="MediumGrid1-Accent21">
    <w:name w:val="Medium Grid 1 - Accent 21"/>
    <w:basedOn w:val="Normal"/>
    <w:qFormat/>
    <w:rsid w:val="00177EDF"/>
    <w:pPr>
      <w:spacing w:after="200" w:line="276" w:lineRule="auto"/>
      <w:ind w:left="720"/>
      <w:contextualSpacing/>
    </w:pPr>
    <w:rPr>
      <w:rFonts w:ascii="Calibri" w:eastAsia="Calibri" w:hAnsi="Calibri"/>
      <w:sz w:val="22"/>
      <w:szCs w:val="22"/>
    </w:rPr>
  </w:style>
  <w:style w:type="paragraph" w:styleId="List">
    <w:name w:val="List"/>
    <w:basedOn w:val="Normal"/>
    <w:rsid w:val="00177EDF"/>
    <w:pPr>
      <w:ind w:left="360" w:hanging="360"/>
    </w:pPr>
    <w:rPr>
      <w:szCs w:val="24"/>
    </w:rPr>
  </w:style>
  <w:style w:type="character" w:customStyle="1" w:styleId="A11">
    <w:name w:val="A11"/>
    <w:uiPriority w:val="99"/>
    <w:rsid w:val="00177EDF"/>
    <w:rPr>
      <w:color w:val="000000"/>
      <w:sz w:val="20"/>
    </w:rPr>
  </w:style>
  <w:style w:type="paragraph" w:customStyle="1" w:styleId="qHeadText">
    <w:name w:val="qHeadText"/>
    <w:basedOn w:val="Normal"/>
    <w:uiPriority w:val="99"/>
    <w:qFormat/>
    <w:rsid w:val="00177EDF"/>
    <w:rPr>
      <w:i/>
      <w:sz w:val="22"/>
      <w:szCs w:val="24"/>
      <w:lang w:eastAsia="zh-CN"/>
    </w:rPr>
  </w:style>
  <w:style w:type="paragraph" w:customStyle="1" w:styleId="default0">
    <w:name w:val="default"/>
    <w:basedOn w:val="Normal"/>
    <w:rsid w:val="00177EDF"/>
    <w:pPr>
      <w:spacing w:before="100" w:beforeAutospacing="1" w:after="100" w:afterAutospacing="1"/>
    </w:pPr>
    <w:rPr>
      <w:szCs w:val="24"/>
    </w:rPr>
  </w:style>
  <w:style w:type="character" w:styleId="FollowedHyperlink">
    <w:name w:val="FollowedHyperlink"/>
    <w:rsid w:val="00177EDF"/>
    <w:rPr>
      <w:color w:val="800080"/>
      <w:u w:val="single"/>
    </w:rPr>
  </w:style>
  <w:style w:type="paragraph" w:customStyle="1" w:styleId="DualTxt">
    <w:name w:val="__Dual Txt"/>
    <w:basedOn w:val="Normal"/>
    <w:rsid w:val="00177EDF"/>
    <w:pPr>
      <w:tabs>
        <w:tab w:val="left" w:pos="480"/>
        <w:tab w:val="left" w:pos="960"/>
        <w:tab w:val="left" w:pos="1440"/>
        <w:tab w:val="left" w:pos="1915"/>
        <w:tab w:val="left" w:pos="2405"/>
        <w:tab w:val="left" w:pos="2880"/>
        <w:tab w:val="left" w:pos="3355"/>
      </w:tabs>
      <w:suppressAutoHyphens/>
      <w:spacing w:after="120" w:line="240" w:lineRule="exact"/>
      <w:jc w:val="both"/>
    </w:pPr>
    <w:rPr>
      <w:spacing w:val="4"/>
      <w:w w:val="103"/>
      <w:kern w:val="14"/>
    </w:rPr>
  </w:style>
  <w:style w:type="character" w:customStyle="1" w:styleId="st1">
    <w:name w:val="st1"/>
    <w:rsid w:val="00177EDF"/>
  </w:style>
  <w:style w:type="paragraph" w:customStyle="1" w:styleId="Subtitle1">
    <w:name w:val="Subtitle1"/>
    <w:rsid w:val="00177EDF"/>
    <w:pPr>
      <w:spacing w:after="0" w:line="240" w:lineRule="auto"/>
      <w:jc w:val="center"/>
    </w:pPr>
    <w:rPr>
      <w:rFonts w:ascii="Times New Roman Bold" w:eastAsia="ヒラギノ角ゴ Pro W3" w:hAnsi="Times New Roman Bold" w:cs="Times New Roman"/>
      <w:color w:val="000000"/>
      <w:sz w:val="24"/>
      <w:szCs w:val="20"/>
    </w:rPr>
  </w:style>
  <w:style w:type="paragraph" w:customStyle="1" w:styleId="H23">
    <w:name w:val="_ H_2/3"/>
    <w:basedOn w:val="Normal"/>
    <w:next w:val="Normal"/>
    <w:rsid w:val="00177EDF"/>
    <w:pPr>
      <w:keepNext/>
      <w:keepLines/>
      <w:suppressAutoHyphens/>
      <w:spacing w:line="240" w:lineRule="exact"/>
      <w:outlineLvl w:val="1"/>
    </w:pPr>
    <w:rPr>
      <w:b/>
      <w:spacing w:val="2"/>
      <w:w w:val="103"/>
      <w:kern w:val="14"/>
    </w:rPr>
  </w:style>
  <w:style w:type="paragraph" w:styleId="TOCHeading">
    <w:name w:val="TOC Heading"/>
    <w:basedOn w:val="Heading1"/>
    <w:next w:val="Normal"/>
    <w:uiPriority w:val="39"/>
    <w:semiHidden/>
    <w:unhideWhenUsed/>
    <w:qFormat/>
    <w:rsid w:val="00177EDF"/>
    <w:pPr>
      <w:keepLines/>
      <w:numPr>
        <w:numId w:val="0"/>
      </w:numPr>
      <w:tabs>
        <w:tab w:val="clear" w:pos="1080"/>
      </w:tabs>
      <w:spacing w:before="480" w:line="276" w:lineRule="auto"/>
      <w:outlineLvl w:val="9"/>
    </w:pPr>
    <w:rPr>
      <w:rFonts w:ascii="Cambria" w:eastAsia="MS Gothic" w:hAnsi="Cambria"/>
      <w:bCs/>
      <w:color w:val="365F91"/>
      <w:szCs w:val="28"/>
      <w:lang w:val="en-US" w:eastAsia="ja-JP"/>
    </w:rPr>
  </w:style>
  <w:style w:type="character" w:customStyle="1" w:styleId="ListParagraphChar">
    <w:name w:val="List Paragraph Char"/>
    <w:link w:val="ListParagraph"/>
    <w:uiPriority w:val="34"/>
    <w:locked/>
    <w:rsid w:val="00177EDF"/>
    <w:rPr>
      <w:rFonts w:ascii="Times New Roman" w:eastAsia="Calibri" w:hAnsi="Times New Roman" w:cs="Times New Roman"/>
      <w:sz w:val="20"/>
      <w:lang w:val="en-GB"/>
    </w:rPr>
  </w:style>
  <w:style w:type="table" w:customStyle="1" w:styleId="TableGrid1">
    <w:name w:val="Table Grid1"/>
    <w:basedOn w:val="TableNormal"/>
    <w:next w:val="TableGrid"/>
    <w:uiPriority w:val="99"/>
    <w:rsid w:val="00177EDF"/>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99"/>
    <w:rsid w:val="00177EDF"/>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99"/>
    <w:rsid w:val="00177EDF"/>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uiPriority w:val="1"/>
    <w:rsid w:val="00177EDF"/>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0" w:qFormat="1"/>
    <w:lsdException w:name="heading 6"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Title" w:semiHidden="0" w:unhideWhenUsed="0" w:qFormat="1"/>
    <w:lsdException w:name="Default Paragraph Font" w:uiPriority="1"/>
    <w:lsdException w:name="Subtitle" w:semiHidden="0"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EDF"/>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uiPriority w:val="99"/>
    <w:qFormat/>
    <w:rsid w:val="00177EDF"/>
    <w:pPr>
      <w:keepNext/>
      <w:numPr>
        <w:numId w:val="3"/>
      </w:numPr>
      <w:tabs>
        <w:tab w:val="left" w:pos="1080"/>
      </w:tabs>
      <w:outlineLvl w:val="0"/>
    </w:pPr>
    <w:rPr>
      <w:b/>
      <w:sz w:val="28"/>
      <w:lang w:val="x-none" w:eastAsia="x-none"/>
    </w:rPr>
  </w:style>
  <w:style w:type="paragraph" w:styleId="Heading2">
    <w:name w:val="heading 2"/>
    <w:basedOn w:val="Normal"/>
    <w:next w:val="Normal"/>
    <w:link w:val="Heading2Char"/>
    <w:uiPriority w:val="99"/>
    <w:qFormat/>
    <w:rsid w:val="00177EDF"/>
    <w:pPr>
      <w:keepNext/>
      <w:numPr>
        <w:numId w:val="17"/>
      </w:numPr>
      <w:tabs>
        <w:tab w:val="left" w:pos="1080"/>
      </w:tabs>
      <w:outlineLvl w:val="1"/>
    </w:pPr>
    <w:rPr>
      <w:b/>
      <w:sz w:val="24"/>
      <w:lang w:val="x-none" w:eastAsia="x-none"/>
    </w:rPr>
  </w:style>
  <w:style w:type="paragraph" w:styleId="Heading3">
    <w:name w:val="heading 3"/>
    <w:basedOn w:val="Normal"/>
    <w:next w:val="Normal"/>
    <w:link w:val="Heading3Char"/>
    <w:uiPriority w:val="99"/>
    <w:qFormat/>
    <w:rsid w:val="00177EDF"/>
    <w:pPr>
      <w:keepNext/>
      <w:numPr>
        <w:numId w:val="4"/>
      </w:numPr>
      <w:ind w:left="1440"/>
      <w:outlineLvl w:val="2"/>
    </w:pPr>
    <w:rPr>
      <w:b/>
      <w:sz w:val="22"/>
      <w:lang w:val="x-none" w:eastAsia="x-none"/>
    </w:rPr>
  </w:style>
  <w:style w:type="paragraph" w:styleId="Heading4">
    <w:name w:val="heading 4"/>
    <w:basedOn w:val="Normal"/>
    <w:next w:val="Normal"/>
    <w:link w:val="Heading4Char"/>
    <w:uiPriority w:val="99"/>
    <w:qFormat/>
    <w:rsid w:val="00177EDF"/>
    <w:pPr>
      <w:keepNext/>
      <w:jc w:val="center"/>
      <w:outlineLvl w:val="3"/>
    </w:pPr>
    <w:rPr>
      <w:u w:val="single"/>
      <w:lang w:val="x-none" w:eastAsia="x-none"/>
    </w:rPr>
  </w:style>
  <w:style w:type="paragraph" w:styleId="Heading5">
    <w:name w:val="heading 5"/>
    <w:basedOn w:val="Normal"/>
    <w:next w:val="Normal"/>
    <w:link w:val="Heading5Char"/>
    <w:qFormat/>
    <w:rsid w:val="00177EDF"/>
    <w:pPr>
      <w:keepNext/>
      <w:numPr>
        <w:numId w:val="1"/>
      </w:numPr>
      <w:tabs>
        <w:tab w:val="center" w:pos="4680"/>
      </w:tabs>
      <w:jc w:val="center"/>
      <w:outlineLvl w:val="4"/>
    </w:pPr>
    <w:rPr>
      <w:u w:val="single"/>
    </w:rPr>
  </w:style>
  <w:style w:type="paragraph" w:styleId="Heading6">
    <w:name w:val="heading 6"/>
    <w:basedOn w:val="Normal"/>
    <w:next w:val="Normal"/>
    <w:link w:val="Heading6Char"/>
    <w:uiPriority w:val="99"/>
    <w:qFormat/>
    <w:rsid w:val="00177EDF"/>
    <w:pPr>
      <w:keepNext/>
      <w:outlineLvl w:val="5"/>
    </w:pPr>
    <w:rPr>
      <w:rFonts w:ascii="Arial" w:hAnsi="Arial"/>
      <w:b/>
      <w:sz w:val="32"/>
      <w:lang w:val="x-none" w:eastAsia="x-none"/>
    </w:rPr>
  </w:style>
  <w:style w:type="paragraph" w:styleId="Heading7">
    <w:name w:val="heading 7"/>
    <w:basedOn w:val="Normal"/>
    <w:next w:val="Normal"/>
    <w:link w:val="Heading7Char"/>
    <w:qFormat/>
    <w:rsid w:val="00177EDF"/>
    <w:pPr>
      <w:keepNext/>
      <w:ind w:left="720"/>
      <w:outlineLvl w:val="6"/>
    </w:pPr>
  </w:style>
  <w:style w:type="paragraph" w:styleId="Heading8">
    <w:name w:val="heading 8"/>
    <w:basedOn w:val="Normal"/>
    <w:next w:val="Normal"/>
    <w:link w:val="Heading8Char"/>
    <w:qFormat/>
    <w:rsid w:val="00177EDF"/>
    <w:pPr>
      <w:keepNext/>
      <w:jc w:val="both"/>
      <w:outlineLvl w:val="7"/>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77EDF"/>
    <w:rPr>
      <w:rFonts w:ascii="Times New Roman" w:eastAsia="Times New Roman" w:hAnsi="Times New Roman" w:cs="Times New Roman"/>
      <w:b/>
      <w:sz w:val="28"/>
      <w:szCs w:val="20"/>
      <w:lang w:val="x-none" w:eastAsia="x-none"/>
    </w:rPr>
  </w:style>
  <w:style w:type="character" w:customStyle="1" w:styleId="Heading2Char">
    <w:name w:val="Heading 2 Char"/>
    <w:basedOn w:val="DefaultParagraphFont"/>
    <w:link w:val="Heading2"/>
    <w:uiPriority w:val="99"/>
    <w:rsid w:val="00177EDF"/>
    <w:rPr>
      <w:rFonts w:ascii="Times New Roman" w:eastAsia="Times New Roman" w:hAnsi="Times New Roman" w:cs="Times New Roman"/>
      <w:b/>
      <w:sz w:val="24"/>
      <w:szCs w:val="20"/>
      <w:lang w:val="x-none" w:eastAsia="x-none"/>
    </w:rPr>
  </w:style>
  <w:style w:type="character" w:customStyle="1" w:styleId="Heading3Char">
    <w:name w:val="Heading 3 Char"/>
    <w:basedOn w:val="DefaultParagraphFont"/>
    <w:link w:val="Heading3"/>
    <w:uiPriority w:val="99"/>
    <w:rsid w:val="00177EDF"/>
    <w:rPr>
      <w:rFonts w:ascii="Times New Roman" w:eastAsia="Times New Roman" w:hAnsi="Times New Roman" w:cs="Times New Roman"/>
      <w:b/>
      <w:szCs w:val="20"/>
      <w:lang w:val="x-none" w:eastAsia="x-none"/>
    </w:rPr>
  </w:style>
  <w:style w:type="character" w:customStyle="1" w:styleId="Heading4Char">
    <w:name w:val="Heading 4 Char"/>
    <w:basedOn w:val="DefaultParagraphFont"/>
    <w:link w:val="Heading4"/>
    <w:uiPriority w:val="99"/>
    <w:rsid w:val="00177EDF"/>
    <w:rPr>
      <w:rFonts w:ascii="Times New Roman" w:eastAsia="Times New Roman" w:hAnsi="Times New Roman" w:cs="Times New Roman"/>
      <w:sz w:val="20"/>
      <w:szCs w:val="20"/>
      <w:u w:val="single"/>
      <w:lang w:val="x-none" w:eastAsia="x-none"/>
    </w:rPr>
  </w:style>
  <w:style w:type="character" w:customStyle="1" w:styleId="Heading5Char">
    <w:name w:val="Heading 5 Char"/>
    <w:basedOn w:val="DefaultParagraphFont"/>
    <w:link w:val="Heading5"/>
    <w:rsid w:val="00177EDF"/>
    <w:rPr>
      <w:rFonts w:ascii="Times New Roman" w:eastAsia="Times New Roman" w:hAnsi="Times New Roman" w:cs="Times New Roman"/>
      <w:sz w:val="20"/>
      <w:szCs w:val="20"/>
      <w:u w:val="single"/>
      <w:lang w:val="en-GB"/>
    </w:rPr>
  </w:style>
  <w:style w:type="character" w:customStyle="1" w:styleId="Heading6Char">
    <w:name w:val="Heading 6 Char"/>
    <w:basedOn w:val="DefaultParagraphFont"/>
    <w:link w:val="Heading6"/>
    <w:uiPriority w:val="99"/>
    <w:rsid w:val="00177EDF"/>
    <w:rPr>
      <w:rFonts w:ascii="Arial" w:eastAsia="Times New Roman" w:hAnsi="Arial" w:cs="Times New Roman"/>
      <w:b/>
      <w:sz w:val="32"/>
      <w:szCs w:val="20"/>
      <w:lang w:val="x-none" w:eastAsia="x-none"/>
    </w:rPr>
  </w:style>
  <w:style w:type="character" w:customStyle="1" w:styleId="Heading7Char">
    <w:name w:val="Heading 7 Char"/>
    <w:basedOn w:val="DefaultParagraphFont"/>
    <w:link w:val="Heading7"/>
    <w:rsid w:val="00177EDF"/>
    <w:rPr>
      <w:rFonts w:ascii="Times New Roman" w:eastAsia="Times New Roman" w:hAnsi="Times New Roman" w:cs="Times New Roman"/>
      <w:sz w:val="20"/>
      <w:szCs w:val="20"/>
      <w:lang w:val="en-GB"/>
    </w:rPr>
  </w:style>
  <w:style w:type="character" w:customStyle="1" w:styleId="Heading8Char">
    <w:name w:val="Heading 8 Char"/>
    <w:basedOn w:val="DefaultParagraphFont"/>
    <w:link w:val="Heading8"/>
    <w:rsid w:val="00177EDF"/>
    <w:rPr>
      <w:rFonts w:ascii="Times New Roman" w:eastAsia="Times New Roman" w:hAnsi="Times New Roman" w:cs="Times New Roman"/>
      <w:i/>
      <w:sz w:val="20"/>
      <w:szCs w:val="20"/>
      <w:lang w:val="en-GB"/>
    </w:rPr>
  </w:style>
  <w:style w:type="paragraph" w:styleId="Header">
    <w:name w:val="header"/>
    <w:basedOn w:val="Normal"/>
    <w:link w:val="HeaderChar"/>
    <w:uiPriority w:val="99"/>
    <w:rsid w:val="00177EDF"/>
    <w:pPr>
      <w:tabs>
        <w:tab w:val="center" w:pos="4320"/>
        <w:tab w:val="right" w:pos="8640"/>
      </w:tabs>
    </w:pPr>
    <w:rPr>
      <w:lang w:val="x-none" w:eastAsia="x-none"/>
    </w:rPr>
  </w:style>
  <w:style w:type="character" w:customStyle="1" w:styleId="HeaderChar">
    <w:name w:val="Header Char"/>
    <w:basedOn w:val="DefaultParagraphFont"/>
    <w:link w:val="Header"/>
    <w:uiPriority w:val="99"/>
    <w:rsid w:val="00177EDF"/>
    <w:rPr>
      <w:rFonts w:ascii="Times New Roman" w:eastAsia="Times New Roman" w:hAnsi="Times New Roman" w:cs="Times New Roman"/>
      <w:sz w:val="20"/>
      <w:szCs w:val="20"/>
      <w:lang w:val="x-none" w:eastAsia="x-none"/>
    </w:rPr>
  </w:style>
  <w:style w:type="paragraph" w:styleId="Footer">
    <w:name w:val="footer"/>
    <w:basedOn w:val="Normal"/>
    <w:link w:val="FooterChar"/>
    <w:uiPriority w:val="99"/>
    <w:rsid w:val="00177EDF"/>
    <w:pPr>
      <w:tabs>
        <w:tab w:val="center" w:pos="4320"/>
        <w:tab w:val="right" w:pos="8640"/>
      </w:tabs>
    </w:pPr>
    <w:rPr>
      <w:lang w:val="x-none" w:eastAsia="x-none"/>
    </w:rPr>
  </w:style>
  <w:style w:type="character" w:customStyle="1" w:styleId="FooterChar">
    <w:name w:val="Footer Char"/>
    <w:basedOn w:val="DefaultParagraphFont"/>
    <w:link w:val="Footer"/>
    <w:uiPriority w:val="99"/>
    <w:rsid w:val="00177EDF"/>
    <w:rPr>
      <w:rFonts w:ascii="Times New Roman" w:eastAsia="Times New Roman" w:hAnsi="Times New Roman" w:cs="Times New Roman"/>
      <w:sz w:val="20"/>
      <w:szCs w:val="20"/>
      <w:lang w:val="x-none" w:eastAsia="x-none"/>
    </w:rPr>
  </w:style>
  <w:style w:type="character" w:styleId="PageNumber">
    <w:name w:val="page number"/>
    <w:basedOn w:val="DefaultParagraphFont"/>
    <w:rsid w:val="00177EDF"/>
  </w:style>
  <w:style w:type="character" w:styleId="FootnoteReference">
    <w:name w:val="footnote reference"/>
    <w:uiPriority w:val="99"/>
    <w:rsid w:val="00177EDF"/>
  </w:style>
  <w:style w:type="paragraph" w:customStyle="1" w:styleId="Level1">
    <w:name w:val="Level 1"/>
    <w:basedOn w:val="Normal"/>
    <w:rsid w:val="00177EDF"/>
    <w:pPr>
      <w:widowControl w:val="0"/>
    </w:pPr>
    <w:rPr>
      <w:snapToGrid w:val="0"/>
    </w:rPr>
  </w:style>
  <w:style w:type="paragraph" w:styleId="Title">
    <w:name w:val="Title"/>
    <w:basedOn w:val="Normal"/>
    <w:link w:val="TitleChar"/>
    <w:uiPriority w:val="99"/>
    <w:qFormat/>
    <w:rsid w:val="00177EDF"/>
    <w:pPr>
      <w:jc w:val="center"/>
    </w:pPr>
    <w:rPr>
      <w:b/>
      <w:sz w:val="28"/>
      <w:lang w:eastAsia="x-none"/>
    </w:rPr>
  </w:style>
  <w:style w:type="character" w:customStyle="1" w:styleId="TitleChar">
    <w:name w:val="Title Char"/>
    <w:basedOn w:val="DefaultParagraphFont"/>
    <w:link w:val="Title"/>
    <w:uiPriority w:val="99"/>
    <w:rsid w:val="00177EDF"/>
    <w:rPr>
      <w:rFonts w:ascii="Times New Roman" w:eastAsia="Times New Roman" w:hAnsi="Times New Roman" w:cs="Times New Roman"/>
      <w:b/>
      <w:sz w:val="28"/>
      <w:szCs w:val="20"/>
      <w:lang w:val="en-GB" w:eastAsia="x-none"/>
    </w:rPr>
  </w:style>
  <w:style w:type="paragraph" w:styleId="TOC1">
    <w:name w:val="toc 1"/>
    <w:basedOn w:val="Normal"/>
    <w:next w:val="Normal"/>
    <w:autoRedefine/>
    <w:uiPriority w:val="39"/>
    <w:rsid w:val="0098316F"/>
    <w:pPr>
      <w:tabs>
        <w:tab w:val="right" w:leader="dot" w:pos="9350"/>
      </w:tabs>
      <w:spacing w:before="120" w:after="120"/>
      <w:ind w:left="634" w:hanging="634"/>
    </w:pPr>
    <w:rPr>
      <w:noProof/>
    </w:rPr>
  </w:style>
  <w:style w:type="paragraph" w:styleId="TOC2">
    <w:name w:val="toc 2"/>
    <w:basedOn w:val="Normal"/>
    <w:next w:val="Normal"/>
    <w:autoRedefine/>
    <w:uiPriority w:val="39"/>
    <w:rsid w:val="00177EDF"/>
    <w:pPr>
      <w:tabs>
        <w:tab w:val="left" w:pos="630"/>
        <w:tab w:val="right" w:leader="dot" w:pos="9350"/>
      </w:tabs>
      <w:ind w:left="200"/>
    </w:pPr>
    <w:rPr>
      <w:noProof/>
    </w:rPr>
  </w:style>
  <w:style w:type="paragraph" w:styleId="TOC3">
    <w:name w:val="toc 3"/>
    <w:basedOn w:val="Normal"/>
    <w:next w:val="Normal"/>
    <w:autoRedefine/>
    <w:uiPriority w:val="39"/>
    <w:rsid w:val="00177EDF"/>
    <w:pPr>
      <w:tabs>
        <w:tab w:val="left" w:pos="1800"/>
        <w:tab w:val="right" w:leader="dot" w:pos="9350"/>
      </w:tabs>
      <w:ind w:left="1260" w:hanging="860"/>
    </w:pPr>
    <w:rPr>
      <w:noProof/>
    </w:rPr>
  </w:style>
  <w:style w:type="paragraph" w:styleId="FootnoteText">
    <w:name w:val="footnote text"/>
    <w:basedOn w:val="Normal"/>
    <w:link w:val="FootnoteTextChar"/>
    <w:uiPriority w:val="99"/>
    <w:rsid w:val="00177EDF"/>
    <w:rPr>
      <w:lang w:eastAsia="x-none"/>
    </w:rPr>
  </w:style>
  <w:style w:type="character" w:customStyle="1" w:styleId="FootnoteTextChar">
    <w:name w:val="Footnote Text Char"/>
    <w:basedOn w:val="DefaultParagraphFont"/>
    <w:link w:val="FootnoteText"/>
    <w:uiPriority w:val="99"/>
    <w:rsid w:val="00177EDF"/>
    <w:rPr>
      <w:rFonts w:ascii="Times New Roman" w:eastAsia="Times New Roman" w:hAnsi="Times New Roman" w:cs="Times New Roman"/>
      <w:sz w:val="20"/>
      <w:szCs w:val="20"/>
      <w:lang w:val="en-GB" w:eastAsia="x-none"/>
    </w:rPr>
  </w:style>
  <w:style w:type="paragraph" w:styleId="BodyText3">
    <w:name w:val="Body Text 3"/>
    <w:basedOn w:val="Normal"/>
    <w:link w:val="BodyText3Char"/>
    <w:rsid w:val="00177EDF"/>
    <w:pPr>
      <w:widowControl w:val="0"/>
      <w:jc w:val="both"/>
    </w:pPr>
    <w:rPr>
      <w:snapToGrid w:val="0"/>
    </w:rPr>
  </w:style>
  <w:style w:type="character" w:customStyle="1" w:styleId="BodyText3Char">
    <w:name w:val="Body Text 3 Char"/>
    <w:basedOn w:val="DefaultParagraphFont"/>
    <w:link w:val="BodyText3"/>
    <w:rsid w:val="00177EDF"/>
    <w:rPr>
      <w:rFonts w:ascii="Times New Roman" w:eastAsia="Times New Roman" w:hAnsi="Times New Roman" w:cs="Times New Roman"/>
      <w:snapToGrid w:val="0"/>
      <w:sz w:val="20"/>
      <w:szCs w:val="20"/>
      <w:lang w:val="en-GB"/>
    </w:rPr>
  </w:style>
  <w:style w:type="paragraph" w:styleId="BodyText2">
    <w:name w:val="Body Text 2"/>
    <w:basedOn w:val="Normal"/>
    <w:link w:val="BodyText2Char"/>
    <w:rsid w:val="00177EDF"/>
    <w:rPr>
      <w:u w:val="single"/>
    </w:rPr>
  </w:style>
  <w:style w:type="character" w:customStyle="1" w:styleId="BodyText2Char">
    <w:name w:val="Body Text 2 Char"/>
    <w:basedOn w:val="DefaultParagraphFont"/>
    <w:link w:val="BodyText2"/>
    <w:rsid w:val="00177EDF"/>
    <w:rPr>
      <w:rFonts w:ascii="Times New Roman" w:eastAsia="Times New Roman" w:hAnsi="Times New Roman" w:cs="Times New Roman"/>
      <w:sz w:val="20"/>
      <w:szCs w:val="20"/>
      <w:u w:val="single"/>
      <w:lang w:val="en-GB"/>
    </w:rPr>
  </w:style>
  <w:style w:type="paragraph" w:styleId="BodyText">
    <w:name w:val="Body Text"/>
    <w:basedOn w:val="Normal"/>
    <w:link w:val="BodyTextChar"/>
    <w:uiPriority w:val="99"/>
    <w:rsid w:val="00177EDF"/>
    <w:pPr>
      <w:spacing w:line="480" w:lineRule="auto"/>
    </w:pPr>
    <w:rPr>
      <w:lang w:val="x-none" w:eastAsia="x-none"/>
    </w:rPr>
  </w:style>
  <w:style w:type="character" w:customStyle="1" w:styleId="BodyTextChar">
    <w:name w:val="Body Text Char"/>
    <w:basedOn w:val="DefaultParagraphFont"/>
    <w:link w:val="BodyText"/>
    <w:uiPriority w:val="99"/>
    <w:rsid w:val="00177EDF"/>
    <w:rPr>
      <w:rFonts w:ascii="Times New Roman" w:eastAsia="Times New Roman" w:hAnsi="Times New Roman" w:cs="Times New Roman"/>
      <w:sz w:val="20"/>
      <w:szCs w:val="20"/>
      <w:lang w:val="x-none" w:eastAsia="x-none"/>
    </w:rPr>
  </w:style>
  <w:style w:type="paragraph" w:styleId="BodyTextIndent2">
    <w:name w:val="Body Text Indent 2"/>
    <w:basedOn w:val="Normal"/>
    <w:link w:val="BodyTextIndent2Char"/>
    <w:rsid w:val="00177EDF"/>
    <w:pPr>
      <w:ind w:left="720" w:hanging="720"/>
    </w:pPr>
  </w:style>
  <w:style w:type="character" w:customStyle="1" w:styleId="BodyTextIndent2Char">
    <w:name w:val="Body Text Indent 2 Char"/>
    <w:basedOn w:val="DefaultParagraphFont"/>
    <w:link w:val="BodyTextIndent2"/>
    <w:rsid w:val="00177EDF"/>
    <w:rPr>
      <w:rFonts w:ascii="Times New Roman" w:eastAsia="Times New Roman" w:hAnsi="Times New Roman" w:cs="Times New Roman"/>
      <w:sz w:val="20"/>
      <w:szCs w:val="20"/>
      <w:lang w:val="en-GB"/>
    </w:rPr>
  </w:style>
  <w:style w:type="character" w:styleId="CommentReference">
    <w:name w:val="annotation reference"/>
    <w:uiPriority w:val="99"/>
    <w:semiHidden/>
    <w:rsid w:val="00177EDF"/>
    <w:rPr>
      <w:sz w:val="16"/>
    </w:rPr>
  </w:style>
  <w:style w:type="paragraph" w:styleId="BodyTextIndent">
    <w:name w:val="Body Text Indent"/>
    <w:basedOn w:val="Normal"/>
    <w:link w:val="BodyTextIndentChar"/>
    <w:uiPriority w:val="99"/>
    <w:rsid w:val="00177EDF"/>
    <w:pPr>
      <w:ind w:left="720"/>
    </w:pPr>
    <w:rPr>
      <w:lang w:val="x-none" w:eastAsia="x-none"/>
    </w:rPr>
  </w:style>
  <w:style w:type="character" w:customStyle="1" w:styleId="BodyTextIndentChar">
    <w:name w:val="Body Text Indent Char"/>
    <w:basedOn w:val="DefaultParagraphFont"/>
    <w:link w:val="BodyTextIndent"/>
    <w:uiPriority w:val="99"/>
    <w:rsid w:val="00177EDF"/>
    <w:rPr>
      <w:rFonts w:ascii="Times New Roman" w:eastAsia="Times New Roman" w:hAnsi="Times New Roman" w:cs="Times New Roman"/>
      <w:sz w:val="20"/>
      <w:szCs w:val="20"/>
      <w:lang w:val="x-none" w:eastAsia="x-none"/>
    </w:rPr>
  </w:style>
  <w:style w:type="paragraph" w:styleId="BodyTextIndent3">
    <w:name w:val="Body Text Indent 3"/>
    <w:basedOn w:val="Normal"/>
    <w:link w:val="BodyTextIndent3Char"/>
    <w:rsid w:val="00177EDF"/>
    <w:pPr>
      <w:ind w:left="720"/>
    </w:pPr>
    <w:rPr>
      <w:i/>
    </w:rPr>
  </w:style>
  <w:style w:type="character" w:customStyle="1" w:styleId="BodyTextIndent3Char">
    <w:name w:val="Body Text Indent 3 Char"/>
    <w:basedOn w:val="DefaultParagraphFont"/>
    <w:link w:val="BodyTextIndent3"/>
    <w:rsid w:val="00177EDF"/>
    <w:rPr>
      <w:rFonts w:ascii="Times New Roman" w:eastAsia="Times New Roman" w:hAnsi="Times New Roman" w:cs="Times New Roman"/>
      <w:i/>
      <w:sz w:val="20"/>
      <w:szCs w:val="20"/>
      <w:lang w:val="en-GB"/>
    </w:rPr>
  </w:style>
  <w:style w:type="paragraph" w:styleId="CommentText">
    <w:name w:val="annotation text"/>
    <w:basedOn w:val="Normal"/>
    <w:link w:val="CommentTextChar"/>
    <w:uiPriority w:val="99"/>
    <w:semiHidden/>
    <w:rsid w:val="00177EDF"/>
    <w:pPr>
      <w:widowControl w:val="0"/>
    </w:pPr>
    <w:rPr>
      <w:snapToGrid w:val="0"/>
      <w:lang w:val="x-none" w:eastAsia="x-none"/>
    </w:rPr>
  </w:style>
  <w:style w:type="character" w:customStyle="1" w:styleId="CommentTextChar">
    <w:name w:val="Comment Text Char"/>
    <w:basedOn w:val="DefaultParagraphFont"/>
    <w:link w:val="CommentText"/>
    <w:uiPriority w:val="99"/>
    <w:semiHidden/>
    <w:rsid w:val="00177EDF"/>
    <w:rPr>
      <w:rFonts w:ascii="Times New Roman" w:eastAsia="Times New Roman" w:hAnsi="Times New Roman" w:cs="Times New Roman"/>
      <w:snapToGrid w:val="0"/>
      <w:sz w:val="20"/>
      <w:szCs w:val="20"/>
      <w:lang w:val="x-none" w:eastAsia="x-none"/>
    </w:rPr>
  </w:style>
  <w:style w:type="paragraph" w:styleId="ListParagraph">
    <w:name w:val="List Paragraph"/>
    <w:basedOn w:val="Normal"/>
    <w:link w:val="ListParagraphChar"/>
    <w:uiPriority w:val="34"/>
    <w:qFormat/>
    <w:rsid w:val="00177EDF"/>
    <w:pPr>
      <w:spacing w:line="276" w:lineRule="auto"/>
      <w:ind w:left="1440"/>
      <w:contextualSpacing/>
    </w:pPr>
    <w:rPr>
      <w:rFonts w:eastAsia="Calibri"/>
      <w:szCs w:val="22"/>
    </w:rPr>
  </w:style>
  <w:style w:type="paragraph" w:customStyle="1" w:styleId="SingleTxt">
    <w:name w:val="__Single Txt"/>
    <w:basedOn w:val="Normal"/>
    <w:rsid w:val="00177EDF"/>
    <w:pPr>
      <w:tabs>
        <w:tab w:val="left" w:pos="1267"/>
        <w:tab w:val="left" w:pos="1742"/>
        <w:tab w:val="left" w:pos="2218"/>
        <w:tab w:val="left" w:pos="2693"/>
        <w:tab w:val="left" w:pos="3182"/>
        <w:tab w:val="left" w:pos="3658"/>
        <w:tab w:val="left" w:pos="4133"/>
        <w:tab w:val="left" w:pos="4622"/>
        <w:tab w:val="left" w:pos="5098"/>
        <w:tab w:val="left" w:pos="5573"/>
        <w:tab w:val="left" w:pos="6048"/>
      </w:tabs>
      <w:suppressAutoHyphens/>
      <w:spacing w:after="120" w:line="240" w:lineRule="exact"/>
      <w:ind w:left="1267" w:right="1267"/>
      <w:jc w:val="both"/>
    </w:pPr>
    <w:rPr>
      <w:spacing w:val="4"/>
      <w:w w:val="103"/>
      <w:kern w:val="14"/>
    </w:rPr>
  </w:style>
  <w:style w:type="paragraph" w:styleId="Subtitle">
    <w:name w:val="Subtitle"/>
    <w:basedOn w:val="Normal"/>
    <w:link w:val="SubtitleChar"/>
    <w:uiPriority w:val="99"/>
    <w:qFormat/>
    <w:rsid w:val="00177EDF"/>
    <w:pPr>
      <w:jc w:val="center"/>
    </w:pPr>
    <w:rPr>
      <w:b/>
      <w:szCs w:val="28"/>
      <w:lang w:val="x-none" w:eastAsia="x-none"/>
    </w:rPr>
  </w:style>
  <w:style w:type="character" w:customStyle="1" w:styleId="SubtitleChar">
    <w:name w:val="Subtitle Char"/>
    <w:basedOn w:val="DefaultParagraphFont"/>
    <w:link w:val="Subtitle"/>
    <w:uiPriority w:val="99"/>
    <w:rsid w:val="00177EDF"/>
    <w:rPr>
      <w:rFonts w:ascii="Times New Roman" w:eastAsia="Times New Roman" w:hAnsi="Times New Roman" w:cs="Times New Roman"/>
      <w:b/>
      <w:sz w:val="20"/>
      <w:szCs w:val="28"/>
      <w:lang w:val="x-none" w:eastAsia="x-none"/>
    </w:rPr>
  </w:style>
  <w:style w:type="paragraph" w:customStyle="1" w:styleId="xl24">
    <w:name w:val="xl24"/>
    <w:basedOn w:val="Normal"/>
    <w:uiPriority w:val="99"/>
    <w:rsid w:val="00177EDF"/>
    <w:pPr>
      <w:spacing w:before="100" w:after="100"/>
    </w:pPr>
    <w:rPr>
      <w:rFonts w:ascii="Arial Unicode MS" w:eastAsia="Arial Unicode MS" w:hAnsi="Arial Unicode MS"/>
      <w:sz w:val="16"/>
    </w:rPr>
  </w:style>
  <w:style w:type="paragraph" w:customStyle="1" w:styleId="Default">
    <w:name w:val="Default"/>
    <w:uiPriority w:val="99"/>
    <w:rsid w:val="00177EDF"/>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uiPriority w:val="99"/>
    <w:rsid w:val="00177EDF"/>
    <w:rPr>
      <w:rFonts w:cs="Times New Roman"/>
      <w:color w:val="0000FF"/>
      <w:u w:val="single"/>
    </w:rPr>
  </w:style>
  <w:style w:type="paragraph" w:styleId="CommentSubject">
    <w:name w:val="annotation subject"/>
    <w:basedOn w:val="CommentText"/>
    <w:next w:val="CommentText"/>
    <w:link w:val="CommentSubjectChar"/>
    <w:uiPriority w:val="99"/>
    <w:rsid w:val="00177EDF"/>
    <w:pPr>
      <w:widowControl/>
    </w:pPr>
    <w:rPr>
      <w:b/>
      <w:bCs/>
    </w:rPr>
  </w:style>
  <w:style w:type="character" w:customStyle="1" w:styleId="CommentSubjectChar">
    <w:name w:val="Comment Subject Char"/>
    <w:basedOn w:val="CommentTextChar"/>
    <w:link w:val="CommentSubject"/>
    <w:uiPriority w:val="99"/>
    <w:rsid w:val="00177EDF"/>
    <w:rPr>
      <w:rFonts w:ascii="Times New Roman" w:eastAsia="Times New Roman" w:hAnsi="Times New Roman" w:cs="Times New Roman"/>
      <w:b/>
      <w:bCs/>
      <w:snapToGrid w:val="0"/>
      <w:sz w:val="20"/>
      <w:szCs w:val="20"/>
      <w:lang w:val="x-none" w:eastAsia="x-none"/>
    </w:rPr>
  </w:style>
  <w:style w:type="paragraph" w:styleId="BalloonText">
    <w:name w:val="Balloon Text"/>
    <w:basedOn w:val="Normal"/>
    <w:link w:val="BalloonTextChar"/>
    <w:uiPriority w:val="99"/>
    <w:rsid w:val="00177EDF"/>
    <w:rPr>
      <w:rFonts w:ascii="Tahoma" w:hAnsi="Tahoma"/>
      <w:sz w:val="16"/>
      <w:szCs w:val="16"/>
      <w:lang w:val="x-none" w:eastAsia="x-none"/>
    </w:rPr>
  </w:style>
  <w:style w:type="character" w:customStyle="1" w:styleId="BalloonTextChar">
    <w:name w:val="Balloon Text Char"/>
    <w:basedOn w:val="DefaultParagraphFont"/>
    <w:link w:val="BalloonText"/>
    <w:uiPriority w:val="99"/>
    <w:rsid w:val="00177EDF"/>
    <w:rPr>
      <w:rFonts w:ascii="Tahoma" w:eastAsia="Times New Roman" w:hAnsi="Tahoma" w:cs="Times New Roman"/>
      <w:sz w:val="16"/>
      <w:szCs w:val="16"/>
      <w:lang w:val="x-none" w:eastAsia="x-none"/>
    </w:rPr>
  </w:style>
  <w:style w:type="paragraph" w:styleId="EndnoteText">
    <w:name w:val="endnote text"/>
    <w:basedOn w:val="Normal"/>
    <w:link w:val="EndnoteTextChar"/>
    <w:uiPriority w:val="99"/>
    <w:rsid w:val="00177EDF"/>
  </w:style>
  <w:style w:type="character" w:customStyle="1" w:styleId="EndnoteTextChar">
    <w:name w:val="Endnote Text Char"/>
    <w:basedOn w:val="DefaultParagraphFont"/>
    <w:link w:val="EndnoteText"/>
    <w:uiPriority w:val="99"/>
    <w:rsid w:val="00177EDF"/>
    <w:rPr>
      <w:rFonts w:ascii="Times New Roman" w:eastAsia="Times New Roman" w:hAnsi="Times New Roman" w:cs="Times New Roman"/>
      <w:sz w:val="20"/>
      <w:szCs w:val="20"/>
      <w:lang w:val="en-GB"/>
    </w:rPr>
  </w:style>
  <w:style w:type="character" w:styleId="EndnoteReference">
    <w:name w:val="endnote reference"/>
    <w:uiPriority w:val="99"/>
    <w:rsid w:val="00177EDF"/>
    <w:rPr>
      <w:rFonts w:cs="Times New Roman"/>
      <w:vertAlign w:val="superscript"/>
    </w:rPr>
  </w:style>
  <w:style w:type="character" w:customStyle="1" w:styleId="ti">
    <w:name w:val="ti"/>
    <w:uiPriority w:val="99"/>
    <w:rsid w:val="00177EDF"/>
    <w:rPr>
      <w:rFonts w:cs="Times New Roman"/>
    </w:rPr>
  </w:style>
  <w:style w:type="table" w:styleId="TableGrid">
    <w:name w:val="Table Grid"/>
    <w:basedOn w:val="TableNormal"/>
    <w:uiPriority w:val="59"/>
    <w:rsid w:val="00177EDF"/>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177EDF"/>
    <w:pPr>
      <w:spacing w:before="100" w:beforeAutospacing="1" w:after="100" w:afterAutospacing="1"/>
    </w:pPr>
    <w:rPr>
      <w:color w:val="575349"/>
      <w:szCs w:val="24"/>
    </w:rPr>
  </w:style>
  <w:style w:type="paragraph" w:styleId="HTMLPreformatted">
    <w:name w:val="HTML Preformatted"/>
    <w:basedOn w:val="Normal"/>
    <w:link w:val="HTMLPreformattedChar"/>
    <w:rsid w:val="00177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x-none" w:eastAsia="x-none"/>
    </w:rPr>
  </w:style>
  <w:style w:type="character" w:customStyle="1" w:styleId="HTMLPreformattedChar">
    <w:name w:val="HTML Preformatted Char"/>
    <w:basedOn w:val="DefaultParagraphFont"/>
    <w:link w:val="HTMLPreformatted"/>
    <w:rsid w:val="00177EDF"/>
    <w:rPr>
      <w:rFonts w:ascii="Courier New" w:eastAsia="Times New Roman" w:hAnsi="Courier New" w:cs="Times New Roman"/>
      <w:sz w:val="20"/>
      <w:szCs w:val="20"/>
      <w:lang w:val="x-none" w:eastAsia="x-none"/>
    </w:rPr>
  </w:style>
  <w:style w:type="paragraph" w:styleId="NoSpacing">
    <w:name w:val="No Spacing"/>
    <w:link w:val="NoSpacingChar"/>
    <w:uiPriority w:val="1"/>
    <w:qFormat/>
    <w:rsid w:val="00177EDF"/>
    <w:pPr>
      <w:spacing w:after="0" w:line="240" w:lineRule="auto"/>
    </w:pPr>
    <w:rPr>
      <w:rFonts w:ascii="Calibri" w:eastAsia="Calibri" w:hAnsi="Calibri" w:cs="Times New Roman"/>
    </w:rPr>
  </w:style>
  <w:style w:type="character" w:styleId="Emphasis">
    <w:name w:val="Emphasis"/>
    <w:uiPriority w:val="20"/>
    <w:qFormat/>
    <w:rsid w:val="00177EDF"/>
    <w:rPr>
      <w:i/>
      <w:iCs/>
    </w:rPr>
  </w:style>
  <w:style w:type="character" w:customStyle="1" w:styleId="reportbody1">
    <w:name w:val="reportbody1"/>
    <w:rsid w:val="00177EDF"/>
    <w:rPr>
      <w:rFonts w:ascii="Tahoma" w:hAnsi="Tahoma" w:cs="Tahoma" w:hint="default"/>
      <w:color w:val="000000"/>
      <w:sz w:val="11"/>
      <w:szCs w:val="11"/>
    </w:rPr>
  </w:style>
  <w:style w:type="paragraph" w:customStyle="1" w:styleId="MediumGrid1-Accent21">
    <w:name w:val="Medium Grid 1 - Accent 21"/>
    <w:basedOn w:val="Normal"/>
    <w:qFormat/>
    <w:rsid w:val="00177EDF"/>
    <w:pPr>
      <w:spacing w:after="200" w:line="276" w:lineRule="auto"/>
      <w:ind w:left="720"/>
      <w:contextualSpacing/>
    </w:pPr>
    <w:rPr>
      <w:rFonts w:ascii="Calibri" w:eastAsia="Calibri" w:hAnsi="Calibri"/>
      <w:sz w:val="22"/>
      <w:szCs w:val="22"/>
    </w:rPr>
  </w:style>
  <w:style w:type="paragraph" w:styleId="List">
    <w:name w:val="List"/>
    <w:basedOn w:val="Normal"/>
    <w:rsid w:val="00177EDF"/>
    <w:pPr>
      <w:ind w:left="360" w:hanging="360"/>
    </w:pPr>
    <w:rPr>
      <w:szCs w:val="24"/>
    </w:rPr>
  </w:style>
  <w:style w:type="character" w:customStyle="1" w:styleId="A11">
    <w:name w:val="A11"/>
    <w:uiPriority w:val="99"/>
    <w:rsid w:val="00177EDF"/>
    <w:rPr>
      <w:color w:val="000000"/>
      <w:sz w:val="20"/>
    </w:rPr>
  </w:style>
  <w:style w:type="paragraph" w:customStyle="1" w:styleId="qHeadText">
    <w:name w:val="qHeadText"/>
    <w:basedOn w:val="Normal"/>
    <w:uiPriority w:val="99"/>
    <w:qFormat/>
    <w:rsid w:val="00177EDF"/>
    <w:rPr>
      <w:i/>
      <w:sz w:val="22"/>
      <w:szCs w:val="24"/>
      <w:lang w:eastAsia="zh-CN"/>
    </w:rPr>
  </w:style>
  <w:style w:type="paragraph" w:customStyle="1" w:styleId="default0">
    <w:name w:val="default"/>
    <w:basedOn w:val="Normal"/>
    <w:rsid w:val="00177EDF"/>
    <w:pPr>
      <w:spacing w:before="100" w:beforeAutospacing="1" w:after="100" w:afterAutospacing="1"/>
    </w:pPr>
    <w:rPr>
      <w:szCs w:val="24"/>
    </w:rPr>
  </w:style>
  <w:style w:type="character" w:styleId="FollowedHyperlink">
    <w:name w:val="FollowedHyperlink"/>
    <w:rsid w:val="00177EDF"/>
    <w:rPr>
      <w:color w:val="800080"/>
      <w:u w:val="single"/>
    </w:rPr>
  </w:style>
  <w:style w:type="paragraph" w:customStyle="1" w:styleId="DualTxt">
    <w:name w:val="__Dual Txt"/>
    <w:basedOn w:val="Normal"/>
    <w:rsid w:val="00177EDF"/>
    <w:pPr>
      <w:tabs>
        <w:tab w:val="left" w:pos="480"/>
        <w:tab w:val="left" w:pos="960"/>
        <w:tab w:val="left" w:pos="1440"/>
        <w:tab w:val="left" w:pos="1915"/>
        <w:tab w:val="left" w:pos="2405"/>
        <w:tab w:val="left" w:pos="2880"/>
        <w:tab w:val="left" w:pos="3355"/>
      </w:tabs>
      <w:suppressAutoHyphens/>
      <w:spacing w:after="120" w:line="240" w:lineRule="exact"/>
      <w:jc w:val="both"/>
    </w:pPr>
    <w:rPr>
      <w:spacing w:val="4"/>
      <w:w w:val="103"/>
      <w:kern w:val="14"/>
    </w:rPr>
  </w:style>
  <w:style w:type="character" w:customStyle="1" w:styleId="st1">
    <w:name w:val="st1"/>
    <w:rsid w:val="00177EDF"/>
  </w:style>
  <w:style w:type="paragraph" w:customStyle="1" w:styleId="Subtitle1">
    <w:name w:val="Subtitle1"/>
    <w:rsid w:val="00177EDF"/>
    <w:pPr>
      <w:spacing w:after="0" w:line="240" w:lineRule="auto"/>
      <w:jc w:val="center"/>
    </w:pPr>
    <w:rPr>
      <w:rFonts w:ascii="Times New Roman Bold" w:eastAsia="ヒラギノ角ゴ Pro W3" w:hAnsi="Times New Roman Bold" w:cs="Times New Roman"/>
      <w:color w:val="000000"/>
      <w:sz w:val="24"/>
      <w:szCs w:val="20"/>
    </w:rPr>
  </w:style>
  <w:style w:type="paragraph" w:customStyle="1" w:styleId="H23">
    <w:name w:val="_ H_2/3"/>
    <w:basedOn w:val="Normal"/>
    <w:next w:val="Normal"/>
    <w:rsid w:val="00177EDF"/>
    <w:pPr>
      <w:keepNext/>
      <w:keepLines/>
      <w:suppressAutoHyphens/>
      <w:spacing w:line="240" w:lineRule="exact"/>
      <w:outlineLvl w:val="1"/>
    </w:pPr>
    <w:rPr>
      <w:b/>
      <w:spacing w:val="2"/>
      <w:w w:val="103"/>
      <w:kern w:val="14"/>
    </w:rPr>
  </w:style>
  <w:style w:type="paragraph" w:styleId="TOCHeading">
    <w:name w:val="TOC Heading"/>
    <w:basedOn w:val="Heading1"/>
    <w:next w:val="Normal"/>
    <w:uiPriority w:val="39"/>
    <w:semiHidden/>
    <w:unhideWhenUsed/>
    <w:qFormat/>
    <w:rsid w:val="00177EDF"/>
    <w:pPr>
      <w:keepLines/>
      <w:numPr>
        <w:numId w:val="0"/>
      </w:numPr>
      <w:tabs>
        <w:tab w:val="clear" w:pos="1080"/>
      </w:tabs>
      <w:spacing w:before="480" w:line="276" w:lineRule="auto"/>
      <w:outlineLvl w:val="9"/>
    </w:pPr>
    <w:rPr>
      <w:rFonts w:ascii="Cambria" w:eastAsia="MS Gothic" w:hAnsi="Cambria"/>
      <w:bCs/>
      <w:color w:val="365F91"/>
      <w:szCs w:val="28"/>
      <w:lang w:val="en-US" w:eastAsia="ja-JP"/>
    </w:rPr>
  </w:style>
  <w:style w:type="character" w:customStyle="1" w:styleId="ListParagraphChar">
    <w:name w:val="List Paragraph Char"/>
    <w:link w:val="ListParagraph"/>
    <w:uiPriority w:val="34"/>
    <w:locked/>
    <w:rsid w:val="00177EDF"/>
    <w:rPr>
      <w:rFonts w:ascii="Times New Roman" w:eastAsia="Calibri" w:hAnsi="Times New Roman" w:cs="Times New Roman"/>
      <w:sz w:val="20"/>
      <w:lang w:val="en-GB"/>
    </w:rPr>
  </w:style>
  <w:style w:type="table" w:customStyle="1" w:styleId="TableGrid1">
    <w:name w:val="Table Grid1"/>
    <w:basedOn w:val="TableNormal"/>
    <w:next w:val="TableGrid"/>
    <w:uiPriority w:val="99"/>
    <w:rsid w:val="00177EDF"/>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99"/>
    <w:rsid w:val="00177EDF"/>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99"/>
    <w:rsid w:val="00177EDF"/>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uiPriority w:val="1"/>
    <w:rsid w:val="00177EDF"/>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unicefinnovation.org/"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unicefstories.or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B2FD8C-087A-4701-B9B0-826BE2D95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11831</Words>
  <Characters>67443</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UNFPA</dc:creator>
  <cp:lastModifiedBy>Elisabeth Gueye</cp:lastModifiedBy>
  <cp:revision>2</cp:revision>
  <dcterms:created xsi:type="dcterms:W3CDTF">2013-09-23T18:40:00Z</dcterms:created>
  <dcterms:modified xsi:type="dcterms:W3CDTF">2013-09-23T18:40:00Z</dcterms:modified>
</cp:coreProperties>
</file>