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12F51962" w14:textId="77777777" w:rsidR="00341141" w:rsidRDefault="00341141">
      <w:pPr>
        <w:spacing w:before="0"/>
        <w:rPr>
          <w:lang w:eastAsia="ja-JP"/>
        </w:rPr>
      </w:pPr>
    </w:p>
    <w:p w14:paraId="5FDB6F4F" w14:textId="77777777" w:rsidR="00341141" w:rsidRDefault="00341141">
      <w:pPr>
        <w:spacing w:before="0"/>
        <w:rPr>
          <w:lang w:eastAsia="ja-JP"/>
        </w:rPr>
      </w:pPr>
    </w:p>
    <w:p w14:paraId="004A1813" w14:textId="77777777" w:rsidR="00341141" w:rsidRDefault="00341141">
      <w:pPr>
        <w:spacing w:before="0"/>
        <w:rPr>
          <w:lang w:eastAsia="ja-JP"/>
        </w:rPr>
      </w:pPr>
    </w:p>
    <w:p w14:paraId="358A335F" w14:textId="77777777" w:rsidR="00341141" w:rsidRDefault="00341141">
      <w:pPr>
        <w:spacing w:before="0"/>
        <w:rPr>
          <w:lang w:eastAsia="ja-JP"/>
        </w:rPr>
      </w:pPr>
    </w:p>
    <w:p w14:paraId="11E18C46" w14:textId="77777777" w:rsidR="00341141" w:rsidRDefault="00341141">
      <w:pPr>
        <w:spacing w:before="0"/>
        <w:rPr>
          <w:lang w:eastAsia="ja-JP"/>
        </w:rPr>
      </w:pPr>
    </w:p>
    <w:p w14:paraId="14CF033E" w14:textId="77777777" w:rsidR="00341141" w:rsidRDefault="00341141">
      <w:pPr>
        <w:spacing w:before="0"/>
        <w:rPr>
          <w:lang w:eastAsia="ja-JP"/>
        </w:rPr>
      </w:pPr>
    </w:p>
    <w:p w14:paraId="64BC22A2" w14:textId="77777777" w:rsidR="00341141" w:rsidRDefault="00341141">
      <w:pPr>
        <w:spacing w:before="0"/>
        <w:rPr>
          <w:lang w:eastAsia="ja-JP"/>
        </w:rPr>
      </w:pPr>
    </w:p>
    <w:p w14:paraId="20899B23" w14:textId="77777777" w:rsidR="00341141" w:rsidRDefault="00DB0ED8">
      <w:pPr>
        <w:pStyle w:val="Heading1"/>
      </w:pPr>
      <w:bookmarkStart w:id="0" w:name="_Toc10811623"/>
      <w:r>
        <w:t>Country Specific Guideline for Chile</w:t>
      </w:r>
      <w:bookmarkEnd w:id="0"/>
    </w:p>
    <w:p w14:paraId="5A1151F9" w14:textId="77777777" w:rsidR="00341141" w:rsidRDefault="00341141">
      <w:pPr>
        <w:spacing w:before="0"/>
        <w:jc w:val="center"/>
        <w:rPr>
          <w:rFonts w:eastAsia="Times New Roman"/>
          <w:b/>
          <w:color w:val="244061"/>
          <w:spacing w:val="4"/>
          <w:w w:val="105"/>
          <w:kern w:val="28"/>
          <w:sz w:val="52"/>
          <w:szCs w:val="52"/>
        </w:rPr>
      </w:pPr>
    </w:p>
    <w:p w14:paraId="6582A980" w14:textId="77777777" w:rsidR="00341141" w:rsidRDefault="00341141">
      <w:pPr>
        <w:spacing w:before="0"/>
        <w:jc w:val="center"/>
        <w:rPr>
          <w:rFonts w:eastAsia="Times New Roman"/>
          <w:b/>
          <w:color w:val="244061"/>
          <w:spacing w:val="4"/>
          <w:w w:val="105"/>
          <w:kern w:val="28"/>
          <w:sz w:val="52"/>
          <w:szCs w:val="52"/>
        </w:rPr>
      </w:pPr>
    </w:p>
    <w:p w14:paraId="60AD90DA" w14:textId="77777777" w:rsidR="00341141" w:rsidRDefault="00341141">
      <w:pPr>
        <w:spacing w:before="0"/>
        <w:jc w:val="center"/>
        <w:rPr>
          <w:rFonts w:eastAsia="Times New Roman"/>
          <w:b/>
          <w:color w:val="244061"/>
          <w:spacing w:val="4"/>
          <w:w w:val="105"/>
          <w:kern w:val="28"/>
          <w:sz w:val="52"/>
          <w:szCs w:val="52"/>
        </w:rPr>
      </w:pPr>
    </w:p>
    <w:p w14:paraId="7D9AF6F9" w14:textId="77777777" w:rsidR="00341141" w:rsidRDefault="00341141">
      <w:pPr>
        <w:spacing w:before="0"/>
        <w:jc w:val="center"/>
        <w:rPr>
          <w:rFonts w:eastAsia="Times New Roman"/>
          <w:b/>
          <w:color w:val="244061"/>
          <w:spacing w:val="4"/>
          <w:w w:val="105"/>
          <w:kern w:val="28"/>
          <w:sz w:val="52"/>
          <w:szCs w:val="52"/>
        </w:rPr>
      </w:pPr>
    </w:p>
    <w:p w14:paraId="3D01B15B" w14:textId="77777777" w:rsidR="00341141" w:rsidRDefault="00DB0ED8">
      <w:pPr>
        <w:spacing w:before="0"/>
        <w:rPr>
          <w:lang w:eastAsia="ja-JP"/>
        </w:rPr>
      </w:pPr>
      <w:r>
        <w:rPr>
          <w:lang w:eastAsia="ja-JP"/>
        </w:rPr>
        <w:t xml:space="preserve">This guideline has been prepared by the Australian Government and the Government of Chile. It is intended to assist businesses importing regulated timber products from Chile into Australia in understanding the regulatory framework in Chile in order for them to carry out their due diligence obligations under the </w:t>
      </w:r>
      <w:r>
        <w:rPr>
          <w:i/>
          <w:lang w:eastAsia="ja-JP"/>
        </w:rPr>
        <w:t>Illegal Logging Prohibition Regulation 2012</w:t>
      </w:r>
      <w:r>
        <w:rPr>
          <w:lang w:eastAsia="ja-JP"/>
        </w:rPr>
        <w:t xml:space="preserve">, which supports the </w:t>
      </w:r>
      <w:r>
        <w:rPr>
          <w:i/>
          <w:lang w:eastAsia="ja-JP"/>
        </w:rPr>
        <w:t>Illegal Logging Prohibition Act 2012</w:t>
      </w:r>
      <w:r>
        <w:rPr>
          <w:lang w:eastAsia="ja-JP"/>
        </w:rPr>
        <w:t>.</w:t>
      </w:r>
    </w:p>
    <w:p w14:paraId="04FDD67D" w14:textId="19BBBCDD" w:rsidR="00341141" w:rsidRDefault="00DB0ED8">
      <w:pPr>
        <w:spacing w:before="0"/>
        <w:rPr>
          <w:lang w:eastAsia="ja-JP"/>
        </w:rPr>
      </w:pPr>
      <w:r>
        <w:rPr>
          <w:lang w:eastAsia="ja-JP"/>
        </w:rPr>
        <w:t xml:space="preserve">This guideline was co-endorsed by the Australian and Chilean governments on </w:t>
      </w:r>
      <w:r w:rsidR="00061006" w:rsidRPr="00061006">
        <w:rPr>
          <w:lang w:eastAsia="ja-JP"/>
        </w:rPr>
        <w:t>19</w:t>
      </w:r>
      <w:r w:rsidR="00167C0B" w:rsidRPr="00061006">
        <w:rPr>
          <w:lang w:eastAsia="ja-JP"/>
        </w:rPr>
        <w:t xml:space="preserve"> </w:t>
      </w:r>
      <w:r w:rsidR="00942CF2" w:rsidRPr="00061006">
        <w:rPr>
          <w:lang w:eastAsia="ja-JP"/>
        </w:rPr>
        <w:t>February</w:t>
      </w:r>
      <w:r w:rsidR="00167C0B" w:rsidRPr="00061006">
        <w:rPr>
          <w:lang w:eastAsia="ja-JP"/>
        </w:rPr>
        <w:t xml:space="preserve"> 2020</w:t>
      </w:r>
      <w:r w:rsidRPr="00061006">
        <w:rPr>
          <w:lang w:eastAsia="ja-JP"/>
        </w:rPr>
        <w:t>.</w:t>
      </w:r>
      <w:r>
        <w:rPr>
          <w:lang w:eastAsia="ja-JP"/>
        </w:rPr>
        <w:br w:type="page"/>
      </w:r>
    </w:p>
    <w:sdt>
      <w:sdtPr>
        <w:rPr>
          <w:rFonts w:eastAsia="Calibri" w:cs="Times New Roman"/>
          <w:bCs w:val="0"/>
          <w:color w:val="auto"/>
          <w:sz w:val="22"/>
          <w:szCs w:val="22"/>
          <w:lang w:eastAsia="en-US"/>
        </w:rPr>
        <w:id w:val="-356126260"/>
        <w:docPartObj>
          <w:docPartGallery w:val="Table of Contents"/>
          <w:docPartUnique/>
        </w:docPartObj>
      </w:sdtPr>
      <w:sdtEndPr>
        <w:rPr>
          <w:b/>
        </w:rPr>
      </w:sdtEndPr>
      <w:sdtContent>
        <w:p w14:paraId="191A3881" w14:textId="77777777" w:rsidR="00341141" w:rsidRDefault="00DB0ED8">
          <w:pPr>
            <w:pStyle w:val="TtulodeTDC1"/>
          </w:pPr>
          <w:r>
            <w:t>Contents</w:t>
          </w:r>
        </w:p>
        <w:p w14:paraId="32A203B9" w14:textId="77777777" w:rsidR="00D22E4F" w:rsidRDefault="00DB0ED8">
          <w:pPr>
            <w:pStyle w:val="TOC1"/>
            <w:rPr>
              <w:rFonts w:asciiTheme="minorHAnsi" w:eastAsiaTheme="minorEastAsia" w:hAnsiTheme="minorHAnsi" w:cstheme="minorBidi"/>
              <w:b w:val="0"/>
              <w:noProof/>
              <w:lang w:eastAsia="en-AU"/>
            </w:rPr>
          </w:pPr>
          <w:r>
            <w:fldChar w:fldCharType="begin"/>
          </w:r>
          <w:r>
            <w:instrText xml:space="preserve"> TOC \o "1-3" \h \z \u </w:instrText>
          </w:r>
          <w:r>
            <w:fldChar w:fldCharType="separate"/>
          </w:r>
          <w:hyperlink w:anchor="_Toc10811623" w:history="1">
            <w:r w:rsidR="00D22E4F" w:rsidRPr="000F6001">
              <w:rPr>
                <w:rStyle w:val="Hyperlink"/>
                <w:noProof/>
              </w:rPr>
              <w:t>Country Specific Guideline for Chile</w:t>
            </w:r>
            <w:r w:rsidR="00D22E4F">
              <w:rPr>
                <w:noProof/>
                <w:webHidden/>
              </w:rPr>
              <w:tab/>
            </w:r>
            <w:r w:rsidR="00D22E4F">
              <w:rPr>
                <w:noProof/>
                <w:webHidden/>
              </w:rPr>
              <w:fldChar w:fldCharType="begin"/>
            </w:r>
            <w:r w:rsidR="00D22E4F">
              <w:rPr>
                <w:noProof/>
                <w:webHidden/>
              </w:rPr>
              <w:instrText xml:space="preserve"> PAGEREF _Toc10811623 \h </w:instrText>
            </w:r>
            <w:r w:rsidR="00D22E4F">
              <w:rPr>
                <w:noProof/>
                <w:webHidden/>
              </w:rPr>
            </w:r>
            <w:r w:rsidR="00D22E4F">
              <w:rPr>
                <w:noProof/>
                <w:webHidden/>
              </w:rPr>
              <w:fldChar w:fldCharType="separate"/>
            </w:r>
            <w:r w:rsidR="000F199D">
              <w:rPr>
                <w:noProof/>
                <w:webHidden/>
              </w:rPr>
              <w:t>1</w:t>
            </w:r>
            <w:r w:rsidR="00D22E4F">
              <w:rPr>
                <w:noProof/>
                <w:webHidden/>
              </w:rPr>
              <w:fldChar w:fldCharType="end"/>
            </w:r>
          </w:hyperlink>
        </w:p>
        <w:p w14:paraId="0C75949F" w14:textId="77777777" w:rsidR="00D22E4F" w:rsidRDefault="00A05119">
          <w:pPr>
            <w:pStyle w:val="TOC2"/>
            <w:tabs>
              <w:tab w:val="left" w:pos="880"/>
            </w:tabs>
            <w:rPr>
              <w:rFonts w:asciiTheme="minorHAnsi" w:eastAsiaTheme="minorEastAsia" w:hAnsiTheme="minorHAnsi" w:cstheme="minorBidi"/>
              <w:noProof/>
              <w:lang w:eastAsia="en-AU"/>
            </w:rPr>
          </w:pPr>
          <w:hyperlink w:anchor="_Toc10811624" w:history="1">
            <w:r w:rsidR="00D22E4F" w:rsidRPr="000F6001">
              <w:rPr>
                <w:rStyle w:val="Hyperlink"/>
                <w:noProof/>
              </w:rPr>
              <w:t>1</w:t>
            </w:r>
            <w:r w:rsidR="00D22E4F">
              <w:rPr>
                <w:rFonts w:asciiTheme="minorHAnsi" w:eastAsiaTheme="minorEastAsia" w:hAnsiTheme="minorHAnsi" w:cstheme="minorBidi"/>
                <w:noProof/>
                <w:lang w:eastAsia="en-AU"/>
              </w:rPr>
              <w:tab/>
            </w:r>
            <w:r w:rsidR="00D22E4F" w:rsidRPr="000F6001">
              <w:rPr>
                <w:rStyle w:val="Hyperlink"/>
                <w:noProof/>
              </w:rPr>
              <w:t>What is required under Australia’s Illegal Logging Laws?</w:t>
            </w:r>
            <w:r w:rsidR="00D22E4F">
              <w:rPr>
                <w:noProof/>
                <w:webHidden/>
              </w:rPr>
              <w:tab/>
            </w:r>
            <w:r w:rsidR="00D22E4F">
              <w:rPr>
                <w:noProof/>
                <w:webHidden/>
              </w:rPr>
              <w:fldChar w:fldCharType="begin"/>
            </w:r>
            <w:r w:rsidR="00D22E4F">
              <w:rPr>
                <w:noProof/>
                <w:webHidden/>
              </w:rPr>
              <w:instrText xml:space="preserve"> PAGEREF _Toc10811624 \h </w:instrText>
            </w:r>
            <w:r w:rsidR="00D22E4F">
              <w:rPr>
                <w:noProof/>
                <w:webHidden/>
              </w:rPr>
            </w:r>
            <w:r w:rsidR="00D22E4F">
              <w:rPr>
                <w:noProof/>
                <w:webHidden/>
              </w:rPr>
              <w:fldChar w:fldCharType="separate"/>
            </w:r>
            <w:r w:rsidR="000F199D">
              <w:rPr>
                <w:noProof/>
                <w:webHidden/>
              </w:rPr>
              <w:t>3</w:t>
            </w:r>
            <w:r w:rsidR="00D22E4F">
              <w:rPr>
                <w:noProof/>
                <w:webHidden/>
              </w:rPr>
              <w:fldChar w:fldCharType="end"/>
            </w:r>
          </w:hyperlink>
        </w:p>
        <w:p w14:paraId="15D34505" w14:textId="77777777" w:rsidR="00D22E4F" w:rsidRDefault="00A05119">
          <w:pPr>
            <w:pStyle w:val="TOC2"/>
            <w:tabs>
              <w:tab w:val="left" w:pos="880"/>
            </w:tabs>
            <w:rPr>
              <w:rFonts w:asciiTheme="minorHAnsi" w:eastAsiaTheme="minorEastAsia" w:hAnsiTheme="minorHAnsi" w:cstheme="minorBidi"/>
              <w:noProof/>
              <w:lang w:eastAsia="en-AU"/>
            </w:rPr>
          </w:pPr>
          <w:hyperlink w:anchor="_Toc10811625" w:history="1">
            <w:r w:rsidR="00D22E4F" w:rsidRPr="000F6001">
              <w:rPr>
                <w:rStyle w:val="Hyperlink"/>
                <w:noProof/>
              </w:rPr>
              <w:t>2</w:t>
            </w:r>
            <w:r w:rsidR="00D22E4F">
              <w:rPr>
                <w:rFonts w:asciiTheme="minorHAnsi" w:eastAsiaTheme="minorEastAsia" w:hAnsiTheme="minorHAnsi" w:cstheme="minorBidi"/>
                <w:noProof/>
                <w:lang w:eastAsia="en-AU"/>
              </w:rPr>
              <w:tab/>
            </w:r>
            <w:r w:rsidR="00D22E4F" w:rsidRPr="000F6001">
              <w:rPr>
                <w:rStyle w:val="Hyperlink"/>
                <w:noProof/>
              </w:rPr>
              <w:t>How to use the Country Specific Guideline (CSG)</w:t>
            </w:r>
            <w:r w:rsidR="00D22E4F">
              <w:rPr>
                <w:noProof/>
                <w:webHidden/>
              </w:rPr>
              <w:tab/>
            </w:r>
            <w:r w:rsidR="00D22E4F">
              <w:rPr>
                <w:noProof/>
                <w:webHidden/>
              </w:rPr>
              <w:fldChar w:fldCharType="begin"/>
            </w:r>
            <w:r w:rsidR="00D22E4F">
              <w:rPr>
                <w:noProof/>
                <w:webHidden/>
              </w:rPr>
              <w:instrText xml:space="preserve"> PAGEREF _Toc10811625 \h </w:instrText>
            </w:r>
            <w:r w:rsidR="00D22E4F">
              <w:rPr>
                <w:noProof/>
                <w:webHidden/>
              </w:rPr>
            </w:r>
            <w:r w:rsidR="00D22E4F">
              <w:rPr>
                <w:noProof/>
                <w:webHidden/>
              </w:rPr>
              <w:fldChar w:fldCharType="separate"/>
            </w:r>
            <w:r w:rsidR="000F199D">
              <w:rPr>
                <w:noProof/>
                <w:webHidden/>
              </w:rPr>
              <w:t>3</w:t>
            </w:r>
            <w:r w:rsidR="00D22E4F">
              <w:rPr>
                <w:noProof/>
                <w:webHidden/>
              </w:rPr>
              <w:fldChar w:fldCharType="end"/>
            </w:r>
          </w:hyperlink>
        </w:p>
        <w:p w14:paraId="650B9F90" w14:textId="77777777" w:rsidR="00D22E4F" w:rsidRDefault="00A05119">
          <w:pPr>
            <w:pStyle w:val="TOC2"/>
            <w:tabs>
              <w:tab w:val="left" w:pos="880"/>
            </w:tabs>
            <w:rPr>
              <w:rFonts w:asciiTheme="minorHAnsi" w:eastAsiaTheme="minorEastAsia" w:hAnsiTheme="minorHAnsi" w:cstheme="minorBidi"/>
              <w:noProof/>
              <w:lang w:eastAsia="en-AU"/>
            </w:rPr>
          </w:pPr>
          <w:hyperlink w:anchor="_Toc10811626" w:history="1">
            <w:r w:rsidR="00D22E4F" w:rsidRPr="000F6001">
              <w:rPr>
                <w:rStyle w:val="Hyperlink"/>
                <w:noProof/>
              </w:rPr>
              <w:t>3</w:t>
            </w:r>
            <w:r w:rsidR="00D22E4F">
              <w:rPr>
                <w:rFonts w:asciiTheme="minorHAnsi" w:eastAsiaTheme="minorEastAsia" w:hAnsiTheme="minorHAnsi" w:cstheme="minorBidi"/>
                <w:noProof/>
                <w:lang w:eastAsia="en-AU"/>
              </w:rPr>
              <w:tab/>
            </w:r>
            <w:r w:rsidR="00D22E4F" w:rsidRPr="000F6001">
              <w:rPr>
                <w:rStyle w:val="Hyperlink"/>
                <w:noProof/>
              </w:rPr>
              <w:t>Scope of the CSG for Chile</w:t>
            </w:r>
            <w:r w:rsidR="00D22E4F">
              <w:rPr>
                <w:noProof/>
                <w:webHidden/>
              </w:rPr>
              <w:tab/>
            </w:r>
            <w:r w:rsidR="00D22E4F">
              <w:rPr>
                <w:noProof/>
                <w:webHidden/>
              </w:rPr>
              <w:fldChar w:fldCharType="begin"/>
            </w:r>
            <w:r w:rsidR="00D22E4F">
              <w:rPr>
                <w:noProof/>
                <w:webHidden/>
              </w:rPr>
              <w:instrText xml:space="preserve"> PAGEREF _Toc10811626 \h </w:instrText>
            </w:r>
            <w:r w:rsidR="00D22E4F">
              <w:rPr>
                <w:noProof/>
                <w:webHidden/>
              </w:rPr>
            </w:r>
            <w:r w:rsidR="00D22E4F">
              <w:rPr>
                <w:noProof/>
                <w:webHidden/>
              </w:rPr>
              <w:fldChar w:fldCharType="separate"/>
            </w:r>
            <w:r w:rsidR="000F199D">
              <w:rPr>
                <w:noProof/>
                <w:webHidden/>
              </w:rPr>
              <w:t>4</w:t>
            </w:r>
            <w:r w:rsidR="00D22E4F">
              <w:rPr>
                <w:noProof/>
                <w:webHidden/>
              </w:rPr>
              <w:fldChar w:fldCharType="end"/>
            </w:r>
          </w:hyperlink>
        </w:p>
        <w:p w14:paraId="09F553D9" w14:textId="77777777" w:rsidR="00D22E4F" w:rsidRDefault="00A05119">
          <w:pPr>
            <w:pStyle w:val="TOC3"/>
            <w:tabs>
              <w:tab w:val="left" w:pos="1540"/>
            </w:tabs>
            <w:rPr>
              <w:rFonts w:asciiTheme="minorHAnsi" w:eastAsiaTheme="minorEastAsia" w:hAnsiTheme="minorHAnsi" w:cstheme="minorBidi"/>
              <w:noProof/>
              <w:lang w:eastAsia="en-AU"/>
            </w:rPr>
          </w:pPr>
          <w:hyperlink w:anchor="_Toc10811627" w:history="1">
            <w:r w:rsidR="00D22E4F" w:rsidRPr="000F6001">
              <w:rPr>
                <w:rStyle w:val="Hyperlink"/>
                <w:noProof/>
                <w:lang w:eastAsia="ja-JP"/>
              </w:rPr>
              <w:t>3.1</w:t>
            </w:r>
            <w:r w:rsidR="00D22E4F">
              <w:rPr>
                <w:rFonts w:asciiTheme="minorHAnsi" w:eastAsiaTheme="minorEastAsia" w:hAnsiTheme="minorHAnsi" w:cstheme="minorBidi"/>
                <w:noProof/>
                <w:lang w:eastAsia="en-AU"/>
              </w:rPr>
              <w:tab/>
            </w:r>
            <w:r w:rsidR="00D22E4F" w:rsidRPr="000F6001">
              <w:rPr>
                <w:rStyle w:val="Hyperlink"/>
                <w:noProof/>
                <w:lang w:eastAsia="ja-JP"/>
              </w:rPr>
              <w:t>Timber harvested outside of Chile</w:t>
            </w:r>
            <w:r w:rsidR="00D22E4F">
              <w:rPr>
                <w:noProof/>
                <w:webHidden/>
              </w:rPr>
              <w:tab/>
            </w:r>
            <w:r w:rsidR="00D22E4F">
              <w:rPr>
                <w:noProof/>
                <w:webHidden/>
              </w:rPr>
              <w:fldChar w:fldCharType="begin"/>
            </w:r>
            <w:r w:rsidR="00D22E4F">
              <w:rPr>
                <w:noProof/>
                <w:webHidden/>
              </w:rPr>
              <w:instrText xml:space="preserve"> PAGEREF _Toc10811627 \h </w:instrText>
            </w:r>
            <w:r w:rsidR="00D22E4F">
              <w:rPr>
                <w:noProof/>
                <w:webHidden/>
              </w:rPr>
            </w:r>
            <w:r w:rsidR="00D22E4F">
              <w:rPr>
                <w:noProof/>
                <w:webHidden/>
              </w:rPr>
              <w:fldChar w:fldCharType="separate"/>
            </w:r>
            <w:r w:rsidR="000F199D">
              <w:rPr>
                <w:noProof/>
                <w:webHidden/>
              </w:rPr>
              <w:t>4</w:t>
            </w:r>
            <w:r w:rsidR="00D22E4F">
              <w:rPr>
                <w:noProof/>
                <w:webHidden/>
              </w:rPr>
              <w:fldChar w:fldCharType="end"/>
            </w:r>
          </w:hyperlink>
        </w:p>
        <w:p w14:paraId="239E5AF7" w14:textId="77777777" w:rsidR="00D22E4F" w:rsidRDefault="00A05119">
          <w:pPr>
            <w:pStyle w:val="TOC2"/>
            <w:tabs>
              <w:tab w:val="left" w:pos="880"/>
            </w:tabs>
            <w:rPr>
              <w:rFonts w:asciiTheme="minorHAnsi" w:eastAsiaTheme="minorEastAsia" w:hAnsiTheme="minorHAnsi" w:cstheme="minorBidi"/>
              <w:noProof/>
              <w:lang w:eastAsia="en-AU"/>
            </w:rPr>
          </w:pPr>
          <w:hyperlink w:anchor="_Toc10811628" w:history="1">
            <w:r w:rsidR="00D22E4F" w:rsidRPr="000F6001">
              <w:rPr>
                <w:rStyle w:val="Hyperlink"/>
                <w:noProof/>
              </w:rPr>
              <w:t>4</w:t>
            </w:r>
            <w:r w:rsidR="00D22E4F">
              <w:rPr>
                <w:rFonts w:asciiTheme="minorHAnsi" w:eastAsiaTheme="minorEastAsia" w:hAnsiTheme="minorHAnsi" w:cstheme="minorBidi"/>
                <w:noProof/>
                <w:lang w:eastAsia="en-AU"/>
              </w:rPr>
              <w:tab/>
            </w:r>
            <w:r w:rsidR="00D22E4F" w:rsidRPr="000F6001">
              <w:rPr>
                <w:rStyle w:val="Hyperlink"/>
                <w:noProof/>
              </w:rPr>
              <w:t>Overview of forest management in Chile</w:t>
            </w:r>
            <w:r w:rsidR="00D22E4F">
              <w:rPr>
                <w:noProof/>
                <w:webHidden/>
              </w:rPr>
              <w:tab/>
            </w:r>
            <w:r w:rsidR="00D22E4F">
              <w:rPr>
                <w:noProof/>
                <w:webHidden/>
              </w:rPr>
              <w:fldChar w:fldCharType="begin"/>
            </w:r>
            <w:r w:rsidR="00D22E4F">
              <w:rPr>
                <w:noProof/>
                <w:webHidden/>
              </w:rPr>
              <w:instrText xml:space="preserve"> PAGEREF _Toc10811628 \h </w:instrText>
            </w:r>
            <w:r w:rsidR="00D22E4F">
              <w:rPr>
                <w:noProof/>
                <w:webHidden/>
              </w:rPr>
            </w:r>
            <w:r w:rsidR="00D22E4F">
              <w:rPr>
                <w:noProof/>
                <w:webHidden/>
              </w:rPr>
              <w:fldChar w:fldCharType="separate"/>
            </w:r>
            <w:r w:rsidR="000F199D">
              <w:rPr>
                <w:noProof/>
                <w:webHidden/>
              </w:rPr>
              <w:t>5</w:t>
            </w:r>
            <w:r w:rsidR="00D22E4F">
              <w:rPr>
                <w:noProof/>
                <w:webHidden/>
              </w:rPr>
              <w:fldChar w:fldCharType="end"/>
            </w:r>
          </w:hyperlink>
        </w:p>
        <w:p w14:paraId="0D1472E0" w14:textId="77777777" w:rsidR="00D22E4F" w:rsidRDefault="00A05119">
          <w:pPr>
            <w:pStyle w:val="TOC3"/>
            <w:tabs>
              <w:tab w:val="left" w:pos="1540"/>
            </w:tabs>
            <w:rPr>
              <w:rFonts w:asciiTheme="minorHAnsi" w:eastAsiaTheme="minorEastAsia" w:hAnsiTheme="minorHAnsi" w:cstheme="minorBidi"/>
              <w:noProof/>
              <w:lang w:eastAsia="en-AU"/>
            </w:rPr>
          </w:pPr>
          <w:hyperlink w:anchor="_Toc10811629" w:history="1">
            <w:r w:rsidR="00D22E4F" w:rsidRPr="000F6001">
              <w:rPr>
                <w:rStyle w:val="Hyperlink"/>
                <w:noProof/>
              </w:rPr>
              <w:t>4.1</w:t>
            </w:r>
            <w:r w:rsidR="00D22E4F">
              <w:rPr>
                <w:rFonts w:asciiTheme="minorHAnsi" w:eastAsiaTheme="minorEastAsia" w:hAnsiTheme="minorHAnsi" w:cstheme="minorBidi"/>
                <w:noProof/>
                <w:lang w:eastAsia="en-AU"/>
              </w:rPr>
              <w:tab/>
            </w:r>
            <w:r w:rsidR="00D22E4F" w:rsidRPr="000F6001">
              <w:rPr>
                <w:rStyle w:val="Hyperlink"/>
                <w:noProof/>
              </w:rPr>
              <w:t>Forest ownership</w:t>
            </w:r>
            <w:r w:rsidR="00D22E4F">
              <w:rPr>
                <w:noProof/>
                <w:webHidden/>
              </w:rPr>
              <w:tab/>
            </w:r>
            <w:r w:rsidR="00D22E4F">
              <w:rPr>
                <w:noProof/>
                <w:webHidden/>
              </w:rPr>
              <w:fldChar w:fldCharType="begin"/>
            </w:r>
            <w:r w:rsidR="00D22E4F">
              <w:rPr>
                <w:noProof/>
                <w:webHidden/>
              </w:rPr>
              <w:instrText xml:space="preserve"> PAGEREF _Toc10811629 \h </w:instrText>
            </w:r>
            <w:r w:rsidR="00D22E4F">
              <w:rPr>
                <w:noProof/>
                <w:webHidden/>
              </w:rPr>
            </w:r>
            <w:r w:rsidR="00D22E4F">
              <w:rPr>
                <w:noProof/>
                <w:webHidden/>
              </w:rPr>
              <w:fldChar w:fldCharType="separate"/>
            </w:r>
            <w:r w:rsidR="000F199D">
              <w:rPr>
                <w:noProof/>
                <w:webHidden/>
              </w:rPr>
              <w:t>5</w:t>
            </w:r>
            <w:r w:rsidR="00D22E4F">
              <w:rPr>
                <w:noProof/>
                <w:webHidden/>
              </w:rPr>
              <w:fldChar w:fldCharType="end"/>
            </w:r>
          </w:hyperlink>
        </w:p>
        <w:p w14:paraId="6487B73E" w14:textId="77777777" w:rsidR="00D22E4F" w:rsidRDefault="00A05119">
          <w:pPr>
            <w:pStyle w:val="TOC3"/>
            <w:tabs>
              <w:tab w:val="left" w:pos="1540"/>
            </w:tabs>
            <w:rPr>
              <w:rFonts w:asciiTheme="minorHAnsi" w:eastAsiaTheme="minorEastAsia" w:hAnsiTheme="minorHAnsi" w:cstheme="minorBidi"/>
              <w:noProof/>
              <w:lang w:eastAsia="en-AU"/>
            </w:rPr>
          </w:pPr>
          <w:hyperlink w:anchor="_Toc10811630" w:history="1">
            <w:r w:rsidR="00D22E4F" w:rsidRPr="000F6001">
              <w:rPr>
                <w:rStyle w:val="Hyperlink"/>
                <w:noProof/>
              </w:rPr>
              <w:t>4.2</w:t>
            </w:r>
            <w:r w:rsidR="00D22E4F">
              <w:rPr>
                <w:rFonts w:asciiTheme="minorHAnsi" w:eastAsiaTheme="minorEastAsia" w:hAnsiTheme="minorHAnsi" w:cstheme="minorBidi"/>
                <w:noProof/>
                <w:lang w:eastAsia="en-AU"/>
              </w:rPr>
              <w:tab/>
            </w:r>
            <w:r w:rsidR="00D22E4F" w:rsidRPr="000F6001">
              <w:rPr>
                <w:rStyle w:val="Hyperlink"/>
                <w:noProof/>
              </w:rPr>
              <w:t>Agencies responsible for managing and regulating forests</w:t>
            </w:r>
            <w:r w:rsidR="00D22E4F">
              <w:rPr>
                <w:noProof/>
                <w:webHidden/>
              </w:rPr>
              <w:tab/>
            </w:r>
            <w:r w:rsidR="00D22E4F">
              <w:rPr>
                <w:noProof/>
                <w:webHidden/>
              </w:rPr>
              <w:fldChar w:fldCharType="begin"/>
            </w:r>
            <w:r w:rsidR="00D22E4F">
              <w:rPr>
                <w:noProof/>
                <w:webHidden/>
              </w:rPr>
              <w:instrText xml:space="preserve"> PAGEREF _Toc10811630 \h </w:instrText>
            </w:r>
            <w:r w:rsidR="00D22E4F">
              <w:rPr>
                <w:noProof/>
                <w:webHidden/>
              </w:rPr>
            </w:r>
            <w:r w:rsidR="00D22E4F">
              <w:rPr>
                <w:noProof/>
                <w:webHidden/>
              </w:rPr>
              <w:fldChar w:fldCharType="separate"/>
            </w:r>
            <w:r w:rsidR="000F199D">
              <w:rPr>
                <w:noProof/>
                <w:webHidden/>
              </w:rPr>
              <w:t>6</w:t>
            </w:r>
            <w:r w:rsidR="00D22E4F">
              <w:rPr>
                <w:noProof/>
                <w:webHidden/>
              </w:rPr>
              <w:fldChar w:fldCharType="end"/>
            </w:r>
          </w:hyperlink>
        </w:p>
        <w:p w14:paraId="458DA462" w14:textId="77777777" w:rsidR="00D22E4F" w:rsidRDefault="00A05119">
          <w:pPr>
            <w:pStyle w:val="TOC3"/>
            <w:tabs>
              <w:tab w:val="left" w:pos="1540"/>
            </w:tabs>
            <w:rPr>
              <w:rFonts w:asciiTheme="minorHAnsi" w:eastAsiaTheme="minorEastAsia" w:hAnsiTheme="minorHAnsi" w:cstheme="minorBidi"/>
              <w:noProof/>
              <w:lang w:eastAsia="en-AU"/>
            </w:rPr>
          </w:pPr>
          <w:hyperlink w:anchor="_Toc10811631" w:history="1">
            <w:r w:rsidR="00D22E4F" w:rsidRPr="000F6001">
              <w:rPr>
                <w:rStyle w:val="Hyperlink"/>
                <w:noProof/>
              </w:rPr>
              <w:t>4.3</w:t>
            </w:r>
            <w:r w:rsidR="00D22E4F">
              <w:rPr>
                <w:rFonts w:asciiTheme="minorHAnsi" w:eastAsiaTheme="minorEastAsia" w:hAnsiTheme="minorHAnsi" w:cstheme="minorBidi"/>
                <w:noProof/>
                <w:lang w:eastAsia="en-AU"/>
              </w:rPr>
              <w:tab/>
            </w:r>
            <w:r w:rsidR="00D22E4F" w:rsidRPr="000F6001">
              <w:rPr>
                <w:rStyle w:val="Hyperlink"/>
                <w:noProof/>
              </w:rPr>
              <w:t>Bans or limitations on harvest of specific species</w:t>
            </w:r>
            <w:r w:rsidR="00D22E4F">
              <w:rPr>
                <w:noProof/>
                <w:webHidden/>
              </w:rPr>
              <w:tab/>
            </w:r>
            <w:r w:rsidR="00D22E4F">
              <w:rPr>
                <w:noProof/>
                <w:webHidden/>
              </w:rPr>
              <w:fldChar w:fldCharType="begin"/>
            </w:r>
            <w:r w:rsidR="00D22E4F">
              <w:rPr>
                <w:noProof/>
                <w:webHidden/>
              </w:rPr>
              <w:instrText xml:space="preserve"> PAGEREF _Toc10811631 \h </w:instrText>
            </w:r>
            <w:r w:rsidR="00D22E4F">
              <w:rPr>
                <w:noProof/>
                <w:webHidden/>
              </w:rPr>
            </w:r>
            <w:r w:rsidR="00D22E4F">
              <w:rPr>
                <w:noProof/>
                <w:webHidden/>
              </w:rPr>
              <w:fldChar w:fldCharType="separate"/>
            </w:r>
            <w:r w:rsidR="000F199D">
              <w:rPr>
                <w:noProof/>
                <w:webHidden/>
              </w:rPr>
              <w:t>7</w:t>
            </w:r>
            <w:r w:rsidR="00D22E4F">
              <w:rPr>
                <w:noProof/>
                <w:webHidden/>
              </w:rPr>
              <w:fldChar w:fldCharType="end"/>
            </w:r>
          </w:hyperlink>
        </w:p>
        <w:p w14:paraId="65E81BCA" w14:textId="77777777" w:rsidR="00D22E4F" w:rsidRDefault="00A05119">
          <w:pPr>
            <w:pStyle w:val="TOC2"/>
            <w:tabs>
              <w:tab w:val="left" w:pos="880"/>
            </w:tabs>
            <w:rPr>
              <w:rFonts w:asciiTheme="minorHAnsi" w:eastAsiaTheme="minorEastAsia" w:hAnsiTheme="minorHAnsi" w:cstheme="minorBidi"/>
              <w:noProof/>
              <w:lang w:eastAsia="en-AU"/>
            </w:rPr>
          </w:pPr>
          <w:hyperlink w:anchor="_Toc10811632" w:history="1">
            <w:r w:rsidR="00D22E4F" w:rsidRPr="000F6001">
              <w:rPr>
                <w:rStyle w:val="Hyperlink"/>
                <w:noProof/>
              </w:rPr>
              <w:t>5</w:t>
            </w:r>
            <w:r w:rsidR="00D22E4F">
              <w:rPr>
                <w:rFonts w:asciiTheme="minorHAnsi" w:eastAsiaTheme="minorEastAsia" w:hAnsiTheme="minorHAnsi" w:cstheme="minorBidi"/>
                <w:noProof/>
                <w:lang w:eastAsia="en-AU"/>
              </w:rPr>
              <w:tab/>
            </w:r>
            <w:r w:rsidR="00D22E4F" w:rsidRPr="000F6001">
              <w:rPr>
                <w:rStyle w:val="Hyperlink"/>
                <w:noProof/>
              </w:rPr>
              <w:t>Timber products exported from Chile to Australia</w:t>
            </w:r>
            <w:r w:rsidR="00D22E4F">
              <w:rPr>
                <w:noProof/>
                <w:webHidden/>
              </w:rPr>
              <w:tab/>
            </w:r>
            <w:r w:rsidR="00D22E4F">
              <w:rPr>
                <w:noProof/>
                <w:webHidden/>
              </w:rPr>
              <w:fldChar w:fldCharType="begin"/>
            </w:r>
            <w:r w:rsidR="00D22E4F">
              <w:rPr>
                <w:noProof/>
                <w:webHidden/>
              </w:rPr>
              <w:instrText xml:space="preserve"> PAGEREF _Toc10811632 \h </w:instrText>
            </w:r>
            <w:r w:rsidR="00D22E4F">
              <w:rPr>
                <w:noProof/>
                <w:webHidden/>
              </w:rPr>
            </w:r>
            <w:r w:rsidR="00D22E4F">
              <w:rPr>
                <w:noProof/>
                <w:webHidden/>
              </w:rPr>
              <w:fldChar w:fldCharType="separate"/>
            </w:r>
            <w:r w:rsidR="000F199D">
              <w:rPr>
                <w:noProof/>
                <w:webHidden/>
              </w:rPr>
              <w:t>9</w:t>
            </w:r>
            <w:r w:rsidR="00D22E4F">
              <w:rPr>
                <w:noProof/>
                <w:webHidden/>
              </w:rPr>
              <w:fldChar w:fldCharType="end"/>
            </w:r>
          </w:hyperlink>
        </w:p>
        <w:p w14:paraId="147F0C92" w14:textId="77777777" w:rsidR="00D22E4F" w:rsidRDefault="00A05119">
          <w:pPr>
            <w:pStyle w:val="TOC2"/>
            <w:tabs>
              <w:tab w:val="left" w:pos="880"/>
            </w:tabs>
            <w:rPr>
              <w:rFonts w:asciiTheme="minorHAnsi" w:eastAsiaTheme="minorEastAsia" w:hAnsiTheme="minorHAnsi" w:cstheme="minorBidi"/>
              <w:noProof/>
              <w:lang w:eastAsia="en-AU"/>
            </w:rPr>
          </w:pPr>
          <w:hyperlink w:anchor="_Toc10811633" w:history="1">
            <w:r w:rsidR="00D22E4F" w:rsidRPr="000F6001">
              <w:rPr>
                <w:rStyle w:val="Hyperlink"/>
                <w:noProof/>
              </w:rPr>
              <w:t>6</w:t>
            </w:r>
            <w:r w:rsidR="00D22E4F">
              <w:rPr>
                <w:rFonts w:asciiTheme="minorHAnsi" w:eastAsiaTheme="minorEastAsia" w:hAnsiTheme="minorHAnsi" w:cstheme="minorBidi"/>
                <w:noProof/>
                <w:lang w:eastAsia="en-AU"/>
              </w:rPr>
              <w:tab/>
            </w:r>
            <w:r w:rsidR="00D22E4F" w:rsidRPr="000F6001">
              <w:rPr>
                <w:rStyle w:val="Hyperlink"/>
                <w:noProof/>
              </w:rPr>
              <w:t>Laws and regulations governing forestry in Chile</w:t>
            </w:r>
            <w:r w:rsidR="00D22E4F">
              <w:rPr>
                <w:noProof/>
                <w:webHidden/>
              </w:rPr>
              <w:tab/>
            </w:r>
            <w:r w:rsidR="00D22E4F">
              <w:rPr>
                <w:noProof/>
                <w:webHidden/>
              </w:rPr>
              <w:fldChar w:fldCharType="begin"/>
            </w:r>
            <w:r w:rsidR="00D22E4F">
              <w:rPr>
                <w:noProof/>
                <w:webHidden/>
              </w:rPr>
              <w:instrText xml:space="preserve"> PAGEREF _Toc10811633 \h </w:instrText>
            </w:r>
            <w:r w:rsidR="00D22E4F">
              <w:rPr>
                <w:noProof/>
                <w:webHidden/>
              </w:rPr>
            </w:r>
            <w:r w:rsidR="00D22E4F">
              <w:rPr>
                <w:noProof/>
                <w:webHidden/>
              </w:rPr>
              <w:fldChar w:fldCharType="separate"/>
            </w:r>
            <w:r w:rsidR="000F199D">
              <w:rPr>
                <w:noProof/>
                <w:webHidden/>
              </w:rPr>
              <w:t>9</w:t>
            </w:r>
            <w:r w:rsidR="00D22E4F">
              <w:rPr>
                <w:noProof/>
                <w:webHidden/>
              </w:rPr>
              <w:fldChar w:fldCharType="end"/>
            </w:r>
          </w:hyperlink>
        </w:p>
        <w:p w14:paraId="6911FE00" w14:textId="77777777" w:rsidR="00D22E4F" w:rsidRDefault="00A05119">
          <w:pPr>
            <w:pStyle w:val="TOC3"/>
            <w:tabs>
              <w:tab w:val="left" w:pos="1540"/>
            </w:tabs>
            <w:rPr>
              <w:rFonts w:asciiTheme="minorHAnsi" w:eastAsiaTheme="minorEastAsia" w:hAnsiTheme="minorHAnsi" w:cstheme="minorBidi"/>
              <w:noProof/>
              <w:lang w:eastAsia="en-AU"/>
            </w:rPr>
          </w:pPr>
          <w:hyperlink w:anchor="_Toc10811634" w:history="1">
            <w:r w:rsidR="00D22E4F" w:rsidRPr="000F6001">
              <w:rPr>
                <w:rStyle w:val="Hyperlink"/>
                <w:noProof/>
              </w:rPr>
              <w:t>6.1</w:t>
            </w:r>
            <w:r w:rsidR="00D22E4F">
              <w:rPr>
                <w:rFonts w:asciiTheme="minorHAnsi" w:eastAsiaTheme="minorEastAsia" w:hAnsiTheme="minorHAnsi" w:cstheme="minorBidi"/>
                <w:noProof/>
                <w:lang w:eastAsia="en-AU"/>
              </w:rPr>
              <w:tab/>
            </w:r>
            <w:r w:rsidR="00D22E4F" w:rsidRPr="000F6001">
              <w:rPr>
                <w:rStyle w:val="Hyperlink"/>
                <w:noProof/>
              </w:rPr>
              <w:t>Domestic timber harvesting</w:t>
            </w:r>
            <w:r w:rsidR="00D22E4F">
              <w:rPr>
                <w:noProof/>
                <w:webHidden/>
              </w:rPr>
              <w:tab/>
            </w:r>
            <w:r w:rsidR="00D22E4F">
              <w:rPr>
                <w:noProof/>
                <w:webHidden/>
              </w:rPr>
              <w:fldChar w:fldCharType="begin"/>
            </w:r>
            <w:r w:rsidR="00D22E4F">
              <w:rPr>
                <w:noProof/>
                <w:webHidden/>
              </w:rPr>
              <w:instrText xml:space="preserve"> PAGEREF _Toc10811634 \h </w:instrText>
            </w:r>
            <w:r w:rsidR="00D22E4F">
              <w:rPr>
                <w:noProof/>
                <w:webHidden/>
              </w:rPr>
            </w:r>
            <w:r w:rsidR="00D22E4F">
              <w:rPr>
                <w:noProof/>
                <w:webHidden/>
              </w:rPr>
              <w:fldChar w:fldCharType="separate"/>
            </w:r>
            <w:r w:rsidR="000F199D">
              <w:rPr>
                <w:noProof/>
                <w:webHidden/>
              </w:rPr>
              <w:t>10</w:t>
            </w:r>
            <w:r w:rsidR="00D22E4F">
              <w:rPr>
                <w:noProof/>
                <w:webHidden/>
              </w:rPr>
              <w:fldChar w:fldCharType="end"/>
            </w:r>
          </w:hyperlink>
        </w:p>
        <w:p w14:paraId="724A3258" w14:textId="77777777" w:rsidR="00D22E4F" w:rsidRDefault="00A05119">
          <w:pPr>
            <w:pStyle w:val="TOC3"/>
            <w:tabs>
              <w:tab w:val="left" w:pos="1540"/>
            </w:tabs>
            <w:rPr>
              <w:rFonts w:asciiTheme="minorHAnsi" w:eastAsiaTheme="minorEastAsia" w:hAnsiTheme="minorHAnsi" w:cstheme="minorBidi"/>
              <w:noProof/>
              <w:lang w:eastAsia="en-AU"/>
            </w:rPr>
          </w:pPr>
          <w:hyperlink w:anchor="_Toc10811635" w:history="1">
            <w:r w:rsidR="00D22E4F" w:rsidRPr="000F6001">
              <w:rPr>
                <w:rStyle w:val="Hyperlink"/>
                <w:noProof/>
              </w:rPr>
              <w:t>6.2</w:t>
            </w:r>
            <w:r w:rsidR="00D22E4F">
              <w:rPr>
                <w:rFonts w:asciiTheme="minorHAnsi" w:eastAsiaTheme="minorEastAsia" w:hAnsiTheme="minorHAnsi" w:cstheme="minorBidi"/>
                <w:noProof/>
                <w:lang w:eastAsia="en-AU"/>
              </w:rPr>
              <w:tab/>
            </w:r>
            <w:r w:rsidR="00D22E4F" w:rsidRPr="000F6001">
              <w:rPr>
                <w:rStyle w:val="Hyperlink"/>
                <w:noProof/>
              </w:rPr>
              <w:t>Timber transportation and exportation</w:t>
            </w:r>
            <w:r w:rsidR="00D22E4F">
              <w:rPr>
                <w:noProof/>
                <w:webHidden/>
              </w:rPr>
              <w:tab/>
            </w:r>
            <w:r w:rsidR="00D22E4F">
              <w:rPr>
                <w:noProof/>
                <w:webHidden/>
              </w:rPr>
              <w:fldChar w:fldCharType="begin"/>
            </w:r>
            <w:r w:rsidR="00D22E4F">
              <w:rPr>
                <w:noProof/>
                <w:webHidden/>
              </w:rPr>
              <w:instrText xml:space="preserve"> PAGEREF _Toc10811635 \h </w:instrText>
            </w:r>
            <w:r w:rsidR="00D22E4F">
              <w:rPr>
                <w:noProof/>
                <w:webHidden/>
              </w:rPr>
            </w:r>
            <w:r w:rsidR="00D22E4F">
              <w:rPr>
                <w:noProof/>
                <w:webHidden/>
              </w:rPr>
              <w:fldChar w:fldCharType="separate"/>
            </w:r>
            <w:r w:rsidR="000F199D">
              <w:rPr>
                <w:noProof/>
                <w:webHidden/>
              </w:rPr>
              <w:t>14</w:t>
            </w:r>
            <w:r w:rsidR="00D22E4F">
              <w:rPr>
                <w:noProof/>
                <w:webHidden/>
              </w:rPr>
              <w:fldChar w:fldCharType="end"/>
            </w:r>
          </w:hyperlink>
        </w:p>
        <w:p w14:paraId="237A4CD6" w14:textId="77777777" w:rsidR="00D22E4F" w:rsidRDefault="00A05119">
          <w:pPr>
            <w:pStyle w:val="TOC2"/>
            <w:tabs>
              <w:tab w:val="left" w:pos="880"/>
            </w:tabs>
            <w:rPr>
              <w:rFonts w:asciiTheme="minorHAnsi" w:eastAsiaTheme="minorEastAsia" w:hAnsiTheme="minorHAnsi" w:cstheme="minorBidi"/>
              <w:noProof/>
              <w:lang w:eastAsia="en-AU"/>
            </w:rPr>
          </w:pPr>
          <w:hyperlink w:anchor="_Toc10811636" w:history="1">
            <w:r w:rsidR="00D22E4F" w:rsidRPr="000F6001">
              <w:rPr>
                <w:rStyle w:val="Hyperlink"/>
                <w:noProof/>
              </w:rPr>
              <w:t>7</w:t>
            </w:r>
            <w:r w:rsidR="00D22E4F">
              <w:rPr>
                <w:rFonts w:asciiTheme="minorHAnsi" w:eastAsiaTheme="minorEastAsia" w:hAnsiTheme="minorHAnsi" w:cstheme="minorBidi"/>
                <w:noProof/>
                <w:lang w:eastAsia="en-AU"/>
              </w:rPr>
              <w:tab/>
            </w:r>
            <w:r w:rsidR="00D22E4F" w:rsidRPr="000F6001">
              <w:rPr>
                <w:rStyle w:val="Hyperlink"/>
                <w:noProof/>
              </w:rPr>
              <w:t>Identifying legal product from Chile</w:t>
            </w:r>
            <w:r w:rsidR="00D22E4F">
              <w:rPr>
                <w:noProof/>
                <w:webHidden/>
              </w:rPr>
              <w:tab/>
            </w:r>
            <w:r w:rsidR="00D22E4F">
              <w:rPr>
                <w:noProof/>
                <w:webHidden/>
              </w:rPr>
              <w:fldChar w:fldCharType="begin"/>
            </w:r>
            <w:r w:rsidR="00D22E4F">
              <w:rPr>
                <w:noProof/>
                <w:webHidden/>
              </w:rPr>
              <w:instrText xml:space="preserve"> PAGEREF _Toc10811636 \h </w:instrText>
            </w:r>
            <w:r w:rsidR="00D22E4F">
              <w:rPr>
                <w:noProof/>
                <w:webHidden/>
              </w:rPr>
            </w:r>
            <w:r w:rsidR="00D22E4F">
              <w:rPr>
                <w:noProof/>
                <w:webHidden/>
              </w:rPr>
              <w:fldChar w:fldCharType="separate"/>
            </w:r>
            <w:r w:rsidR="000F199D">
              <w:rPr>
                <w:noProof/>
                <w:webHidden/>
              </w:rPr>
              <w:t>17</w:t>
            </w:r>
            <w:r w:rsidR="00D22E4F">
              <w:rPr>
                <w:noProof/>
                <w:webHidden/>
              </w:rPr>
              <w:fldChar w:fldCharType="end"/>
            </w:r>
          </w:hyperlink>
        </w:p>
        <w:p w14:paraId="25E272C1" w14:textId="77777777" w:rsidR="00D22E4F" w:rsidRDefault="00A05119">
          <w:pPr>
            <w:pStyle w:val="TOC3"/>
            <w:tabs>
              <w:tab w:val="left" w:pos="1540"/>
            </w:tabs>
            <w:rPr>
              <w:rFonts w:asciiTheme="minorHAnsi" w:eastAsiaTheme="minorEastAsia" w:hAnsiTheme="minorHAnsi" w:cstheme="minorBidi"/>
              <w:noProof/>
              <w:lang w:eastAsia="en-AU"/>
            </w:rPr>
          </w:pPr>
          <w:hyperlink w:anchor="_Toc10811637" w:history="1">
            <w:r w:rsidR="00D22E4F" w:rsidRPr="000F6001">
              <w:rPr>
                <w:rStyle w:val="Hyperlink"/>
                <w:noProof/>
                <w:lang w:eastAsia="ja-JP"/>
              </w:rPr>
              <w:t>7.1</w:t>
            </w:r>
            <w:r w:rsidR="00D22E4F">
              <w:rPr>
                <w:rFonts w:asciiTheme="minorHAnsi" w:eastAsiaTheme="minorEastAsia" w:hAnsiTheme="minorHAnsi" w:cstheme="minorBidi"/>
                <w:noProof/>
                <w:lang w:eastAsia="en-AU"/>
              </w:rPr>
              <w:tab/>
            </w:r>
            <w:r w:rsidR="00D22E4F" w:rsidRPr="000F6001">
              <w:rPr>
                <w:rStyle w:val="Hyperlink"/>
                <w:noProof/>
                <w:lang w:eastAsia="ja-JP"/>
              </w:rPr>
              <w:t>Timber Legality Frameworks</w:t>
            </w:r>
            <w:r w:rsidR="00D22E4F">
              <w:rPr>
                <w:noProof/>
                <w:webHidden/>
              </w:rPr>
              <w:tab/>
            </w:r>
            <w:r w:rsidR="00D22E4F">
              <w:rPr>
                <w:noProof/>
                <w:webHidden/>
              </w:rPr>
              <w:fldChar w:fldCharType="begin"/>
            </w:r>
            <w:r w:rsidR="00D22E4F">
              <w:rPr>
                <w:noProof/>
                <w:webHidden/>
              </w:rPr>
              <w:instrText xml:space="preserve"> PAGEREF _Toc10811637 \h </w:instrText>
            </w:r>
            <w:r w:rsidR="00D22E4F">
              <w:rPr>
                <w:noProof/>
                <w:webHidden/>
              </w:rPr>
            </w:r>
            <w:r w:rsidR="00D22E4F">
              <w:rPr>
                <w:noProof/>
                <w:webHidden/>
              </w:rPr>
              <w:fldChar w:fldCharType="separate"/>
            </w:r>
            <w:r w:rsidR="000F199D">
              <w:rPr>
                <w:noProof/>
                <w:webHidden/>
              </w:rPr>
              <w:t>17</w:t>
            </w:r>
            <w:r w:rsidR="00D22E4F">
              <w:rPr>
                <w:noProof/>
                <w:webHidden/>
              </w:rPr>
              <w:fldChar w:fldCharType="end"/>
            </w:r>
          </w:hyperlink>
        </w:p>
        <w:p w14:paraId="7B5914C0" w14:textId="77777777" w:rsidR="00D22E4F" w:rsidRDefault="00A05119">
          <w:pPr>
            <w:pStyle w:val="TOC2"/>
            <w:tabs>
              <w:tab w:val="left" w:pos="880"/>
            </w:tabs>
            <w:rPr>
              <w:rFonts w:asciiTheme="minorHAnsi" w:eastAsiaTheme="minorEastAsia" w:hAnsiTheme="minorHAnsi" w:cstheme="minorBidi"/>
              <w:noProof/>
              <w:lang w:eastAsia="en-AU"/>
            </w:rPr>
          </w:pPr>
          <w:hyperlink w:anchor="_Toc10811638" w:history="1">
            <w:r w:rsidR="00D22E4F" w:rsidRPr="000F6001">
              <w:rPr>
                <w:rStyle w:val="Hyperlink"/>
                <w:noProof/>
              </w:rPr>
              <w:t>8</w:t>
            </w:r>
            <w:r w:rsidR="00D22E4F">
              <w:rPr>
                <w:rFonts w:asciiTheme="minorHAnsi" w:eastAsiaTheme="minorEastAsia" w:hAnsiTheme="minorHAnsi" w:cstheme="minorBidi"/>
                <w:noProof/>
                <w:lang w:eastAsia="en-AU"/>
              </w:rPr>
              <w:tab/>
            </w:r>
            <w:r w:rsidR="00D22E4F" w:rsidRPr="000F6001">
              <w:rPr>
                <w:rStyle w:val="Hyperlink"/>
                <w:noProof/>
              </w:rPr>
              <w:t>Who should I contact for further information</w:t>
            </w:r>
            <w:r w:rsidR="00D22E4F">
              <w:rPr>
                <w:noProof/>
                <w:webHidden/>
              </w:rPr>
              <w:tab/>
            </w:r>
            <w:r w:rsidR="00D22E4F">
              <w:rPr>
                <w:noProof/>
                <w:webHidden/>
              </w:rPr>
              <w:fldChar w:fldCharType="begin"/>
            </w:r>
            <w:r w:rsidR="00D22E4F">
              <w:rPr>
                <w:noProof/>
                <w:webHidden/>
              </w:rPr>
              <w:instrText xml:space="preserve"> PAGEREF _Toc10811638 \h </w:instrText>
            </w:r>
            <w:r w:rsidR="00D22E4F">
              <w:rPr>
                <w:noProof/>
                <w:webHidden/>
              </w:rPr>
            </w:r>
            <w:r w:rsidR="00D22E4F">
              <w:rPr>
                <w:noProof/>
                <w:webHidden/>
              </w:rPr>
              <w:fldChar w:fldCharType="separate"/>
            </w:r>
            <w:r w:rsidR="000F199D">
              <w:rPr>
                <w:noProof/>
                <w:webHidden/>
              </w:rPr>
              <w:t>19</w:t>
            </w:r>
            <w:r w:rsidR="00D22E4F">
              <w:rPr>
                <w:noProof/>
                <w:webHidden/>
              </w:rPr>
              <w:fldChar w:fldCharType="end"/>
            </w:r>
          </w:hyperlink>
        </w:p>
        <w:p w14:paraId="237E0443" w14:textId="77777777" w:rsidR="00D22E4F" w:rsidRDefault="00A05119">
          <w:pPr>
            <w:pStyle w:val="TOC2"/>
            <w:rPr>
              <w:rFonts w:asciiTheme="minorHAnsi" w:eastAsiaTheme="minorEastAsia" w:hAnsiTheme="minorHAnsi" w:cstheme="minorBidi"/>
              <w:noProof/>
              <w:lang w:eastAsia="en-AU"/>
            </w:rPr>
          </w:pPr>
          <w:hyperlink w:anchor="_Toc10811639" w:history="1">
            <w:r w:rsidR="00D22E4F" w:rsidRPr="000F6001">
              <w:rPr>
                <w:rStyle w:val="Hyperlink"/>
                <w:noProof/>
              </w:rPr>
              <w:t>Annex 1: Native Forest Products Transit Chart</w:t>
            </w:r>
            <w:r w:rsidR="00D22E4F">
              <w:rPr>
                <w:noProof/>
                <w:webHidden/>
              </w:rPr>
              <w:tab/>
            </w:r>
            <w:r w:rsidR="00D22E4F">
              <w:rPr>
                <w:noProof/>
                <w:webHidden/>
              </w:rPr>
              <w:fldChar w:fldCharType="begin"/>
            </w:r>
            <w:r w:rsidR="00D22E4F">
              <w:rPr>
                <w:noProof/>
                <w:webHidden/>
              </w:rPr>
              <w:instrText xml:space="preserve"> PAGEREF _Toc10811639 \h </w:instrText>
            </w:r>
            <w:r w:rsidR="00D22E4F">
              <w:rPr>
                <w:noProof/>
                <w:webHidden/>
              </w:rPr>
            </w:r>
            <w:r w:rsidR="00D22E4F">
              <w:rPr>
                <w:noProof/>
                <w:webHidden/>
              </w:rPr>
              <w:fldChar w:fldCharType="separate"/>
            </w:r>
            <w:r w:rsidR="000F199D">
              <w:rPr>
                <w:noProof/>
                <w:webHidden/>
              </w:rPr>
              <w:t>20</w:t>
            </w:r>
            <w:r w:rsidR="00D22E4F">
              <w:rPr>
                <w:noProof/>
                <w:webHidden/>
              </w:rPr>
              <w:fldChar w:fldCharType="end"/>
            </w:r>
          </w:hyperlink>
        </w:p>
        <w:p w14:paraId="34763138" w14:textId="77777777" w:rsidR="00D22E4F" w:rsidRDefault="00A05119" w:rsidP="00D22E4F">
          <w:pPr>
            <w:pStyle w:val="TOC2"/>
            <w:ind w:left="426" w:hanging="1"/>
            <w:rPr>
              <w:rFonts w:asciiTheme="minorHAnsi" w:eastAsiaTheme="minorEastAsia" w:hAnsiTheme="minorHAnsi" w:cstheme="minorBidi"/>
              <w:noProof/>
              <w:lang w:eastAsia="en-AU"/>
            </w:rPr>
          </w:pPr>
          <w:hyperlink w:anchor="_Toc10811640" w:history="1">
            <w:r w:rsidR="00D22E4F" w:rsidRPr="000F6001">
              <w:rPr>
                <w:rStyle w:val="Hyperlink"/>
                <w:noProof/>
                <w:lang w:val="es-CL"/>
              </w:rPr>
              <w:t xml:space="preserve">Annex 2: Single Export Document - </w:t>
            </w:r>
            <w:r w:rsidR="00D22E4F" w:rsidRPr="000F6001">
              <w:rPr>
                <w:rStyle w:val="Hyperlink"/>
                <w:i/>
                <w:noProof/>
                <w:lang w:val="es-CL"/>
              </w:rPr>
              <w:t>Documento Único de Salida – Aceptación a Trámite- DUS–AT (Sample)</w:t>
            </w:r>
            <w:r w:rsidR="00D22E4F">
              <w:rPr>
                <w:noProof/>
                <w:webHidden/>
              </w:rPr>
              <w:tab/>
            </w:r>
            <w:r w:rsidR="00D22E4F">
              <w:rPr>
                <w:noProof/>
                <w:webHidden/>
              </w:rPr>
              <w:fldChar w:fldCharType="begin"/>
            </w:r>
            <w:r w:rsidR="00D22E4F">
              <w:rPr>
                <w:noProof/>
                <w:webHidden/>
              </w:rPr>
              <w:instrText xml:space="preserve"> PAGEREF _Toc10811640 \h </w:instrText>
            </w:r>
            <w:r w:rsidR="00D22E4F">
              <w:rPr>
                <w:noProof/>
                <w:webHidden/>
              </w:rPr>
            </w:r>
            <w:r w:rsidR="00D22E4F">
              <w:rPr>
                <w:noProof/>
                <w:webHidden/>
              </w:rPr>
              <w:fldChar w:fldCharType="separate"/>
            </w:r>
            <w:r w:rsidR="000F199D">
              <w:rPr>
                <w:noProof/>
                <w:webHidden/>
              </w:rPr>
              <w:t>21</w:t>
            </w:r>
            <w:r w:rsidR="00D22E4F">
              <w:rPr>
                <w:noProof/>
                <w:webHidden/>
              </w:rPr>
              <w:fldChar w:fldCharType="end"/>
            </w:r>
          </w:hyperlink>
        </w:p>
        <w:p w14:paraId="354AF1A2" w14:textId="08775661" w:rsidR="00D22E4F" w:rsidRDefault="00A05119">
          <w:pPr>
            <w:pStyle w:val="TOC2"/>
            <w:rPr>
              <w:rFonts w:asciiTheme="minorHAnsi" w:eastAsiaTheme="minorEastAsia" w:hAnsiTheme="minorHAnsi" w:cstheme="minorBidi"/>
              <w:noProof/>
              <w:lang w:eastAsia="en-AU"/>
            </w:rPr>
          </w:pPr>
          <w:hyperlink w:anchor="_Toc10811641" w:history="1">
            <w:r w:rsidR="00D22E4F">
              <w:rPr>
                <w:noProof/>
                <w:webHidden/>
              </w:rPr>
              <w:tab/>
            </w:r>
            <w:r w:rsidR="00D22E4F">
              <w:rPr>
                <w:noProof/>
                <w:webHidden/>
              </w:rPr>
              <w:fldChar w:fldCharType="begin"/>
            </w:r>
            <w:r w:rsidR="00D22E4F">
              <w:rPr>
                <w:noProof/>
                <w:webHidden/>
              </w:rPr>
              <w:instrText xml:space="preserve"> PAGEREF _Toc10811641 \h </w:instrText>
            </w:r>
            <w:r w:rsidR="00D22E4F">
              <w:rPr>
                <w:noProof/>
                <w:webHidden/>
              </w:rPr>
            </w:r>
            <w:r w:rsidR="00D22E4F">
              <w:rPr>
                <w:noProof/>
                <w:webHidden/>
              </w:rPr>
              <w:fldChar w:fldCharType="separate"/>
            </w:r>
            <w:r w:rsidR="000F199D">
              <w:rPr>
                <w:noProof/>
                <w:webHidden/>
              </w:rPr>
              <w:t>21</w:t>
            </w:r>
            <w:r w:rsidR="00D22E4F">
              <w:rPr>
                <w:noProof/>
                <w:webHidden/>
              </w:rPr>
              <w:fldChar w:fldCharType="end"/>
            </w:r>
          </w:hyperlink>
        </w:p>
        <w:p w14:paraId="1724A7D9" w14:textId="77777777" w:rsidR="00D22E4F" w:rsidRDefault="00A05119">
          <w:pPr>
            <w:pStyle w:val="TOC2"/>
            <w:rPr>
              <w:rFonts w:asciiTheme="minorHAnsi" w:eastAsiaTheme="minorEastAsia" w:hAnsiTheme="minorHAnsi" w:cstheme="minorBidi"/>
              <w:noProof/>
              <w:lang w:eastAsia="en-AU"/>
            </w:rPr>
          </w:pPr>
          <w:hyperlink w:anchor="_Toc10811642" w:history="1">
            <w:r w:rsidR="00D22E4F" w:rsidRPr="000F6001">
              <w:rPr>
                <w:rStyle w:val="Hyperlink"/>
                <w:noProof/>
              </w:rPr>
              <w:t>Annex 3: Free Transit Guide</w:t>
            </w:r>
            <w:r w:rsidR="00D22E4F" w:rsidRPr="000F6001">
              <w:rPr>
                <w:rStyle w:val="Hyperlink"/>
                <w:i/>
                <w:noProof/>
              </w:rPr>
              <w:t xml:space="preserve"> </w:t>
            </w:r>
            <w:r w:rsidR="00D22E4F" w:rsidRPr="000F6001">
              <w:rPr>
                <w:rStyle w:val="Hyperlink"/>
                <w:noProof/>
              </w:rPr>
              <w:t xml:space="preserve">- </w:t>
            </w:r>
            <w:r w:rsidR="00D22E4F" w:rsidRPr="000F6001">
              <w:rPr>
                <w:rStyle w:val="Hyperlink"/>
                <w:i/>
                <w:noProof/>
              </w:rPr>
              <w:t>guías de libre tránsito (Sample)</w:t>
            </w:r>
            <w:r w:rsidR="00D22E4F">
              <w:rPr>
                <w:noProof/>
                <w:webHidden/>
              </w:rPr>
              <w:tab/>
            </w:r>
            <w:r w:rsidR="00D22E4F">
              <w:rPr>
                <w:noProof/>
                <w:webHidden/>
              </w:rPr>
              <w:fldChar w:fldCharType="begin"/>
            </w:r>
            <w:r w:rsidR="00D22E4F">
              <w:rPr>
                <w:noProof/>
                <w:webHidden/>
              </w:rPr>
              <w:instrText xml:space="preserve"> PAGEREF _Toc10811642 \h </w:instrText>
            </w:r>
            <w:r w:rsidR="00D22E4F">
              <w:rPr>
                <w:noProof/>
                <w:webHidden/>
              </w:rPr>
            </w:r>
            <w:r w:rsidR="00D22E4F">
              <w:rPr>
                <w:noProof/>
                <w:webHidden/>
              </w:rPr>
              <w:fldChar w:fldCharType="separate"/>
            </w:r>
            <w:r w:rsidR="000F199D">
              <w:rPr>
                <w:noProof/>
                <w:webHidden/>
              </w:rPr>
              <w:t>22</w:t>
            </w:r>
            <w:r w:rsidR="00D22E4F">
              <w:rPr>
                <w:noProof/>
                <w:webHidden/>
              </w:rPr>
              <w:fldChar w:fldCharType="end"/>
            </w:r>
          </w:hyperlink>
        </w:p>
        <w:p w14:paraId="7447FB0F" w14:textId="65397850" w:rsidR="00D22E4F" w:rsidRDefault="00A05119">
          <w:pPr>
            <w:pStyle w:val="TOC2"/>
            <w:rPr>
              <w:rFonts w:asciiTheme="minorHAnsi" w:eastAsiaTheme="minorEastAsia" w:hAnsiTheme="minorHAnsi" w:cstheme="minorBidi"/>
              <w:noProof/>
              <w:lang w:eastAsia="en-AU"/>
            </w:rPr>
          </w:pPr>
          <w:hyperlink w:anchor="_Toc10811643" w:history="1">
            <w:r w:rsidR="00D22E4F">
              <w:rPr>
                <w:noProof/>
                <w:webHidden/>
              </w:rPr>
              <w:tab/>
            </w:r>
            <w:r w:rsidR="00D22E4F">
              <w:rPr>
                <w:noProof/>
                <w:webHidden/>
              </w:rPr>
              <w:fldChar w:fldCharType="begin"/>
            </w:r>
            <w:r w:rsidR="00D22E4F">
              <w:rPr>
                <w:noProof/>
                <w:webHidden/>
              </w:rPr>
              <w:instrText xml:space="preserve"> PAGEREF _Toc10811643 \h </w:instrText>
            </w:r>
            <w:r w:rsidR="00D22E4F">
              <w:rPr>
                <w:noProof/>
                <w:webHidden/>
              </w:rPr>
            </w:r>
            <w:r w:rsidR="00D22E4F">
              <w:rPr>
                <w:noProof/>
                <w:webHidden/>
              </w:rPr>
              <w:fldChar w:fldCharType="separate"/>
            </w:r>
            <w:r w:rsidR="000F199D">
              <w:rPr>
                <w:noProof/>
                <w:webHidden/>
              </w:rPr>
              <w:t>22</w:t>
            </w:r>
            <w:r w:rsidR="00D22E4F">
              <w:rPr>
                <w:noProof/>
                <w:webHidden/>
              </w:rPr>
              <w:fldChar w:fldCharType="end"/>
            </w:r>
          </w:hyperlink>
        </w:p>
        <w:p w14:paraId="4CA4E8F7" w14:textId="77777777" w:rsidR="00341141" w:rsidRDefault="00DB0ED8">
          <w:r>
            <w:rPr>
              <w:b/>
              <w:bCs/>
            </w:rPr>
            <w:fldChar w:fldCharType="end"/>
          </w:r>
        </w:p>
      </w:sdtContent>
    </w:sdt>
    <w:p w14:paraId="6D8A2F75" w14:textId="77777777" w:rsidR="00341141" w:rsidRDefault="00DB0ED8">
      <w:pPr>
        <w:spacing w:before="0"/>
        <w:rPr>
          <w:lang w:eastAsia="ja-JP"/>
        </w:rPr>
      </w:pPr>
      <w:r>
        <w:rPr>
          <w:lang w:eastAsia="ja-JP"/>
        </w:rPr>
        <w:br w:type="page"/>
      </w:r>
    </w:p>
    <w:p w14:paraId="694B9E1A" w14:textId="77777777" w:rsidR="00341141" w:rsidRDefault="00DB0ED8">
      <w:pPr>
        <w:pStyle w:val="Heading2"/>
      </w:pPr>
      <w:bookmarkStart w:id="1" w:name="_Toc514833330"/>
      <w:bookmarkStart w:id="2" w:name="_Toc10811624"/>
      <w:r>
        <w:lastRenderedPageBreak/>
        <w:t>What is required under Australia’s Illegal Logging Laws?</w:t>
      </w:r>
      <w:bookmarkEnd w:id="1"/>
      <w:bookmarkEnd w:id="2"/>
    </w:p>
    <w:p w14:paraId="14FD3C5D" w14:textId="77777777" w:rsidR="00341141" w:rsidRDefault="00DB0ED8">
      <w:pPr>
        <w:rPr>
          <w:lang w:eastAsia="ja-JP"/>
        </w:rPr>
      </w:pPr>
      <w:r>
        <w:rPr>
          <w:lang w:eastAsia="ja-JP"/>
        </w:rPr>
        <w:t xml:space="preserve">Australia’s </w:t>
      </w:r>
      <w:r>
        <w:rPr>
          <w:i/>
          <w:lang w:eastAsia="ja-JP"/>
        </w:rPr>
        <w:t>Illegal Logging Prohibition Regulation 2012</w:t>
      </w:r>
      <w:r>
        <w:rPr>
          <w:lang w:eastAsia="ja-JP"/>
        </w:rPr>
        <w:t xml:space="preserve"> (the Regulation) prescribes due diligence for businesses importing ‘regulated timber products’ and for Australian processors of domestic raw logs. Under the Regulation, importers and processors have to undertake due diligence to minimise the risk of sourcing illegally logged timber.</w:t>
      </w:r>
    </w:p>
    <w:p w14:paraId="52018B5C" w14:textId="4FAB37C2" w:rsidR="00341141" w:rsidRDefault="00DB0ED8">
      <w:pPr>
        <w:rPr>
          <w:lang w:eastAsia="ja-JP"/>
        </w:rPr>
      </w:pPr>
      <w:r>
        <w:rPr>
          <w:lang w:eastAsia="ja-JP"/>
        </w:rPr>
        <w:t xml:space="preserve">The due diligence requirements for importers include the following steps: </w:t>
      </w:r>
    </w:p>
    <w:p w14:paraId="204C1E84" w14:textId="77777777" w:rsidR="00341141" w:rsidRDefault="00DB0ED8">
      <w:pPr>
        <w:ind w:left="567"/>
        <w:rPr>
          <w:lang w:eastAsia="ja-JP"/>
        </w:rPr>
      </w:pPr>
      <w:r>
        <w:rPr>
          <w:b/>
          <w:lang w:eastAsia="ja-JP"/>
        </w:rPr>
        <w:t>Step 1:</w:t>
      </w:r>
      <w:r>
        <w:rPr>
          <w:lang w:eastAsia="ja-JP"/>
        </w:rPr>
        <w:t xml:space="preserve"> Establish and maintain a due diligence system.</w:t>
      </w:r>
    </w:p>
    <w:p w14:paraId="233B7C7B" w14:textId="77777777" w:rsidR="00341141" w:rsidRDefault="00DB0ED8">
      <w:pPr>
        <w:ind w:left="567"/>
        <w:rPr>
          <w:lang w:eastAsia="ja-JP"/>
        </w:rPr>
      </w:pPr>
      <w:r>
        <w:rPr>
          <w:b/>
          <w:lang w:eastAsia="ja-JP"/>
        </w:rPr>
        <w:t>Step 2:</w:t>
      </w:r>
      <w:r>
        <w:rPr>
          <w:lang w:eastAsia="ja-JP"/>
        </w:rPr>
        <w:t xml:space="preserve"> Gather information about the timber in the product that is being imported</w:t>
      </w:r>
    </w:p>
    <w:p w14:paraId="3C233BF2" w14:textId="77777777" w:rsidR="00341141" w:rsidRDefault="00DB0ED8">
      <w:pPr>
        <w:ind w:left="567"/>
        <w:rPr>
          <w:lang w:eastAsia="ja-JP"/>
        </w:rPr>
      </w:pPr>
      <w:r>
        <w:rPr>
          <w:b/>
          <w:lang w:eastAsia="ja-JP"/>
        </w:rPr>
        <w:t>Step 3:</w:t>
      </w:r>
      <w:r>
        <w:rPr>
          <w:lang w:eastAsia="ja-JP"/>
        </w:rPr>
        <w:t xml:space="preserve"> Assess the risk (using one of the three methods outlined in the Regulation)</w:t>
      </w:r>
    </w:p>
    <w:p w14:paraId="2EBF94C6" w14:textId="77777777" w:rsidR="00341141" w:rsidRDefault="00DB0ED8">
      <w:pPr>
        <w:ind w:left="567"/>
        <w:rPr>
          <w:lang w:eastAsia="ja-JP"/>
        </w:rPr>
      </w:pPr>
      <w:r>
        <w:rPr>
          <w:b/>
          <w:lang w:eastAsia="ja-JP"/>
        </w:rPr>
        <w:t>Step 4:</w:t>
      </w:r>
      <w:r>
        <w:rPr>
          <w:lang w:eastAsia="ja-JP"/>
        </w:rPr>
        <w:t xml:space="preserve"> Risk mitigation (if required)</w:t>
      </w:r>
    </w:p>
    <w:p w14:paraId="06BB2BF3" w14:textId="77777777" w:rsidR="00341141" w:rsidRDefault="00DB0ED8">
      <w:pPr>
        <w:ind w:left="567"/>
        <w:rPr>
          <w:lang w:eastAsia="ja-JP"/>
        </w:rPr>
      </w:pPr>
      <w:r>
        <w:rPr>
          <w:b/>
          <w:lang w:eastAsia="ja-JP"/>
        </w:rPr>
        <w:t>Step 5:</w:t>
      </w:r>
      <w:r>
        <w:rPr>
          <w:lang w:eastAsia="ja-JP"/>
        </w:rPr>
        <w:t xml:space="preserve"> Keep records</w:t>
      </w:r>
    </w:p>
    <w:p w14:paraId="5591CFB5" w14:textId="4FB84BAE" w:rsidR="00341141" w:rsidRDefault="00DB0ED8">
      <w:pPr>
        <w:rPr>
          <w:lang w:eastAsia="ja-JP"/>
        </w:rPr>
      </w:pPr>
      <w:r>
        <w:rPr>
          <w:lang w:eastAsia="ja-JP"/>
        </w:rPr>
        <w:t>Further information about the Regulation and the due diligence requirements is available at the Australian Government Department of Agriculture</w:t>
      </w:r>
      <w:r w:rsidR="00E05DED">
        <w:rPr>
          <w:lang w:eastAsia="ja-JP"/>
        </w:rPr>
        <w:t>, Water and the Environment</w:t>
      </w:r>
      <w:r w:rsidR="005A51AD">
        <w:rPr>
          <w:lang w:eastAsia="ja-JP"/>
        </w:rPr>
        <w:t>’s</w:t>
      </w:r>
      <w:r>
        <w:rPr>
          <w:lang w:eastAsia="ja-JP"/>
        </w:rPr>
        <w:t xml:space="preserve"> website (</w:t>
      </w:r>
      <w:hyperlink r:id="rId9" w:history="1">
        <w:r>
          <w:rPr>
            <w:rStyle w:val="Hyperlink"/>
            <w:lang w:eastAsia="ja-JP"/>
          </w:rPr>
          <w:t>www.agriculture.gov.au/illegallogging)</w:t>
        </w:r>
      </w:hyperlink>
      <w:r>
        <w:rPr>
          <w:lang w:eastAsia="ja-JP"/>
        </w:rPr>
        <w:t>.</w:t>
      </w:r>
    </w:p>
    <w:p w14:paraId="55DA4911" w14:textId="77777777" w:rsidR="00341141" w:rsidRDefault="00DB0ED8">
      <w:pPr>
        <w:pStyle w:val="Heading2"/>
      </w:pPr>
      <w:bookmarkStart w:id="3" w:name="_Toc10811625"/>
      <w:r>
        <w:t>How to use the Country Specific Guideline (CSG)</w:t>
      </w:r>
      <w:bookmarkEnd w:id="3"/>
    </w:p>
    <w:p w14:paraId="3231E3BF" w14:textId="77777777" w:rsidR="00341141" w:rsidRDefault="00DB0ED8">
      <w:pPr>
        <w:rPr>
          <w:rFonts w:eastAsia="SimSun"/>
        </w:rPr>
      </w:pPr>
      <w:r>
        <w:rPr>
          <w:rFonts w:eastAsia="SimSun"/>
        </w:rPr>
        <w:t xml:space="preserve">This CSG is intended to assist an importer of regulated timber products from </w:t>
      </w:r>
      <w:r>
        <w:rPr>
          <w:rFonts w:eastAsia="SimSun"/>
          <w:color w:val="000000" w:themeColor="text1"/>
        </w:rPr>
        <w:t xml:space="preserve">Chile to </w:t>
      </w:r>
      <w:r>
        <w:rPr>
          <w:rFonts w:eastAsia="SimSun"/>
        </w:rPr>
        <w:t>Australia to comply with the Regulation’s due diligence requirements.</w:t>
      </w:r>
    </w:p>
    <w:p w14:paraId="3EFAF6AC" w14:textId="77777777" w:rsidR="00341141" w:rsidRDefault="00DB0ED8">
      <w:pPr>
        <w:rPr>
          <w:lang w:eastAsia="ja-JP"/>
        </w:rPr>
      </w:pPr>
      <w:r>
        <w:rPr>
          <w:lang w:eastAsia="ja-JP"/>
        </w:rPr>
        <w:t>In accordance with section 10 of the Regulation, an importer must gather information about the product they are seeking to import, this includes gathering the information or evidence described in this CSG.</w:t>
      </w:r>
    </w:p>
    <w:p w14:paraId="3CD5E79F" w14:textId="77777777" w:rsidR="00341141" w:rsidRDefault="00DB0ED8">
      <w:pPr>
        <w:rPr>
          <w:rFonts w:eastAsia="Times New Roman" w:cs="Segoe UI"/>
          <w:color w:val="000000"/>
          <w:sz w:val="21"/>
          <w:szCs w:val="21"/>
          <w:lang w:val="en" w:eastAsia="en-AU"/>
        </w:rPr>
      </w:pPr>
      <w:r>
        <w:rPr>
          <w:rFonts w:eastAsia="SimSun"/>
        </w:rPr>
        <w:t>The information listed in this CSG is not meant to be an exhaustive list of evidence or documentation required to satisfy the due diligence requirements under the Regulation.</w:t>
      </w:r>
    </w:p>
    <w:p w14:paraId="75238F02" w14:textId="77777777" w:rsidR="00341141" w:rsidRDefault="00DB0ED8">
      <w:pPr>
        <w:rPr>
          <w:rFonts w:eastAsia="SimSun"/>
        </w:rPr>
      </w:pPr>
      <w:r>
        <w:rPr>
          <w:rFonts w:eastAsia="SimSun"/>
        </w:rPr>
        <w:t>The information gathered by applying this CSG, along with any other information gathered in accordance with the Regulation, needs to be assessed in accordance with the processes outlined in section 12 of the Regulation. This includes giving consideration to any other information the importer knows, or ought reasonably to know, but is not contained in the CSG.</w:t>
      </w:r>
    </w:p>
    <w:p w14:paraId="70322E2B" w14:textId="77777777" w:rsidR="00341141" w:rsidRDefault="00DB0ED8">
      <w:pPr>
        <w:rPr>
          <w:rFonts w:eastAsia="SimSun"/>
        </w:rPr>
      </w:pPr>
      <w:r>
        <w:rPr>
          <w:rFonts w:eastAsia="SimSun"/>
        </w:rPr>
        <w:t>All data included in this document is the most current as available at time of publishing.</w:t>
      </w:r>
    </w:p>
    <w:p w14:paraId="50221DEF" w14:textId="77777777" w:rsidR="00341141" w:rsidRDefault="00DB0ED8">
      <w:pPr>
        <w:spacing w:before="0"/>
        <w:rPr>
          <w:rFonts w:eastAsia="SimSun"/>
        </w:rPr>
      </w:pPr>
      <w:r>
        <w:rPr>
          <w:rFonts w:eastAsia="SimSun"/>
        </w:rPr>
        <w:br w:type="page"/>
      </w:r>
    </w:p>
    <w:p w14:paraId="47E32C78" w14:textId="77777777" w:rsidR="00341141" w:rsidRDefault="00DB0ED8">
      <w:pPr>
        <w:pStyle w:val="Heading2"/>
      </w:pPr>
      <w:bookmarkStart w:id="4" w:name="_Toc10811626"/>
      <w:r>
        <w:lastRenderedPageBreak/>
        <w:t>Scope of the CSG for Chile</w:t>
      </w:r>
      <w:bookmarkEnd w:id="4"/>
    </w:p>
    <w:p w14:paraId="712DDED8" w14:textId="2ED831F2" w:rsidR="00341141" w:rsidRDefault="00DB0ED8">
      <w:r>
        <w:t>This CSG provides detailed information on the control of pathways for timber harvested and originating from within Chile and informs Australian importers of what is considered legal timber according to Chilean law. It is only applicable for timber products with a Chilean origin of harvest.</w:t>
      </w:r>
    </w:p>
    <w:p w14:paraId="07CAE9DA" w14:textId="77777777" w:rsidR="00341141" w:rsidRDefault="00DB0ED8">
      <w:pPr>
        <w:pStyle w:val="Heading3"/>
        <w:rPr>
          <w:lang w:eastAsia="ja-JP"/>
        </w:rPr>
      </w:pPr>
      <w:bookmarkStart w:id="5" w:name="_Toc10811627"/>
      <w:r>
        <w:rPr>
          <w:lang w:eastAsia="ja-JP"/>
        </w:rPr>
        <w:t>Timber harvested outside of Chile</w:t>
      </w:r>
      <w:bookmarkEnd w:id="5"/>
    </w:p>
    <w:p w14:paraId="0E79FA88" w14:textId="4932B6A5" w:rsidR="00341141" w:rsidRDefault="00DB0ED8">
      <w:r>
        <w:t xml:space="preserve">There may be timber, forest products or products which contain timber, wholly or in-part that was harvested in another country, before it was imported to Chile. These products do not fall within the scope of this CSG. </w:t>
      </w:r>
    </w:p>
    <w:p w14:paraId="788CFEEE" w14:textId="4E12DA5B" w:rsidR="00341141" w:rsidRDefault="00DB0ED8">
      <w:r>
        <w:t>However, information contained in this document may assist importers in conducting their due diligence on such products through one of the other risk assessment pathways available under the Regulation.</w:t>
      </w:r>
    </w:p>
    <w:p w14:paraId="541CF442" w14:textId="77777777" w:rsidR="00341141" w:rsidRDefault="00DB0ED8">
      <w:pPr>
        <w:spacing w:before="0"/>
      </w:pPr>
      <w:r>
        <w:br w:type="page"/>
      </w:r>
    </w:p>
    <w:p w14:paraId="75D3754B" w14:textId="77777777" w:rsidR="00341141" w:rsidRDefault="00DB0ED8">
      <w:pPr>
        <w:pStyle w:val="Heading2"/>
      </w:pPr>
      <w:bookmarkStart w:id="6" w:name="_Toc10811628"/>
      <w:r>
        <w:lastRenderedPageBreak/>
        <w:t>Overview of forest management in Chile</w:t>
      </w:r>
      <w:bookmarkEnd w:id="6"/>
    </w:p>
    <w:p w14:paraId="4C47BEF9" w14:textId="4254C89D" w:rsidR="00A27360" w:rsidRDefault="00DB0ED8">
      <w:pPr>
        <w:rPr>
          <w:lang w:eastAsia="ja-JP"/>
        </w:rPr>
      </w:pPr>
      <w:r>
        <w:rPr>
          <w:lang w:eastAsia="ja-JP"/>
        </w:rPr>
        <w:t>Chile has 17.9 million of hectares covered by forests</w:t>
      </w:r>
      <w:r>
        <w:rPr>
          <w:rStyle w:val="FootnoteReference"/>
          <w:lang w:eastAsia="ja-JP"/>
        </w:rPr>
        <w:footnoteReference w:id="1"/>
      </w:r>
      <w:r>
        <w:rPr>
          <w:lang w:eastAsia="ja-JP"/>
        </w:rPr>
        <w:t>. This includes 14.6 million hectares of native forests, 3.1 million hectares of forestry plantations, and 0.18 million hectares of mixed woodlands.</w:t>
      </w:r>
    </w:p>
    <w:p w14:paraId="2D856555" w14:textId="49A0FA30" w:rsidR="008F536D" w:rsidRDefault="008F536D">
      <w:pPr>
        <w:rPr>
          <w:lang w:eastAsia="ja-JP"/>
        </w:rPr>
      </w:pPr>
      <w:r>
        <w:rPr>
          <w:noProof/>
          <w:lang w:eastAsia="en-AU"/>
        </w:rPr>
        <w:drawing>
          <wp:anchor distT="0" distB="0" distL="114300" distR="114300" simplePos="0" relativeHeight="251657216" behindDoc="0" locked="0" layoutInCell="1" allowOverlap="1" wp14:anchorId="0BD61B58" wp14:editId="66D891D8">
            <wp:simplePos x="0" y="0"/>
            <wp:positionH relativeFrom="column">
              <wp:posOffset>2536825</wp:posOffset>
            </wp:positionH>
            <wp:positionV relativeFrom="paragraph">
              <wp:posOffset>196850</wp:posOffset>
            </wp:positionV>
            <wp:extent cx="3835400" cy="1884045"/>
            <wp:effectExtent l="0" t="0" r="0" b="1905"/>
            <wp:wrapSquare wrapText="bothSides"/>
            <wp:docPr id="6" name="Imagen 6" descr="An image of three group of trees indicating the split of forest wood sources. The group on the left shows two exotic trees, and has the text below that says &quot;plantations seventen per cent&quot;. The second group shows three trees of exotive and native origin. Text below this image says &quot;Mixed Forest, one percent&quot;. The third picture shows four large trees, and text below says &quot;native forest, 82 per c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400" cy="1884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ED8">
        <w:rPr>
          <w:u w:val="single"/>
          <w:lang w:eastAsia="ja-JP"/>
        </w:rPr>
        <w:t>Native forests</w:t>
      </w:r>
    </w:p>
    <w:p w14:paraId="50726639" w14:textId="7E001B07" w:rsidR="008F536D" w:rsidRDefault="008F536D" w:rsidP="008F536D">
      <w:pPr>
        <w:rPr>
          <w:lang w:eastAsia="ja-JP"/>
        </w:rPr>
      </w:pPr>
      <w:r>
        <w:rPr>
          <w:lang w:eastAsia="ja-JP"/>
        </w:rPr>
        <w:t>A native forest is defined in Chilean law</w:t>
      </w:r>
      <w:r>
        <w:rPr>
          <w:rStyle w:val="FootnoteReference"/>
          <w:lang w:eastAsia="ja-JP"/>
        </w:rPr>
        <w:footnoteReference w:id="2"/>
      </w:r>
      <w:r>
        <w:rPr>
          <w:lang w:eastAsia="ja-JP"/>
        </w:rPr>
        <w:t xml:space="preserve"> as "</w:t>
      </w:r>
      <w:r>
        <w:rPr>
          <w:i/>
          <w:lang w:eastAsia="ja-JP"/>
        </w:rPr>
        <w:t>a forest composed of native or autochthonous species, coming from natural regeneration or under canopy plantation, with the same species present in the original distribution area, that could have an adventitious presence of randomly distributed exotic species.</w:t>
      </w:r>
      <w:r>
        <w:rPr>
          <w:lang w:eastAsia="ja-JP"/>
        </w:rPr>
        <w:t xml:space="preserve">" Native or </w:t>
      </w:r>
      <w:r w:rsidR="0060228B" w:rsidRPr="0060228B">
        <w:rPr>
          <w:lang w:eastAsia="ja-JP"/>
        </w:rPr>
        <w:t>autochthonous</w:t>
      </w:r>
      <w:r w:rsidR="0060228B">
        <w:rPr>
          <w:lang w:eastAsia="ja-JP"/>
        </w:rPr>
        <w:t xml:space="preserve"> (</w:t>
      </w:r>
      <w:r w:rsidR="005A51AD">
        <w:rPr>
          <w:lang w:eastAsia="ja-JP"/>
        </w:rPr>
        <w:t>i.e.</w:t>
      </w:r>
      <w:r w:rsidR="0060228B">
        <w:rPr>
          <w:lang w:eastAsia="ja-JP"/>
        </w:rPr>
        <w:t xml:space="preserve"> </w:t>
      </w:r>
      <w:r>
        <w:rPr>
          <w:lang w:eastAsia="ja-JP"/>
        </w:rPr>
        <w:t>indigenous</w:t>
      </w:r>
      <w:r w:rsidR="0060228B">
        <w:rPr>
          <w:lang w:eastAsia="ja-JP"/>
        </w:rPr>
        <w:t>)</w:t>
      </w:r>
      <w:r>
        <w:rPr>
          <w:lang w:eastAsia="ja-JP"/>
        </w:rPr>
        <w:t xml:space="preserve"> species are established by supreme decree.</w:t>
      </w:r>
      <w:r>
        <w:rPr>
          <w:rStyle w:val="FootnoteReference"/>
          <w:lang w:eastAsia="ja-JP"/>
        </w:rPr>
        <w:footnoteReference w:id="3"/>
      </w:r>
      <w:r>
        <w:rPr>
          <w:lang w:eastAsia="ja-JP"/>
        </w:rPr>
        <w:t xml:space="preserve"> </w:t>
      </w:r>
    </w:p>
    <w:p w14:paraId="56E7A12F" w14:textId="4B6F750B" w:rsidR="008F536D" w:rsidRDefault="008F536D" w:rsidP="008F536D">
      <w:pPr>
        <w:rPr>
          <w:lang w:eastAsia="ja-JP"/>
        </w:rPr>
      </w:pPr>
      <w:r>
        <w:t xml:space="preserve">The main commercial timber species found in Chile’s native forests include </w:t>
      </w:r>
      <w:r>
        <w:rPr>
          <w:lang w:eastAsia="ja-JP"/>
        </w:rPr>
        <w:t>Lenga (</w:t>
      </w:r>
      <w:r>
        <w:rPr>
          <w:i/>
          <w:lang w:eastAsia="ja-JP"/>
        </w:rPr>
        <w:t>Nothofagus pumilio</w:t>
      </w:r>
      <w:r>
        <w:rPr>
          <w:lang w:eastAsia="ja-JP"/>
        </w:rPr>
        <w:t>), Roble (</w:t>
      </w:r>
      <w:r>
        <w:rPr>
          <w:i/>
          <w:lang w:eastAsia="ja-JP"/>
        </w:rPr>
        <w:t>Nothofagus oblicua</w:t>
      </w:r>
      <w:r>
        <w:rPr>
          <w:lang w:eastAsia="ja-JP"/>
        </w:rPr>
        <w:t>), Tineo (</w:t>
      </w:r>
      <w:r>
        <w:rPr>
          <w:i/>
          <w:lang w:eastAsia="ja-JP"/>
        </w:rPr>
        <w:t>Weinmannia trichosperma</w:t>
      </w:r>
      <w:r>
        <w:rPr>
          <w:lang w:eastAsia="ja-JP"/>
        </w:rPr>
        <w:t>) and Rauli (</w:t>
      </w:r>
      <w:r>
        <w:rPr>
          <w:i/>
          <w:lang w:eastAsia="ja-JP"/>
        </w:rPr>
        <w:t>Nothofagus alpina</w:t>
      </w:r>
      <w:r>
        <w:rPr>
          <w:lang w:eastAsia="ja-JP"/>
        </w:rPr>
        <w:t>).</w:t>
      </w:r>
    </w:p>
    <w:p w14:paraId="777632B1" w14:textId="5F145778" w:rsidR="00341141" w:rsidRDefault="008F536D">
      <w:pPr>
        <w:rPr>
          <w:lang w:eastAsia="ja-JP"/>
        </w:rPr>
      </w:pPr>
      <w:r>
        <w:rPr>
          <w:lang w:eastAsia="ja-JP"/>
        </w:rPr>
        <w:t>A</w:t>
      </w:r>
      <w:r w:rsidR="00DB0ED8">
        <w:rPr>
          <w:lang w:eastAsia="ja-JP"/>
        </w:rPr>
        <w:t xml:space="preserve">pproximately 3.7 out of the total 14.6 million hectares of </w:t>
      </w:r>
      <w:r>
        <w:rPr>
          <w:lang w:eastAsia="ja-JP"/>
        </w:rPr>
        <w:t xml:space="preserve">Chile’s </w:t>
      </w:r>
      <w:r w:rsidR="00DB0ED8">
        <w:rPr>
          <w:lang w:eastAsia="ja-JP"/>
        </w:rPr>
        <w:t>native forests are protected in state nature reservations.</w:t>
      </w:r>
    </w:p>
    <w:p w14:paraId="57935DB5" w14:textId="77777777" w:rsidR="008F536D" w:rsidRDefault="00DB0ED8">
      <w:pPr>
        <w:rPr>
          <w:lang w:eastAsia="ja-JP"/>
        </w:rPr>
      </w:pPr>
      <w:r>
        <w:rPr>
          <w:u w:val="single"/>
          <w:lang w:eastAsia="ja-JP"/>
        </w:rPr>
        <w:t>Plantation forests</w:t>
      </w:r>
      <w:r w:rsidR="008F536D">
        <w:rPr>
          <w:lang w:eastAsia="ja-JP"/>
        </w:rPr>
        <w:t>:</w:t>
      </w:r>
    </w:p>
    <w:p w14:paraId="30C9D133" w14:textId="606FC8B9" w:rsidR="00341141" w:rsidRDefault="008F536D">
      <w:pPr>
        <w:rPr>
          <w:lang w:eastAsia="ja-JP"/>
        </w:rPr>
      </w:pPr>
      <w:r>
        <w:rPr>
          <w:lang w:eastAsia="ja-JP"/>
        </w:rPr>
        <w:t>Chile has 3.1 million hectares of forestry plantations. A</w:t>
      </w:r>
      <w:r w:rsidR="00DB0ED8">
        <w:rPr>
          <w:lang w:eastAsia="ja-JP"/>
        </w:rPr>
        <w:t xml:space="preserve">pproximately 57.6% of this area </w:t>
      </w:r>
      <w:r>
        <w:rPr>
          <w:lang w:eastAsia="ja-JP"/>
        </w:rPr>
        <w:t>is made up of radiata pine, with</w:t>
      </w:r>
      <w:r w:rsidR="00DB0ED8">
        <w:rPr>
          <w:lang w:eastAsia="ja-JP"/>
        </w:rPr>
        <w:t xml:space="preserve"> 35.6% from the eucalyptus genus. Other </w:t>
      </w:r>
      <w:r w:rsidR="0060228B">
        <w:rPr>
          <w:lang w:eastAsia="ja-JP"/>
        </w:rPr>
        <w:t xml:space="preserve">major </w:t>
      </w:r>
      <w:r w:rsidR="00DB0ED8">
        <w:rPr>
          <w:lang w:eastAsia="ja-JP"/>
        </w:rPr>
        <w:t>genus’ and species include atriplex, tamarugo and Douglas fir (</w:t>
      </w:r>
      <w:r w:rsidR="00DB0ED8">
        <w:rPr>
          <w:i/>
          <w:lang w:eastAsia="ja-JP"/>
        </w:rPr>
        <w:t>pino oregón</w:t>
      </w:r>
      <w:r w:rsidR="00DB0ED8">
        <w:rPr>
          <w:lang w:eastAsia="ja-JP"/>
        </w:rPr>
        <w:t xml:space="preserve"> in Chile). Plantations provide 99.6% of </w:t>
      </w:r>
      <w:r w:rsidR="0060228B">
        <w:rPr>
          <w:lang w:eastAsia="ja-JP"/>
        </w:rPr>
        <w:t xml:space="preserve">Chile’s </w:t>
      </w:r>
      <w:r w:rsidR="00DB0ED8">
        <w:rPr>
          <w:lang w:eastAsia="ja-JP"/>
        </w:rPr>
        <w:t xml:space="preserve">industrial </w:t>
      </w:r>
      <w:r w:rsidR="0060228B">
        <w:rPr>
          <w:lang w:eastAsia="ja-JP"/>
        </w:rPr>
        <w:t xml:space="preserve">timber </w:t>
      </w:r>
      <w:r w:rsidR="00DB0ED8">
        <w:rPr>
          <w:lang w:eastAsia="ja-JP"/>
        </w:rPr>
        <w:t>supply.</w:t>
      </w:r>
      <w:r w:rsidR="00DB0ED8">
        <w:rPr>
          <w:rStyle w:val="FootnoteReference"/>
          <w:lang w:eastAsia="ja-JP"/>
        </w:rPr>
        <w:footnoteReference w:id="4"/>
      </w:r>
      <w:r w:rsidR="00DB0ED8">
        <w:t xml:space="preserve"> </w:t>
      </w:r>
    </w:p>
    <w:p w14:paraId="744778C6" w14:textId="77777777" w:rsidR="00341141" w:rsidRDefault="00DB0ED8">
      <w:pPr>
        <w:pStyle w:val="Heading3"/>
      </w:pPr>
      <w:bookmarkStart w:id="7" w:name="_Toc10811629"/>
      <w:r>
        <w:t>Forest ownership</w:t>
      </w:r>
      <w:bookmarkEnd w:id="7"/>
    </w:p>
    <w:p w14:paraId="74F13358" w14:textId="2A031735" w:rsidR="00341141" w:rsidRDefault="00DB0ED8">
      <w:pPr>
        <w:rPr>
          <w:lang w:eastAsia="ja-JP"/>
        </w:rPr>
      </w:pPr>
      <w:r>
        <w:rPr>
          <w:lang w:eastAsia="ja-JP"/>
        </w:rPr>
        <w:t xml:space="preserve">The state holds close to 22% of </w:t>
      </w:r>
      <w:r w:rsidR="006940AC">
        <w:rPr>
          <w:lang w:eastAsia="ja-JP"/>
        </w:rPr>
        <w:t xml:space="preserve">all </w:t>
      </w:r>
      <w:r>
        <w:rPr>
          <w:u w:val="single"/>
          <w:lang w:eastAsia="ja-JP"/>
        </w:rPr>
        <w:t>native forest</w:t>
      </w:r>
      <w:r>
        <w:rPr>
          <w:lang w:eastAsia="ja-JP"/>
        </w:rPr>
        <w:t xml:space="preserve"> tenure, while the rest is in the hands of producers of various sizes.</w:t>
      </w:r>
      <w:r>
        <w:rPr>
          <w:rStyle w:val="FootnoteReference"/>
          <w:lang w:eastAsia="ja-JP"/>
        </w:rPr>
        <w:footnoteReference w:id="5"/>
      </w:r>
    </w:p>
    <w:p w14:paraId="644BBB11" w14:textId="730883AE" w:rsidR="00341141" w:rsidRDefault="00DB0ED8">
      <w:pPr>
        <w:rPr>
          <w:lang w:eastAsia="ja-JP"/>
        </w:rPr>
      </w:pPr>
      <w:r>
        <w:rPr>
          <w:lang w:eastAsia="ja-JP"/>
        </w:rPr>
        <w:t xml:space="preserve">Approximately 20 percent of </w:t>
      </w:r>
      <w:r w:rsidR="006940AC">
        <w:rPr>
          <w:lang w:eastAsia="ja-JP"/>
        </w:rPr>
        <w:t xml:space="preserve">Chile’s forest estate </w:t>
      </w:r>
      <w:r>
        <w:rPr>
          <w:lang w:eastAsia="ja-JP"/>
        </w:rPr>
        <w:t xml:space="preserve">is included inside the State’s National System of Protected Wild Areas (SNASPE – Spanish acronym). The System was created by law to govern any </w:t>
      </w:r>
      <w:r>
        <w:rPr>
          <w:lang w:eastAsia="ja-JP"/>
        </w:rPr>
        <w:lastRenderedPageBreak/>
        <w:t>activity that takes place in a protected wild area of the State</w:t>
      </w:r>
      <w:r>
        <w:rPr>
          <w:rStyle w:val="FootnoteReference"/>
          <w:lang w:eastAsia="ja-JP"/>
        </w:rPr>
        <w:footnoteReference w:id="6"/>
      </w:r>
      <w:r>
        <w:rPr>
          <w:lang w:eastAsia="ja-JP"/>
        </w:rPr>
        <w:t>; namely parks, reserves, and natural monuments.</w:t>
      </w:r>
      <w:r>
        <w:rPr>
          <w:color w:val="222222"/>
          <w:lang w:val="en"/>
        </w:rPr>
        <w:t xml:space="preserve"> It currently has 101 units, distributed </w:t>
      </w:r>
      <w:r w:rsidR="006940AC">
        <w:rPr>
          <w:color w:val="222222"/>
          <w:lang w:val="en"/>
        </w:rPr>
        <w:t>across</w:t>
      </w:r>
      <w:r>
        <w:rPr>
          <w:color w:val="222222"/>
          <w:lang w:val="en"/>
        </w:rPr>
        <w:t xml:space="preserve"> 36 National Parks, 49 National Reserves and 16 Natural Monuments</w:t>
      </w:r>
      <w:r>
        <w:rPr>
          <w:lang w:eastAsia="ja-JP"/>
        </w:rPr>
        <w:t>.</w:t>
      </w:r>
      <w:r w:rsidR="006940AC">
        <w:rPr>
          <w:lang w:eastAsia="ja-JP"/>
        </w:rPr>
        <w:t xml:space="preserve"> Further information on the restrictions placed on timber harvesting in these areas is included on page </w:t>
      </w:r>
      <w:r w:rsidR="006940AC" w:rsidRPr="006940AC">
        <w:rPr>
          <w:b/>
          <w:lang w:eastAsia="ja-JP"/>
        </w:rPr>
        <w:t>12</w:t>
      </w:r>
      <w:r w:rsidR="006940AC">
        <w:rPr>
          <w:lang w:eastAsia="ja-JP"/>
        </w:rPr>
        <w:t>.</w:t>
      </w:r>
    </w:p>
    <w:p w14:paraId="48545E02" w14:textId="4D69C8E9" w:rsidR="00341141" w:rsidRDefault="00DB0ED8">
      <w:pPr>
        <w:rPr>
          <w:lang w:eastAsia="ja-JP"/>
        </w:rPr>
      </w:pPr>
      <w:r>
        <w:rPr>
          <w:lang w:eastAsia="ja-JP"/>
        </w:rPr>
        <w:t xml:space="preserve">The majority of </w:t>
      </w:r>
      <w:r w:rsidRPr="00D933B7">
        <w:rPr>
          <w:lang w:eastAsia="ja-JP"/>
        </w:rPr>
        <w:t>plantation forests</w:t>
      </w:r>
      <w:r>
        <w:rPr>
          <w:lang w:eastAsia="ja-JP"/>
        </w:rPr>
        <w:t xml:space="preserve"> are owned by private companies; 60% </w:t>
      </w:r>
      <w:r w:rsidR="00D933B7">
        <w:rPr>
          <w:lang w:eastAsia="ja-JP"/>
        </w:rPr>
        <w:t xml:space="preserve">of the Chilean plantation estate is </w:t>
      </w:r>
      <w:r>
        <w:rPr>
          <w:lang w:eastAsia="ja-JP"/>
        </w:rPr>
        <w:t>held by three big companies</w:t>
      </w:r>
      <w:r w:rsidR="00D933B7">
        <w:rPr>
          <w:lang w:eastAsia="ja-JP"/>
        </w:rPr>
        <w:t xml:space="preserve">, with the remaining estate owned </w:t>
      </w:r>
      <w:r>
        <w:rPr>
          <w:lang w:eastAsia="ja-JP"/>
        </w:rPr>
        <w:t xml:space="preserve">by more than 20,000 small and medium-sized producers. </w:t>
      </w:r>
    </w:p>
    <w:p w14:paraId="67A73C9B" w14:textId="77777777" w:rsidR="00341141" w:rsidRDefault="00DB0ED8">
      <w:pPr>
        <w:pStyle w:val="Heading4"/>
      </w:pPr>
      <w:r>
        <w:t>Indigenous ownership</w:t>
      </w:r>
    </w:p>
    <w:p w14:paraId="15CCE3E6" w14:textId="06B1CBA4" w:rsidR="00341141" w:rsidRDefault="00DB0ED8">
      <w:r>
        <w:t>A series of indigenous land protection standards have been established</w:t>
      </w:r>
      <w:r>
        <w:rPr>
          <w:rStyle w:val="FootnoteReference"/>
        </w:rPr>
        <w:footnoteReference w:id="7"/>
      </w:r>
      <w:r>
        <w:t xml:space="preserve"> which prevent the disposal and seizure of indige</w:t>
      </w:r>
      <w:r w:rsidR="006940AC">
        <w:t>nous lands, impose a levy on the use of the</w:t>
      </w:r>
      <w:r>
        <w:t xml:space="preserve">se lands without authorization from the National Corporation for Indigenous Development (CONADI - Spanish acronym), and </w:t>
      </w:r>
      <w:r w:rsidR="00D933B7">
        <w:t>prevent parties from taking</w:t>
      </w:r>
      <w:r>
        <w:t xml:space="preserve"> adverse possession of those lands, except </w:t>
      </w:r>
      <w:r w:rsidR="00D933B7">
        <w:t xml:space="preserve">when occurring </w:t>
      </w:r>
      <w:r>
        <w:t>between communities or indigenous peoples of the same ethnic group.</w:t>
      </w:r>
    </w:p>
    <w:p w14:paraId="704F9D02" w14:textId="77777777" w:rsidR="00341141" w:rsidRDefault="00DB0ED8">
      <w:r>
        <w:t xml:space="preserve">Chile has also ratified the Convention on Biological Diversity (CBD), which protects </w:t>
      </w:r>
      <w:r>
        <w:rPr>
          <w:i/>
        </w:rPr>
        <w:t>in situ</w:t>
      </w:r>
      <w:r>
        <w:t>–</w:t>
      </w:r>
      <w:r>
        <w:rPr>
          <w:i/>
        </w:rPr>
        <w:t>ex situ</w:t>
      </w:r>
      <w:r>
        <w:t xml:space="preserve"> plant species and their sustainable use through environmental education and participation of local communities. The convention was enacted into domestic law in 1995 through Decree No. 1963 of the Ministry of Foreign Affairs.</w:t>
      </w:r>
    </w:p>
    <w:p w14:paraId="3947473E" w14:textId="77777777" w:rsidR="00341141" w:rsidRDefault="00DB0ED8">
      <w:pPr>
        <w:pStyle w:val="Heading3"/>
      </w:pPr>
      <w:bookmarkStart w:id="8" w:name="_Toc10811630"/>
      <w:r>
        <w:t>Agencies responsible for managing and regulating forests</w:t>
      </w:r>
      <w:bookmarkEnd w:id="8"/>
    </w:p>
    <w:p w14:paraId="7E84F68D" w14:textId="3890995E" w:rsidR="00341141" w:rsidRDefault="00DB0ED8">
      <w:r>
        <w:t>There are a number of agencies with respon</w:t>
      </w:r>
      <w:r w:rsidR="00D933B7">
        <w:t>sibility and interest in forest management in Chile</w:t>
      </w:r>
      <w:r>
        <w:t>.</w:t>
      </w:r>
    </w:p>
    <w:p w14:paraId="4DF3880B" w14:textId="77777777" w:rsidR="00341141" w:rsidRDefault="00DB0ED8">
      <w:r>
        <w:t xml:space="preserve">The </w:t>
      </w:r>
      <w:r>
        <w:rPr>
          <w:b/>
        </w:rPr>
        <w:t>Ministry of Agriculture</w:t>
      </w:r>
      <w:r>
        <w:t xml:space="preserve"> is the institution of the State charged with promoting, guiding and coordinating forestry and agriculture activity in Chile. Two agencies attached to the Ministry are fully dedicated to the forestry sector, as described below:</w:t>
      </w:r>
    </w:p>
    <w:p w14:paraId="12B6DB8D" w14:textId="795EBB78" w:rsidR="00341141" w:rsidRDefault="00DB0ED8">
      <w:pPr>
        <w:pStyle w:val="ListParagraph"/>
        <w:numPr>
          <w:ilvl w:val="0"/>
          <w:numId w:val="9"/>
        </w:numPr>
        <w:ind w:left="357" w:hanging="357"/>
        <w:contextualSpacing w:val="0"/>
      </w:pPr>
      <w:r>
        <w:rPr>
          <w:b/>
        </w:rPr>
        <w:t xml:space="preserve">The </w:t>
      </w:r>
      <w:hyperlink r:id="rId11" w:history="1">
        <w:r>
          <w:rPr>
            <w:rStyle w:val="Hyperlink"/>
            <w:b/>
          </w:rPr>
          <w:t>National Forestry Corporation</w:t>
        </w:r>
      </w:hyperlink>
      <w:r>
        <w:rPr>
          <w:b/>
        </w:rPr>
        <w:t xml:space="preserve"> (</w:t>
      </w:r>
      <w:r>
        <w:rPr>
          <w:b/>
          <w:lang w:eastAsia="ja-JP"/>
        </w:rPr>
        <w:t xml:space="preserve">Corporación Nacional Forestal - </w:t>
      </w:r>
      <w:r>
        <w:rPr>
          <w:b/>
        </w:rPr>
        <w:t>CONAF)</w:t>
      </w:r>
      <w:r>
        <w:t xml:space="preserve"> has the mission of contributing to the sustainable management of native forests and forest plantations. It does this through the functions of development, control of forestry-environmental legislation and protection of vegetation resources, as well as the conservation of biological diversity through the National System of Protected Wild Areas, for the benefit of society. Laws and regulations allow CONAF to regulate and control forestry activities. To regulate the intervention and exploitation of forest species, CONAF applies a set of actions to enforce legal and technical standards regarding the utilisation, conservation, and protection of forest resources and the environment.</w:t>
      </w:r>
    </w:p>
    <w:p w14:paraId="4CC2E972" w14:textId="77777777" w:rsidR="00D933B7" w:rsidRDefault="00D933B7">
      <w:pPr>
        <w:spacing w:before="0"/>
        <w:rPr>
          <w:b/>
        </w:rPr>
      </w:pPr>
      <w:r>
        <w:rPr>
          <w:b/>
        </w:rPr>
        <w:br w:type="page"/>
      </w:r>
    </w:p>
    <w:p w14:paraId="0C1163A1" w14:textId="08D7A40F" w:rsidR="00341141" w:rsidRDefault="00DB0ED8">
      <w:pPr>
        <w:pStyle w:val="ListParagraph"/>
        <w:numPr>
          <w:ilvl w:val="0"/>
          <w:numId w:val="9"/>
        </w:numPr>
        <w:ind w:left="357" w:hanging="357"/>
        <w:contextualSpacing w:val="0"/>
      </w:pPr>
      <w:r>
        <w:rPr>
          <w:b/>
        </w:rPr>
        <w:lastRenderedPageBreak/>
        <w:t xml:space="preserve">The </w:t>
      </w:r>
      <w:hyperlink r:id="rId12" w:history="1">
        <w:r>
          <w:rPr>
            <w:rStyle w:val="Hyperlink"/>
            <w:b/>
          </w:rPr>
          <w:t>Forestry Institute</w:t>
        </w:r>
      </w:hyperlink>
      <w:r>
        <w:rPr>
          <w:b/>
        </w:rPr>
        <w:t xml:space="preserve"> (INFOR)</w:t>
      </w:r>
      <w:r>
        <w:t xml:space="preserve"> is Chile’s technological </w:t>
      </w:r>
      <w:r w:rsidR="00D933B7">
        <w:t xml:space="preserve">forest </w:t>
      </w:r>
      <w:r>
        <w:t>research institute. It has a mission of "</w:t>
      </w:r>
      <w:r>
        <w:rPr>
          <w:i/>
        </w:rPr>
        <w:t>Creating and transferring scientific and technological knowledge for the sustainable use of forest resources and ecosystems, product development and associated services, as well as generating relevant information to the forestry sector in the economic, social and environmental aspects</w:t>
      </w:r>
      <w:r>
        <w:t>".</w:t>
      </w:r>
    </w:p>
    <w:p w14:paraId="1227BBD5" w14:textId="77777777" w:rsidR="00341141" w:rsidRDefault="00DB0ED8">
      <w:r>
        <w:t>Other relevant institutions include:</w:t>
      </w:r>
    </w:p>
    <w:p w14:paraId="195D9187" w14:textId="6C828C88" w:rsidR="00341141" w:rsidRDefault="00DB0ED8" w:rsidP="00D933B7">
      <w:pPr>
        <w:pStyle w:val="ListParagraph"/>
        <w:numPr>
          <w:ilvl w:val="0"/>
          <w:numId w:val="10"/>
        </w:numPr>
        <w:ind w:left="357" w:hanging="357"/>
        <w:contextualSpacing w:val="0"/>
      </w:pPr>
      <w:r>
        <w:rPr>
          <w:b/>
        </w:rPr>
        <w:t xml:space="preserve">The National Customs Service </w:t>
      </w:r>
      <w:r>
        <w:t>is an autonomous public entity, which sits within the Ministry of Finance. The National Customs Service monitors and controls the movement of goods, along the coasts, borders and airports of the Republic; intervenes in international border operations to collect import, export and other taxes determined by law; and generates border traffic statistics, without prejudice of other duties provided by law.</w:t>
      </w:r>
    </w:p>
    <w:p w14:paraId="35A4B5E5" w14:textId="77777777" w:rsidR="00341141" w:rsidRDefault="00DB0ED8" w:rsidP="00D933B7">
      <w:pPr>
        <w:pStyle w:val="ListParagraph"/>
        <w:numPr>
          <w:ilvl w:val="0"/>
          <w:numId w:val="10"/>
        </w:numPr>
        <w:ind w:left="357" w:hanging="357"/>
        <w:contextualSpacing w:val="0"/>
      </w:pPr>
      <w:r>
        <w:rPr>
          <w:b/>
        </w:rPr>
        <w:t>The Public Prosecutor’s Office</w:t>
      </w:r>
      <w:r>
        <w:t xml:space="preserve"> is a constitutionally autonomous agency whose role is to lead the investigation of facts that constitute a crime, to file those cases with independent jurisdictional penal courts.</w:t>
      </w:r>
    </w:p>
    <w:p w14:paraId="0AE2E178" w14:textId="77777777" w:rsidR="00341141" w:rsidRDefault="00DB0ED8">
      <w:pPr>
        <w:pStyle w:val="Heading3"/>
      </w:pPr>
      <w:bookmarkStart w:id="9" w:name="_Toc10811631"/>
      <w:r>
        <w:t>Bans or limitations on harvest of specific species</w:t>
      </w:r>
      <w:bookmarkEnd w:id="9"/>
    </w:p>
    <w:p w14:paraId="3CF072D0" w14:textId="77777777" w:rsidR="00341141" w:rsidRDefault="00DB0ED8">
      <w:pPr>
        <w:pStyle w:val="Heading4"/>
      </w:pPr>
      <w:r>
        <w:t>Protected species</w:t>
      </w:r>
    </w:p>
    <w:p w14:paraId="6F717492" w14:textId="53BD776A" w:rsidR="00341141" w:rsidRDefault="00DB0ED8">
      <w:r>
        <w:t>Some species have special protection status under Chilean law. Chilean Larch (</w:t>
      </w:r>
      <w:r>
        <w:rPr>
          <w:i/>
        </w:rPr>
        <w:t>Fitzroya cupressoides</w:t>
      </w:r>
      <w:r>
        <w:t>) and Chilean pine (</w:t>
      </w:r>
      <w:r>
        <w:rPr>
          <w:i/>
        </w:rPr>
        <w:t>Araucaria araucana</w:t>
      </w:r>
      <w:r>
        <w:t>) have been declared as natural monuments by Supreme Decrees.</w:t>
      </w:r>
      <w:r>
        <w:rPr>
          <w:rStyle w:val="FootnoteReference"/>
        </w:rPr>
        <w:footnoteReference w:id="8"/>
      </w:r>
      <w:r>
        <w:t xml:space="preserve"> Logging of these trees is prohibited throughout the domestic territory, unless expressly authorized by CONAF for specific purposes including: duly authorized scientific research, public construction works, national defence works, or for the achievement of Forestry Management Plans by official State institutions (whose exclusive objective is to preserve and improve the species). </w:t>
      </w:r>
    </w:p>
    <w:p w14:paraId="6E91EB2A" w14:textId="77777777" w:rsidR="00341141" w:rsidRDefault="00DB0ED8">
      <w:r>
        <w:t>Queule (</w:t>
      </w:r>
      <w:r>
        <w:rPr>
          <w:i/>
        </w:rPr>
        <w:t>Gomortega keule</w:t>
      </w:r>
      <w:r>
        <w:t>), Pitao (</w:t>
      </w:r>
      <w:r>
        <w:rPr>
          <w:i/>
        </w:rPr>
        <w:t>Pitavia punctate</w:t>
      </w:r>
      <w:r>
        <w:t>), Belloto de Sur (</w:t>
      </w:r>
      <w:r>
        <w:rPr>
          <w:i/>
        </w:rPr>
        <w:t>Beilschmiedia berteroana</w:t>
      </w:r>
      <w:r>
        <w:t>), Belloto del Norte (</w:t>
      </w:r>
      <w:r>
        <w:rPr>
          <w:i/>
        </w:rPr>
        <w:t>Beilschmiedia miersii</w:t>
      </w:r>
      <w:r>
        <w:t>), and Ruil (</w:t>
      </w:r>
      <w:r>
        <w:rPr>
          <w:i/>
        </w:rPr>
        <w:t>Nothofagus alessandrii</w:t>
      </w:r>
      <w:r>
        <w:t>) also have special protection status under Decree No. 13 of 1995 banning their logging and destruction, unless expressly authorized, qualified, and justified by CONAF.</w:t>
      </w:r>
    </w:p>
    <w:p w14:paraId="6EF79A46" w14:textId="2FE04F45" w:rsidR="00341141" w:rsidRDefault="00DB0ED8">
      <w:r>
        <w:t>In the case of Chilean Larch, the harvest of dead specimens is allowed with prior authorization of a ‘dead wood extraction management plan’ issued by CONAF. However, the commercial</w:t>
      </w:r>
      <w:r w:rsidR="005B3E96">
        <w:t>i</w:t>
      </w:r>
      <w:r>
        <w:t xml:space="preserve">sation of those products is only possible domestically because this species is included in Appendix I of </w:t>
      </w:r>
      <w:r>
        <w:rPr>
          <w:i/>
        </w:rPr>
        <w:t xml:space="preserve">Convention on International Trade in Endangered Species of Wild Fauna and Flora </w:t>
      </w:r>
      <w:r>
        <w:t xml:space="preserve">(CITES). Therefore, products comprising of Chilean Larch cannot be imported into Australia. Chilean Larch deadwood products carry a unique identifier from every producer and are </w:t>
      </w:r>
      <w:r w:rsidR="00D933B7">
        <w:t xml:space="preserve">physically </w:t>
      </w:r>
      <w:r>
        <w:t xml:space="preserve">stamped using a hammer. </w:t>
      </w:r>
    </w:p>
    <w:p w14:paraId="2BE65E8D" w14:textId="77777777" w:rsidR="00341141" w:rsidRDefault="00DB0ED8">
      <w:pPr>
        <w:pStyle w:val="Heading4"/>
      </w:pPr>
      <w:r>
        <w:lastRenderedPageBreak/>
        <w:t>CITES</w:t>
      </w:r>
    </w:p>
    <w:p w14:paraId="3FC60916" w14:textId="77777777" w:rsidR="00341141" w:rsidRDefault="00DB0ED8">
      <w:r>
        <w:t>CITES was enacted into Chilean Law in 2016. Law No. 20.962 legislates for the prevention, control and sanction of conduct in contravention of the CITES.</w:t>
      </w:r>
    </w:p>
    <w:p w14:paraId="2B575DDF" w14:textId="28202D1B" w:rsidR="00341141" w:rsidRDefault="00DB0ED8">
      <w:r>
        <w:t xml:space="preserve">Chile bans and/or restricts the harvest or collection of flora and fauna species listed in accordance with the </w:t>
      </w:r>
      <w:hyperlink r:id="rId13" w:history="1">
        <w:r>
          <w:rPr>
            <w:rStyle w:val="Hyperlink"/>
          </w:rPr>
          <w:t>CITES Appendices</w:t>
        </w:r>
      </w:hyperlink>
      <w:r>
        <w:t xml:space="preserve">, including those declared as natural monuments. All trade in CITES listed species (e.g. </w:t>
      </w:r>
      <w:r>
        <w:rPr>
          <w:i/>
        </w:rPr>
        <w:t>Araucaria araucana, Pilgerodendron uviferum</w:t>
      </w:r>
      <w:r>
        <w:t xml:space="preserve">) is strictly regulated and must be accompanied by the appropriate documentation where trade is permissible. All cross-border trade of CITES-listed species </w:t>
      </w:r>
      <w:r w:rsidR="00D933B7">
        <w:t>needs to</w:t>
      </w:r>
      <w:r>
        <w:t xml:space="preserve"> be documented and accompanied by required export, import and re-export certificates issued by CONAF.</w:t>
      </w:r>
    </w:p>
    <w:p w14:paraId="51B8F56C" w14:textId="17898756" w:rsidR="00341141" w:rsidRDefault="00DB0ED8">
      <w:r>
        <w:t xml:space="preserve">By exception, specimens of these categories may be exported or imported for scientific purposes through prior authorization from CONAF and with the issuance of a CITES Export Permit. If those requirements are not fulfilled, it may be considered smuggling. </w:t>
      </w:r>
      <w:r w:rsidR="00D933B7">
        <w:t>Offences provided for under Article 169 of the Customs Law may also be applied i</w:t>
      </w:r>
      <w:r>
        <w:t xml:space="preserve">f false data is provided during the submission of </w:t>
      </w:r>
      <w:r w:rsidR="00D933B7">
        <w:t xml:space="preserve">the </w:t>
      </w:r>
      <w:r>
        <w:t>documentation. The common offence provided for under Article 168(2) of the Customs Law, doctrinally known as the ‘Crime of Smuggling’, punishes the entry into, or exit from, the national territory of any good to which imports or exports are prohibited.</w:t>
      </w:r>
    </w:p>
    <w:p w14:paraId="3FAC2007" w14:textId="77777777" w:rsidR="00341141" w:rsidRDefault="00DB0ED8">
      <w:r>
        <w:t>Law 20.962 also punishes administrative and criminal offences. Possession and holding of forbidden species are punished administratively with a fine, and such interventions are sanctioned by the Local Police Court. Criminal offences punished as a special kind of counterfeit crime are investigated by the Public Prosecutor´s Office, and are settled in a jurisdictional criminal court.</w:t>
      </w:r>
    </w:p>
    <w:p w14:paraId="495586AE" w14:textId="77777777" w:rsidR="00341141" w:rsidRDefault="00DB0ED8">
      <w:pPr>
        <w:pStyle w:val="Heading4"/>
      </w:pPr>
      <w:r>
        <w:t>Protected Areas</w:t>
      </w:r>
    </w:p>
    <w:p w14:paraId="711CAEC1" w14:textId="77777777" w:rsidR="00341141" w:rsidRDefault="00DB0ED8">
      <w:r>
        <w:t xml:space="preserve">There are also areas within Chile where logging is restricted, for more information on these restrictions see </w:t>
      </w:r>
      <w:r>
        <w:rPr>
          <w:u w:val="single"/>
        </w:rPr>
        <w:t>Section 6.1 – Domestic Timber Harvesting</w:t>
      </w:r>
      <w:r>
        <w:t>.</w:t>
      </w:r>
    </w:p>
    <w:p w14:paraId="74691161" w14:textId="77777777" w:rsidR="00341141" w:rsidRDefault="00DB0ED8">
      <w:pPr>
        <w:spacing w:before="0"/>
      </w:pPr>
      <w:r>
        <w:br w:type="page"/>
      </w:r>
    </w:p>
    <w:p w14:paraId="7DCCAC66" w14:textId="77777777" w:rsidR="00341141" w:rsidRDefault="00DB0ED8">
      <w:pPr>
        <w:pStyle w:val="Heading2"/>
      </w:pPr>
      <w:bookmarkStart w:id="10" w:name="_Toc10811632"/>
      <w:r>
        <w:lastRenderedPageBreak/>
        <w:t>Timber products exported from Chile to Australia</w:t>
      </w:r>
      <w:bookmarkEnd w:id="10"/>
    </w:p>
    <w:p w14:paraId="2FFEB021" w14:textId="77777777" w:rsidR="00341141" w:rsidRDefault="00DB0ED8" w:rsidP="00ED3447">
      <w:pPr>
        <w:spacing w:after="0"/>
        <w:rPr>
          <w:lang w:eastAsia="ja-JP"/>
        </w:rPr>
      </w:pPr>
      <w:r>
        <w:rPr>
          <w:lang w:eastAsia="ja-JP"/>
        </w:rPr>
        <w:t>In 2018, Chile was Australia’s 15</w:t>
      </w:r>
      <w:r>
        <w:rPr>
          <w:vertAlign w:val="superscript"/>
          <w:lang w:eastAsia="ja-JP"/>
        </w:rPr>
        <w:t>th</w:t>
      </w:r>
      <w:r>
        <w:rPr>
          <w:lang w:eastAsia="ja-JP"/>
        </w:rPr>
        <w:t xml:space="preserve"> highest source (by value) of regulated timber products with a total of A$108 million in imported products. Major products are detailed in </w:t>
      </w:r>
      <w:r>
        <w:rPr>
          <w:u w:val="single"/>
          <w:lang w:eastAsia="ja-JP"/>
        </w:rPr>
        <w:t>Table 1</w:t>
      </w:r>
      <w:r>
        <w:rPr>
          <w:lang w:eastAsia="ja-JP"/>
        </w:rPr>
        <w:t>.</w:t>
      </w:r>
    </w:p>
    <w:p w14:paraId="58B7AB31" w14:textId="77777777" w:rsidR="00341141" w:rsidRDefault="00DB0ED8" w:rsidP="00ED3447">
      <w:pPr>
        <w:pStyle w:val="Caption"/>
        <w:spacing w:before="240"/>
      </w:pPr>
      <w:r>
        <w:t>Table 1 - List of major regulated timber products exported to Australia by value (2018)</w:t>
      </w:r>
    </w:p>
    <w:tbl>
      <w:tblPr>
        <w:tblW w:w="74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1118"/>
        <w:gridCol w:w="1984"/>
      </w:tblGrid>
      <w:tr w:rsidR="00341141" w14:paraId="7FEC2EDB" w14:textId="77777777">
        <w:trPr>
          <w:trHeight w:val="211"/>
          <w:jc w:val="center"/>
        </w:trPr>
        <w:tc>
          <w:tcPr>
            <w:tcW w:w="4390" w:type="dxa"/>
            <w:shd w:val="clear" w:color="auto" w:fill="A8D08D"/>
          </w:tcPr>
          <w:p w14:paraId="192F6267" w14:textId="77777777" w:rsidR="00341141" w:rsidRDefault="00DB0ED8">
            <w:pPr>
              <w:spacing w:before="40" w:after="40"/>
              <w:rPr>
                <w:b/>
                <w:bCs/>
                <w:sz w:val="20"/>
              </w:rPr>
            </w:pPr>
            <w:r>
              <w:rPr>
                <w:b/>
                <w:bCs/>
                <w:sz w:val="20"/>
              </w:rPr>
              <w:t>Products</w:t>
            </w:r>
          </w:p>
        </w:tc>
        <w:tc>
          <w:tcPr>
            <w:tcW w:w="1118" w:type="dxa"/>
            <w:shd w:val="clear" w:color="auto" w:fill="A8D08D"/>
          </w:tcPr>
          <w:p w14:paraId="49DEB699" w14:textId="77777777" w:rsidR="00341141" w:rsidRDefault="00DB0ED8">
            <w:pPr>
              <w:spacing w:before="40" w:after="40"/>
              <w:jc w:val="center"/>
              <w:rPr>
                <w:b/>
                <w:bCs/>
                <w:sz w:val="20"/>
              </w:rPr>
            </w:pPr>
            <w:r>
              <w:rPr>
                <w:b/>
                <w:bCs/>
                <w:sz w:val="20"/>
              </w:rPr>
              <w:t>HS Codes</w:t>
            </w:r>
          </w:p>
        </w:tc>
        <w:tc>
          <w:tcPr>
            <w:tcW w:w="1984" w:type="dxa"/>
            <w:shd w:val="clear" w:color="auto" w:fill="A8D08D"/>
          </w:tcPr>
          <w:p w14:paraId="000FF9BB" w14:textId="77777777" w:rsidR="00341141" w:rsidRDefault="00DB0ED8">
            <w:pPr>
              <w:spacing w:before="40" w:after="40"/>
              <w:jc w:val="center"/>
              <w:rPr>
                <w:b/>
                <w:bCs/>
                <w:sz w:val="20"/>
              </w:rPr>
            </w:pPr>
            <w:r>
              <w:rPr>
                <w:b/>
                <w:bCs/>
                <w:sz w:val="20"/>
              </w:rPr>
              <w:t>Value</w:t>
            </w:r>
          </w:p>
        </w:tc>
      </w:tr>
      <w:tr w:rsidR="00341141" w14:paraId="5AD39984" w14:textId="77777777">
        <w:trPr>
          <w:jc w:val="center"/>
        </w:trPr>
        <w:tc>
          <w:tcPr>
            <w:tcW w:w="4390" w:type="dxa"/>
            <w:shd w:val="clear" w:color="auto" w:fill="D9D9D9"/>
          </w:tcPr>
          <w:p w14:paraId="22CE830B" w14:textId="77777777" w:rsidR="00341141" w:rsidRDefault="00DB0ED8">
            <w:pPr>
              <w:spacing w:before="40" w:after="40"/>
              <w:rPr>
                <w:sz w:val="20"/>
              </w:rPr>
            </w:pPr>
            <w:r>
              <w:rPr>
                <w:sz w:val="20"/>
              </w:rPr>
              <w:t>Continuously shaped wood, coniferous</w:t>
            </w:r>
          </w:p>
        </w:tc>
        <w:tc>
          <w:tcPr>
            <w:tcW w:w="1118" w:type="dxa"/>
            <w:shd w:val="clear" w:color="auto" w:fill="D9D9D9"/>
          </w:tcPr>
          <w:p w14:paraId="67860B72" w14:textId="77777777" w:rsidR="00341141" w:rsidRDefault="00DB0ED8">
            <w:pPr>
              <w:spacing w:before="40" w:after="40"/>
              <w:jc w:val="center"/>
              <w:rPr>
                <w:sz w:val="20"/>
              </w:rPr>
            </w:pPr>
            <w:r>
              <w:rPr>
                <w:sz w:val="20"/>
              </w:rPr>
              <w:t>4409</w:t>
            </w:r>
          </w:p>
        </w:tc>
        <w:tc>
          <w:tcPr>
            <w:tcW w:w="1984" w:type="dxa"/>
            <w:shd w:val="clear" w:color="auto" w:fill="D9D9D9"/>
          </w:tcPr>
          <w:p w14:paraId="1C71F513" w14:textId="77777777" w:rsidR="00341141" w:rsidRDefault="00DB0ED8">
            <w:pPr>
              <w:spacing w:before="40" w:after="40"/>
              <w:jc w:val="center"/>
              <w:rPr>
                <w:sz w:val="20"/>
              </w:rPr>
            </w:pPr>
            <w:r>
              <w:rPr>
                <w:sz w:val="20"/>
              </w:rPr>
              <w:t>A$ 28.5 million</w:t>
            </w:r>
          </w:p>
        </w:tc>
      </w:tr>
      <w:tr w:rsidR="00341141" w14:paraId="0B5522BF" w14:textId="77777777">
        <w:trPr>
          <w:jc w:val="center"/>
        </w:trPr>
        <w:tc>
          <w:tcPr>
            <w:tcW w:w="4390" w:type="dxa"/>
            <w:shd w:val="clear" w:color="auto" w:fill="D9D9D9"/>
          </w:tcPr>
          <w:p w14:paraId="02B53EF7" w14:textId="77777777" w:rsidR="00341141" w:rsidRDefault="00DB0ED8">
            <w:pPr>
              <w:spacing w:before="40" w:after="40"/>
              <w:rPr>
                <w:sz w:val="20"/>
              </w:rPr>
            </w:pPr>
            <w:r>
              <w:rPr>
                <w:sz w:val="20"/>
              </w:rPr>
              <w:t>Plywood or laminated wood, or veneered panels</w:t>
            </w:r>
          </w:p>
        </w:tc>
        <w:tc>
          <w:tcPr>
            <w:tcW w:w="1118" w:type="dxa"/>
            <w:shd w:val="clear" w:color="auto" w:fill="D9D9D9"/>
          </w:tcPr>
          <w:p w14:paraId="7E3D2D51" w14:textId="77777777" w:rsidR="00341141" w:rsidRDefault="00DB0ED8">
            <w:pPr>
              <w:spacing w:before="40" w:after="40"/>
              <w:jc w:val="center"/>
              <w:rPr>
                <w:sz w:val="20"/>
              </w:rPr>
            </w:pPr>
            <w:r>
              <w:rPr>
                <w:sz w:val="20"/>
              </w:rPr>
              <w:t>4412</w:t>
            </w:r>
          </w:p>
        </w:tc>
        <w:tc>
          <w:tcPr>
            <w:tcW w:w="1984" w:type="dxa"/>
            <w:shd w:val="clear" w:color="auto" w:fill="D9D9D9"/>
          </w:tcPr>
          <w:p w14:paraId="0C008759" w14:textId="77777777" w:rsidR="00341141" w:rsidRDefault="00DB0ED8">
            <w:pPr>
              <w:spacing w:before="40" w:after="40"/>
              <w:jc w:val="center"/>
              <w:rPr>
                <w:sz w:val="20"/>
              </w:rPr>
            </w:pPr>
            <w:r>
              <w:rPr>
                <w:sz w:val="20"/>
              </w:rPr>
              <w:t>A$ 22.4 million</w:t>
            </w:r>
          </w:p>
        </w:tc>
      </w:tr>
      <w:tr w:rsidR="00341141" w14:paraId="56660F53" w14:textId="77777777">
        <w:trPr>
          <w:jc w:val="center"/>
        </w:trPr>
        <w:tc>
          <w:tcPr>
            <w:tcW w:w="4390" w:type="dxa"/>
            <w:shd w:val="clear" w:color="auto" w:fill="D9D9D9"/>
          </w:tcPr>
          <w:p w14:paraId="5C22C2D1" w14:textId="77777777" w:rsidR="00341141" w:rsidRDefault="00DB0ED8">
            <w:pPr>
              <w:spacing w:before="40" w:after="40"/>
              <w:rPr>
                <w:sz w:val="20"/>
              </w:rPr>
            </w:pPr>
            <w:r>
              <w:rPr>
                <w:sz w:val="20"/>
              </w:rPr>
              <w:t>Sawnwood</w:t>
            </w:r>
          </w:p>
        </w:tc>
        <w:tc>
          <w:tcPr>
            <w:tcW w:w="1118" w:type="dxa"/>
            <w:shd w:val="clear" w:color="auto" w:fill="D9D9D9"/>
          </w:tcPr>
          <w:p w14:paraId="3C98A611" w14:textId="77777777" w:rsidR="00341141" w:rsidRDefault="00DB0ED8">
            <w:pPr>
              <w:spacing w:before="40" w:after="40"/>
              <w:jc w:val="center"/>
              <w:rPr>
                <w:sz w:val="20"/>
              </w:rPr>
            </w:pPr>
            <w:r>
              <w:rPr>
                <w:sz w:val="20"/>
              </w:rPr>
              <w:t>4407</w:t>
            </w:r>
          </w:p>
        </w:tc>
        <w:tc>
          <w:tcPr>
            <w:tcW w:w="1984" w:type="dxa"/>
            <w:shd w:val="clear" w:color="auto" w:fill="D9D9D9"/>
          </w:tcPr>
          <w:p w14:paraId="4727A15C" w14:textId="77777777" w:rsidR="00341141" w:rsidRDefault="00DB0ED8">
            <w:pPr>
              <w:spacing w:before="40" w:after="40"/>
              <w:jc w:val="center"/>
              <w:rPr>
                <w:sz w:val="20"/>
              </w:rPr>
            </w:pPr>
            <w:r>
              <w:rPr>
                <w:sz w:val="20"/>
              </w:rPr>
              <w:t>A$ 21.1 million</w:t>
            </w:r>
          </w:p>
        </w:tc>
      </w:tr>
      <w:tr w:rsidR="00341141" w14:paraId="58917901" w14:textId="77777777">
        <w:trPr>
          <w:jc w:val="center"/>
        </w:trPr>
        <w:tc>
          <w:tcPr>
            <w:tcW w:w="4390" w:type="dxa"/>
            <w:shd w:val="clear" w:color="auto" w:fill="D9D9D9"/>
          </w:tcPr>
          <w:p w14:paraId="2466D93E" w14:textId="77777777" w:rsidR="00341141" w:rsidRDefault="00DB0ED8">
            <w:pPr>
              <w:spacing w:before="40" w:after="40"/>
              <w:rPr>
                <w:sz w:val="20"/>
              </w:rPr>
            </w:pPr>
            <w:r>
              <w:rPr>
                <w:sz w:val="20"/>
              </w:rPr>
              <w:t>Chemical wood pulp, soda or sulphate, semi-bleached or bleached</w:t>
            </w:r>
          </w:p>
        </w:tc>
        <w:tc>
          <w:tcPr>
            <w:tcW w:w="1118" w:type="dxa"/>
            <w:shd w:val="clear" w:color="auto" w:fill="D9D9D9"/>
          </w:tcPr>
          <w:p w14:paraId="18A8DD31" w14:textId="77777777" w:rsidR="00341141" w:rsidRDefault="00DB0ED8">
            <w:pPr>
              <w:spacing w:before="40" w:after="40"/>
              <w:jc w:val="center"/>
              <w:rPr>
                <w:sz w:val="20"/>
              </w:rPr>
            </w:pPr>
            <w:r>
              <w:rPr>
                <w:sz w:val="20"/>
              </w:rPr>
              <w:t>4703</w:t>
            </w:r>
          </w:p>
        </w:tc>
        <w:tc>
          <w:tcPr>
            <w:tcW w:w="1984" w:type="dxa"/>
            <w:shd w:val="clear" w:color="auto" w:fill="D9D9D9"/>
          </w:tcPr>
          <w:p w14:paraId="213A6716" w14:textId="77777777" w:rsidR="00341141" w:rsidRDefault="00DB0ED8">
            <w:pPr>
              <w:spacing w:before="40" w:after="40"/>
              <w:jc w:val="center"/>
              <w:rPr>
                <w:sz w:val="20"/>
              </w:rPr>
            </w:pPr>
            <w:r>
              <w:rPr>
                <w:sz w:val="20"/>
              </w:rPr>
              <w:t>A$ 17.9 million</w:t>
            </w:r>
          </w:p>
        </w:tc>
      </w:tr>
      <w:tr w:rsidR="00341141" w14:paraId="41C5B840" w14:textId="77777777">
        <w:trPr>
          <w:jc w:val="center"/>
        </w:trPr>
        <w:tc>
          <w:tcPr>
            <w:tcW w:w="4390" w:type="dxa"/>
            <w:shd w:val="clear" w:color="auto" w:fill="D9D9D9"/>
          </w:tcPr>
          <w:p w14:paraId="5FDBF62D" w14:textId="77777777" w:rsidR="00341141" w:rsidRDefault="00DB0ED8">
            <w:pPr>
              <w:spacing w:before="40" w:after="40"/>
              <w:rPr>
                <w:sz w:val="20"/>
              </w:rPr>
            </w:pPr>
            <w:r>
              <w:rPr>
                <w:sz w:val="20"/>
              </w:rPr>
              <w:t>Coated paper and paperboard</w:t>
            </w:r>
          </w:p>
        </w:tc>
        <w:tc>
          <w:tcPr>
            <w:tcW w:w="1118" w:type="dxa"/>
            <w:shd w:val="clear" w:color="auto" w:fill="D9D9D9"/>
          </w:tcPr>
          <w:p w14:paraId="147FFBE2" w14:textId="77777777" w:rsidR="00341141" w:rsidRDefault="00DB0ED8">
            <w:pPr>
              <w:spacing w:before="40" w:after="40"/>
              <w:jc w:val="center"/>
              <w:rPr>
                <w:sz w:val="20"/>
              </w:rPr>
            </w:pPr>
            <w:r>
              <w:rPr>
                <w:sz w:val="20"/>
              </w:rPr>
              <w:t>4810</w:t>
            </w:r>
          </w:p>
        </w:tc>
        <w:tc>
          <w:tcPr>
            <w:tcW w:w="1984" w:type="dxa"/>
            <w:shd w:val="clear" w:color="auto" w:fill="D9D9D9"/>
          </w:tcPr>
          <w:p w14:paraId="0CEED749" w14:textId="77777777" w:rsidR="00341141" w:rsidRDefault="00DB0ED8">
            <w:pPr>
              <w:spacing w:before="40" w:after="40"/>
              <w:jc w:val="center"/>
              <w:rPr>
                <w:sz w:val="20"/>
              </w:rPr>
            </w:pPr>
            <w:r>
              <w:rPr>
                <w:sz w:val="20"/>
              </w:rPr>
              <w:t>A$ 11.1 million</w:t>
            </w:r>
          </w:p>
        </w:tc>
      </w:tr>
    </w:tbl>
    <w:p w14:paraId="593A59F2" w14:textId="6C3C26F4" w:rsidR="00341141" w:rsidRDefault="00DB0ED8">
      <w:pPr>
        <w:jc w:val="center"/>
        <w:rPr>
          <w:iCs/>
          <w:sz w:val="20"/>
        </w:rPr>
      </w:pPr>
      <w:r>
        <w:rPr>
          <w:b/>
          <w:iCs/>
          <w:sz w:val="20"/>
        </w:rPr>
        <w:t>Source</w:t>
      </w:r>
      <w:r>
        <w:rPr>
          <w:iCs/>
          <w:sz w:val="20"/>
        </w:rPr>
        <w:t>: Australian Government Department of Agriculture,</w:t>
      </w:r>
      <w:r w:rsidR="00E05DED">
        <w:rPr>
          <w:iCs/>
          <w:sz w:val="20"/>
        </w:rPr>
        <w:t xml:space="preserve"> Water and the Environment,</w:t>
      </w:r>
      <w:r>
        <w:rPr>
          <w:iCs/>
          <w:sz w:val="20"/>
        </w:rPr>
        <w:t xml:space="preserve"> 2019</w:t>
      </w:r>
    </w:p>
    <w:p w14:paraId="2E998BEE" w14:textId="77777777" w:rsidR="00341141" w:rsidRDefault="00DB0ED8">
      <w:pPr>
        <w:pStyle w:val="Heading2"/>
      </w:pPr>
      <w:bookmarkStart w:id="11" w:name="_Toc10811633"/>
      <w:r>
        <w:t>Laws and regulations governing forestry in Chile</w:t>
      </w:r>
      <w:bookmarkEnd w:id="11"/>
    </w:p>
    <w:p w14:paraId="5399FC55" w14:textId="77777777" w:rsidR="00341141" w:rsidRDefault="00DB0ED8">
      <w:pPr>
        <w:rPr>
          <w:lang w:eastAsia="ja-JP"/>
        </w:rPr>
      </w:pPr>
      <w:r>
        <w:rPr>
          <w:lang w:eastAsia="ja-JP"/>
        </w:rPr>
        <w:t>Chile has a robust forest institutional framework. There are several main legal instruments that regulate forestry in Chile:</w:t>
      </w:r>
    </w:p>
    <w:p w14:paraId="55721EAC" w14:textId="77777777" w:rsidR="00341141" w:rsidRDefault="00DB0ED8">
      <w:pPr>
        <w:pStyle w:val="ListParagraph"/>
        <w:numPr>
          <w:ilvl w:val="0"/>
          <w:numId w:val="11"/>
        </w:numPr>
        <w:rPr>
          <w:lang w:eastAsia="ja-JP"/>
        </w:rPr>
      </w:pPr>
      <w:r>
        <w:rPr>
          <w:lang w:eastAsia="ja-JP"/>
        </w:rPr>
        <w:t>Decree Law No. 701 of 1974 on Forest Development</w:t>
      </w:r>
    </w:p>
    <w:p w14:paraId="6C81513F" w14:textId="179233C8" w:rsidR="00341141" w:rsidRDefault="00ED3447" w:rsidP="00ED3447">
      <w:pPr>
        <w:pStyle w:val="ListParagraph"/>
        <w:numPr>
          <w:ilvl w:val="1"/>
          <w:numId w:val="11"/>
        </w:numPr>
        <w:rPr>
          <w:lang w:eastAsia="ja-JP"/>
        </w:rPr>
      </w:pPr>
      <w:r>
        <w:rPr>
          <w:lang w:eastAsia="ja-JP"/>
        </w:rPr>
        <w:t>R</w:t>
      </w:r>
      <w:r w:rsidR="00DB0ED8">
        <w:rPr>
          <w:lang w:eastAsia="ja-JP"/>
        </w:rPr>
        <w:t>egulates activities on lands preferentially suitable for forestry and degraded lands and encourages forestation.</w:t>
      </w:r>
      <w:r>
        <w:rPr>
          <w:lang w:eastAsia="ja-JP"/>
        </w:rPr>
        <w:t xml:space="preserve"> G</w:t>
      </w:r>
      <w:r w:rsidR="00DB0ED8">
        <w:rPr>
          <w:lang w:eastAsia="ja-JP"/>
        </w:rPr>
        <w:t>ives CONAF and its officials express law enforcement powers.</w:t>
      </w:r>
    </w:p>
    <w:p w14:paraId="3816BE3F" w14:textId="77777777" w:rsidR="00341141" w:rsidRDefault="00DB0ED8">
      <w:pPr>
        <w:pStyle w:val="ListParagraph"/>
        <w:numPr>
          <w:ilvl w:val="0"/>
          <w:numId w:val="11"/>
        </w:numPr>
        <w:rPr>
          <w:lang w:eastAsia="ja-JP"/>
        </w:rPr>
      </w:pPr>
      <w:r>
        <w:rPr>
          <w:lang w:eastAsia="ja-JP"/>
        </w:rPr>
        <w:t xml:space="preserve">Law No. 20.283 of 2008 on Recovery of Native Forest and Forest Development (often referred to as </w:t>
      </w:r>
      <w:r>
        <w:rPr>
          <w:i/>
          <w:lang w:eastAsia="ja-JP"/>
        </w:rPr>
        <w:t>Native Forest Law</w:t>
      </w:r>
      <w:r>
        <w:rPr>
          <w:lang w:eastAsia="ja-JP"/>
        </w:rPr>
        <w:t>)</w:t>
      </w:r>
    </w:p>
    <w:p w14:paraId="5B8D4124" w14:textId="7B99839B" w:rsidR="00341141" w:rsidRDefault="00ED3447">
      <w:pPr>
        <w:pStyle w:val="ListParagraph"/>
        <w:numPr>
          <w:ilvl w:val="1"/>
          <w:numId w:val="11"/>
        </w:numPr>
        <w:rPr>
          <w:lang w:eastAsia="ja-JP"/>
        </w:rPr>
      </w:pPr>
      <w:r>
        <w:rPr>
          <w:lang w:eastAsia="ja-JP"/>
        </w:rPr>
        <w:t>Provides</w:t>
      </w:r>
      <w:r w:rsidR="00DB0ED8">
        <w:rPr>
          <w:lang w:eastAsia="ja-JP"/>
        </w:rPr>
        <w:t xml:space="preserve"> incentives to various stakeholders including small forest owners to establish native trees. It aims to protect, recover and improve native fo</w:t>
      </w:r>
      <w:r>
        <w:rPr>
          <w:lang w:eastAsia="ja-JP"/>
        </w:rPr>
        <w:t>rests</w:t>
      </w:r>
      <w:r w:rsidR="00DB0ED8">
        <w:rPr>
          <w:lang w:eastAsia="ja-JP"/>
        </w:rPr>
        <w:t>.</w:t>
      </w:r>
    </w:p>
    <w:p w14:paraId="5508DC24" w14:textId="77777777" w:rsidR="00341141" w:rsidRDefault="00DB0ED8">
      <w:pPr>
        <w:pStyle w:val="ListParagraph"/>
        <w:numPr>
          <w:ilvl w:val="0"/>
          <w:numId w:val="11"/>
        </w:numPr>
        <w:rPr>
          <w:lang w:eastAsia="ja-JP"/>
        </w:rPr>
      </w:pPr>
      <w:r>
        <w:rPr>
          <w:lang w:eastAsia="ja-JP"/>
        </w:rPr>
        <w:t>The Forest Act No. 4.363 of 1931 of the Ministry of Territories and Colonization</w:t>
      </w:r>
    </w:p>
    <w:p w14:paraId="4FF237A8" w14:textId="74CE4FA6" w:rsidR="00341141" w:rsidRDefault="00ED3447">
      <w:pPr>
        <w:pStyle w:val="ListParagraph"/>
        <w:numPr>
          <w:ilvl w:val="1"/>
          <w:numId w:val="11"/>
        </w:numPr>
        <w:rPr>
          <w:lang w:eastAsia="ja-JP"/>
        </w:rPr>
      </w:pPr>
      <w:r>
        <w:rPr>
          <w:lang w:eastAsia="ja-JP"/>
        </w:rPr>
        <w:t>R</w:t>
      </w:r>
      <w:r w:rsidR="00DB0ED8">
        <w:rPr>
          <w:lang w:eastAsia="ja-JP"/>
        </w:rPr>
        <w:t>egulates logging in general terms.</w:t>
      </w:r>
    </w:p>
    <w:p w14:paraId="1A4DF50F" w14:textId="77777777" w:rsidR="00341141" w:rsidRDefault="00DB0ED8">
      <w:pPr>
        <w:pStyle w:val="ListParagraph"/>
        <w:numPr>
          <w:ilvl w:val="1"/>
          <w:numId w:val="11"/>
        </w:numPr>
        <w:rPr>
          <w:lang w:eastAsia="ja-JP"/>
        </w:rPr>
      </w:pPr>
      <w:r>
        <w:rPr>
          <w:lang w:eastAsia="ja-JP"/>
        </w:rPr>
        <w:t>Provides a mandate to protect forests, and provides powers to establish national parks and reserves.</w:t>
      </w:r>
    </w:p>
    <w:p w14:paraId="3BBF0FCD" w14:textId="77777777" w:rsidR="00341141" w:rsidRDefault="00DB0ED8">
      <w:pPr>
        <w:pStyle w:val="ListParagraph"/>
        <w:numPr>
          <w:ilvl w:val="0"/>
          <w:numId w:val="11"/>
        </w:numPr>
        <w:rPr>
          <w:lang w:eastAsia="ja-JP"/>
        </w:rPr>
      </w:pPr>
      <w:r>
        <w:rPr>
          <w:lang w:eastAsia="ja-JP"/>
        </w:rPr>
        <w:t>Law No. 19.300 of 1994 on General Bases of the Environment</w:t>
      </w:r>
    </w:p>
    <w:p w14:paraId="2BCDECA9" w14:textId="2BEAA1E4" w:rsidR="00341141" w:rsidRDefault="0013744C">
      <w:pPr>
        <w:pStyle w:val="ListParagraph"/>
        <w:numPr>
          <w:ilvl w:val="1"/>
          <w:numId w:val="11"/>
        </w:numPr>
        <w:rPr>
          <w:lang w:eastAsia="ja-JP"/>
        </w:rPr>
      </w:pPr>
      <w:r>
        <w:rPr>
          <w:lang w:eastAsia="ja-JP"/>
        </w:rPr>
        <w:t>A</w:t>
      </w:r>
      <w:r w:rsidR="00DB0ED8">
        <w:rPr>
          <w:lang w:eastAsia="ja-JP"/>
        </w:rPr>
        <w:t>ims to protect native forests, and provides requirements for environmental impact assessment systems.</w:t>
      </w:r>
    </w:p>
    <w:p w14:paraId="15FCEA49" w14:textId="4D147C89" w:rsidR="00341141" w:rsidRDefault="00DB0ED8">
      <w:pPr>
        <w:rPr>
          <w:lang w:eastAsia="ja-JP"/>
        </w:rPr>
      </w:pPr>
      <w:r>
        <w:rPr>
          <w:lang w:eastAsia="ja-JP"/>
        </w:rPr>
        <w:t xml:space="preserve">These legal instruments </w:t>
      </w:r>
      <w:r w:rsidR="00ED3447">
        <w:rPr>
          <w:lang w:eastAsia="ja-JP"/>
        </w:rPr>
        <w:t>set out</w:t>
      </w:r>
      <w:r>
        <w:rPr>
          <w:lang w:eastAsia="ja-JP"/>
        </w:rPr>
        <w:t xml:space="preserve"> the requirements that must be met to manage Chile’s forests</w:t>
      </w:r>
      <w:r w:rsidR="00ED3447">
        <w:rPr>
          <w:lang w:eastAsia="ja-JP"/>
        </w:rPr>
        <w:t xml:space="preserve"> (including any silvicultural activities)</w:t>
      </w:r>
      <w:r>
        <w:rPr>
          <w:lang w:eastAsia="ja-JP"/>
        </w:rPr>
        <w:t xml:space="preserve">, and establish sanctions for those who do not comply with the laws and regulations. Regulations are part of the legal framework enforced by CONAF as the technical administrative authority. Depending on the law, an administrative authority enforces it through fines or other administrative measures; including stages where the courts of justice </w:t>
      </w:r>
      <w:r w:rsidR="00ED3447">
        <w:rPr>
          <w:lang w:eastAsia="ja-JP"/>
        </w:rPr>
        <w:t>will</w:t>
      </w:r>
      <w:r>
        <w:rPr>
          <w:lang w:eastAsia="ja-JP"/>
        </w:rPr>
        <w:t xml:space="preserve"> resolve </w:t>
      </w:r>
      <w:r w:rsidR="00ED3447">
        <w:rPr>
          <w:lang w:eastAsia="ja-JP"/>
        </w:rPr>
        <w:t>any enforcement actions</w:t>
      </w:r>
      <w:r>
        <w:rPr>
          <w:lang w:eastAsia="ja-JP"/>
        </w:rPr>
        <w:t>.</w:t>
      </w:r>
    </w:p>
    <w:p w14:paraId="22B4B2A9" w14:textId="77777777" w:rsidR="00341141" w:rsidRDefault="00DB0ED8">
      <w:pPr>
        <w:pStyle w:val="Heading3"/>
      </w:pPr>
      <w:bookmarkStart w:id="12" w:name="_Toc10811634"/>
      <w:r>
        <w:lastRenderedPageBreak/>
        <w:t>Domestic timber harvesting</w:t>
      </w:r>
      <w:bookmarkEnd w:id="12"/>
    </w:p>
    <w:p w14:paraId="0936C375" w14:textId="228ED5F4" w:rsidR="00341141" w:rsidRDefault="00ED3447">
      <w:pPr>
        <w:rPr>
          <w:lang w:eastAsia="ja-JP"/>
        </w:rPr>
      </w:pPr>
      <w:r>
        <w:rPr>
          <w:lang w:eastAsia="ja-JP"/>
        </w:rPr>
        <w:t>F</w:t>
      </w:r>
      <w:r w:rsidR="00DB0ED8">
        <w:rPr>
          <w:lang w:eastAsia="ja-JP"/>
        </w:rPr>
        <w:t xml:space="preserve">orest harvesting activities must be pre-authorised by CONAF. To harvest or manage </w:t>
      </w:r>
      <w:r w:rsidR="00617E39">
        <w:rPr>
          <w:lang w:eastAsia="ja-JP"/>
        </w:rPr>
        <w:t>most Chilean forests</w:t>
      </w:r>
      <w:r w:rsidR="00617E39">
        <w:rPr>
          <w:rStyle w:val="FootnoteReference"/>
          <w:lang w:eastAsia="ja-JP"/>
        </w:rPr>
        <w:footnoteReference w:id="9"/>
      </w:r>
      <w:r w:rsidR="00617E39">
        <w:rPr>
          <w:lang w:eastAsia="ja-JP"/>
        </w:rPr>
        <w:t>, a</w:t>
      </w:r>
      <w:r w:rsidR="00DB0ED8">
        <w:rPr>
          <w:lang w:eastAsia="ja-JP"/>
        </w:rPr>
        <w:t xml:space="preserve"> producer must submit a forest management plan (i.e. the applicable native forest management plan or plantation management plan) and pay a tax </w:t>
      </w:r>
      <w:r w:rsidR="00617E39">
        <w:rPr>
          <w:lang w:eastAsia="ja-JP"/>
        </w:rPr>
        <w:t>that corresponds to the area to be harvested/managed.</w:t>
      </w:r>
    </w:p>
    <w:p w14:paraId="14F50C9D" w14:textId="77777777" w:rsidR="00341141" w:rsidRDefault="00DB0ED8">
      <w:pPr>
        <w:rPr>
          <w:lang w:eastAsia="ja-JP"/>
        </w:rPr>
      </w:pPr>
      <w:r>
        <w:rPr>
          <w:u w:val="single"/>
          <w:lang w:eastAsia="ja-JP"/>
        </w:rPr>
        <w:t>Native Forests:</w:t>
      </w:r>
      <w:r>
        <w:rPr>
          <w:lang w:eastAsia="ja-JP"/>
        </w:rPr>
        <w:t xml:space="preserve"> </w:t>
      </w:r>
    </w:p>
    <w:p w14:paraId="17F1A3DA" w14:textId="77777777" w:rsidR="00341141" w:rsidRPr="00617E39" w:rsidRDefault="00DB0ED8" w:rsidP="00617E39">
      <w:pPr>
        <w:pStyle w:val="ListParagraph"/>
        <w:numPr>
          <w:ilvl w:val="0"/>
          <w:numId w:val="10"/>
        </w:numPr>
        <w:ind w:left="357" w:hanging="357"/>
        <w:contextualSpacing w:val="0"/>
      </w:pPr>
      <w:r w:rsidRPr="00617E39">
        <w:t xml:space="preserve">All harvesting of native forest on any terrain is required to have a native forest management plan approved by CONAF under Act 20.283 of 2008 on native forests. </w:t>
      </w:r>
    </w:p>
    <w:p w14:paraId="2C279A3E" w14:textId="596E7645" w:rsidR="00341141" w:rsidRDefault="00DB0ED8" w:rsidP="00617E39">
      <w:pPr>
        <w:pStyle w:val="ListParagraph"/>
        <w:numPr>
          <w:ilvl w:val="0"/>
          <w:numId w:val="10"/>
        </w:numPr>
        <w:ind w:left="357" w:hanging="357"/>
        <w:contextualSpacing w:val="0"/>
      </w:pPr>
      <w:r w:rsidRPr="00617E39">
        <w:t>Additionally, where the native forest management plan involves circumstances covered by Act 19.300 and its associated regulations, an Environment Impact Assessment/Statement approved by the Ministry of the Environment (</w:t>
      </w:r>
      <w:r w:rsidRPr="00617E39">
        <w:rPr>
          <w:i/>
        </w:rPr>
        <w:t>Ministerio de Medio Ambiente</w:t>
      </w:r>
      <w:r w:rsidRPr="00617E39">
        <w:t xml:space="preserve">) is required, otherwise clearcutting or conversion is not permitted. </w:t>
      </w:r>
      <w:r w:rsidR="00617E39">
        <w:t>Relevant c</w:t>
      </w:r>
      <w:r w:rsidRPr="00617E39">
        <w:t>ircumstances include forestry development or exploitation projects on fragile soils, or in native forests where endangered species are present. This will result in a sectorial permit (or Management Plan of Civil Works) which must be submitted to CONAF.</w:t>
      </w:r>
    </w:p>
    <w:p w14:paraId="4DA6ECBF" w14:textId="336A17B6" w:rsidR="00A51A88" w:rsidRPr="00617E39" w:rsidRDefault="00A51A88" w:rsidP="00A51A88">
      <w:pPr>
        <w:pStyle w:val="ListParagraph"/>
        <w:ind w:left="357"/>
        <w:contextualSpacing w:val="0"/>
      </w:pPr>
      <w:r>
        <w:t xml:space="preserve">Where an Environment Impact Assessment/Statement is required, importers can potentially check its status by using the following link: </w:t>
      </w:r>
      <w:hyperlink r:id="rId14" w:history="1">
        <w:r w:rsidRPr="00D118F1">
          <w:rPr>
            <w:rStyle w:val="Hyperlink"/>
          </w:rPr>
          <w:t>http://seia.sea.gob.cl/busqueda/buscarProyecto.php</w:t>
        </w:r>
      </w:hyperlink>
      <w:r>
        <w:t xml:space="preserve"> (although the site is in Spanish). All the official information is contained in the project dossier.</w:t>
      </w:r>
    </w:p>
    <w:p w14:paraId="06551145" w14:textId="63517800" w:rsidR="00341141" w:rsidRPr="00617E39" w:rsidRDefault="00DB0ED8" w:rsidP="00617E39">
      <w:pPr>
        <w:pStyle w:val="ListParagraph"/>
        <w:numPr>
          <w:ilvl w:val="0"/>
          <w:numId w:val="10"/>
        </w:numPr>
        <w:ind w:left="357" w:hanging="357"/>
        <w:contextualSpacing w:val="0"/>
      </w:pPr>
      <w:r w:rsidRPr="00617E39">
        <w:t>All timber produced and commercialised must have a ‘free transit guide’ (</w:t>
      </w:r>
      <w:r w:rsidRPr="00617E39">
        <w:rPr>
          <w:i/>
        </w:rPr>
        <w:t>guías de libre tránsito</w:t>
      </w:r>
      <w:r w:rsidRPr="00617E39">
        <w:t xml:space="preserve">). These certificates have a limited </w:t>
      </w:r>
      <w:r w:rsidR="00167C0B">
        <w:t xml:space="preserve">period of </w:t>
      </w:r>
      <w:r w:rsidRPr="00617E39">
        <w:t>validity, after which the product becomes illegal and cannot be further processed</w:t>
      </w:r>
      <w:r w:rsidR="00617E39">
        <w:t>,</w:t>
      </w:r>
      <w:r w:rsidRPr="00617E39">
        <w:t xml:space="preserve"> even if it is in or has come from a place that holds a native forest management plan. An example of a ‘free transit guide’ can be found in </w:t>
      </w:r>
      <w:r w:rsidRPr="00ED68B7">
        <w:rPr>
          <w:u w:val="single"/>
        </w:rPr>
        <w:t>Annex 3.</w:t>
      </w:r>
    </w:p>
    <w:p w14:paraId="55D4A454" w14:textId="3656F4EE" w:rsidR="00341141" w:rsidRPr="00C4180A" w:rsidRDefault="00DB0ED8">
      <w:pPr>
        <w:rPr>
          <w:lang w:eastAsia="ja-JP"/>
        </w:rPr>
      </w:pPr>
      <w:r>
        <w:rPr>
          <w:lang w:eastAsia="ja-JP"/>
        </w:rPr>
        <w:t>In the above circumstances, where there is an approved forest management plan this is considered to be the equivalent of an approved harvesting permit.</w:t>
      </w:r>
      <w:r w:rsidR="00C4180A">
        <w:rPr>
          <w:lang w:eastAsia="ja-JP"/>
        </w:rPr>
        <w:t xml:space="preserve"> </w:t>
      </w:r>
      <w:r>
        <w:rPr>
          <w:lang w:eastAsia="ja-JP"/>
        </w:rPr>
        <w:t>A</w:t>
      </w:r>
      <w:r>
        <w:rPr>
          <w:b/>
          <w:lang w:eastAsia="ja-JP"/>
        </w:rPr>
        <w:t xml:space="preserve"> </w:t>
      </w:r>
      <w:r w:rsidRPr="00C4180A">
        <w:rPr>
          <w:lang w:eastAsia="ja-JP"/>
        </w:rPr>
        <w:t>forest management plan</w:t>
      </w:r>
      <w:r>
        <w:rPr>
          <w:lang w:eastAsia="ja-JP"/>
        </w:rPr>
        <w:t xml:space="preserve"> provides information including the surface area to be managed and/or felled, forest/plot parameters, environmental specifications regarding protected areas or elements, practices for pest control and fire prevention.</w:t>
      </w:r>
      <w:r>
        <w:rPr>
          <w:i/>
          <w:lang w:eastAsia="ja-JP"/>
        </w:rPr>
        <w:t xml:space="preserve"> </w:t>
      </w:r>
    </w:p>
    <w:p w14:paraId="59B105A1" w14:textId="77777777" w:rsidR="00341141" w:rsidRDefault="00DB0ED8">
      <w:pPr>
        <w:rPr>
          <w:lang w:eastAsia="ja-JP"/>
        </w:rPr>
      </w:pPr>
      <w:r>
        <w:rPr>
          <w:u w:val="single"/>
          <w:lang w:eastAsia="ja-JP"/>
        </w:rPr>
        <w:t>Plantations:</w:t>
      </w:r>
      <w:r>
        <w:rPr>
          <w:lang w:eastAsia="ja-JP"/>
        </w:rPr>
        <w:t xml:space="preserve"> </w:t>
      </w:r>
    </w:p>
    <w:p w14:paraId="7731C687" w14:textId="4E23BD55" w:rsidR="00341141" w:rsidRDefault="00DB0ED8" w:rsidP="00C4180A">
      <w:pPr>
        <w:pStyle w:val="ListParagraph"/>
        <w:numPr>
          <w:ilvl w:val="0"/>
          <w:numId w:val="10"/>
        </w:numPr>
        <w:ind w:left="357" w:hanging="357"/>
        <w:contextualSpacing w:val="0"/>
      </w:pPr>
      <w:r>
        <w:t>There is an obligation for forest plantations on lands preferentially suitable for</w:t>
      </w:r>
      <w:r w:rsidR="00C4180A">
        <w:t xml:space="preserve"> forestry</w:t>
      </w:r>
      <w:r w:rsidRPr="00C4180A">
        <w:rPr>
          <w:rStyle w:val="FootnoteReference"/>
          <w:lang w:eastAsia="ja-JP"/>
        </w:rPr>
        <w:footnoteReference w:id="10"/>
      </w:r>
      <w:r>
        <w:t xml:space="preserve"> to have a management plan presented (regardless of whether </w:t>
      </w:r>
      <w:r w:rsidR="00C4180A">
        <w:t>it is on state</w:t>
      </w:r>
      <w:r>
        <w:t xml:space="preserve"> or privately-owned</w:t>
      </w:r>
      <w:r w:rsidR="00C4180A">
        <w:t xml:space="preserve"> land</w:t>
      </w:r>
      <w:r>
        <w:t>) and approved by CONAF</w:t>
      </w:r>
      <w:r w:rsidR="00C4180A">
        <w:t>,</w:t>
      </w:r>
      <w:r>
        <w:t xml:space="preserve"> prior to any </w:t>
      </w:r>
      <w:r w:rsidR="00C4180A">
        <w:t>harvestin</w:t>
      </w:r>
      <w:r>
        <w:t xml:space="preserve">g activity taking place. </w:t>
      </w:r>
    </w:p>
    <w:p w14:paraId="4B9A2F77" w14:textId="77777777" w:rsidR="00341141" w:rsidRDefault="00DB0ED8" w:rsidP="00C4180A">
      <w:pPr>
        <w:pStyle w:val="ListParagraph"/>
        <w:numPr>
          <w:ilvl w:val="0"/>
          <w:numId w:val="10"/>
        </w:numPr>
        <w:ind w:left="357" w:hanging="357"/>
        <w:contextualSpacing w:val="0"/>
      </w:pPr>
      <w:r>
        <w:lastRenderedPageBreak/>
        <w:t xml:space="preserve">There is </w:t>
      </w:r>
      <w:r w:rsidRPr="00C4180A">
        <w:t>no</w:t>
      </w:r>
      <w:r>
        <w:t xml:space="preserve"> obligation for owners of forest plantations on land </w:t>
      </w:r>
      <w:r w:rsidRPr="00C4180A">
        <w:t xml:space="preserve">not </w:t>
      </w:r>
      <w:r>
        <w:t xml:space="preserve">defined as preferentially suitable for forestry (e.g. on agricultural lands) to have a plantation management plan, and forest owners/managers do not require harvest approval from CONAF. </w:t>
      </w:r>
    </w:p>
    <w:p w14:paraId="751BBCF9" w14:textId="7EA3CF46" w:rsidR="00341141" w:rsidRDefault="00DB0ED8" w:rsidP="003168DC">
      <w:pPr>
        <w:spacing w:after="120"/>
        <w:rPr>
          <w:lang w:eastAsia="ja-JP"/>
        </w:rPr>
      </w:pPr>
      <w:r>
        <w:rPr>
          <w:u w:val="single"/>
          <w:lang w:eastAsia="ja-JP"/>
        </w:rPr>
        <w:t>Tables 2 and 3</w:t>
      </w:r>
      <w:r>
        <w:rPr>
          <w:lang w:eastAsia="ja-JP"/>
        </w:rPr>
        <w:t xml:space="preserve"> set out the management, types of timber sourced, and whether a forest management plan is required for both native forests and plantations respectively. </w:t>
      </w:r>
    </w:p>
    <w:p w14:paraId="442D8701" w14:textId="77777777" w:rsidR="00341141" w:rsidRDefault="00DB0ED8" w:rsidP="003168DC">
      <w:pPr>
        <w:pStyle w:val="Caption"/>
        <w:spacing w:before="120"/>
        <w:rPr>
          <w:lang w:eastAsia="ja-JP"/>
        </w:rPr>
      </w:pPr>
      <w:r>
        <w:rPr>
          <w:lang w:eastAsia="ja-JP"/>
        </w:rPr>
        <w:t xml:space="preserve">Table 2: Private and State owned Native Forests </w:t>
      </w:r>
    </w:p>
    <w:tbl>
      <w:tblPr>
        <w:tblStyle w:val="TableGrid"/>
        <w:tblW w:w="9918" w:type="dxa"/>
        <w:tblLayout w:type="fixed"/>
        <w:tblLook w:val="04A0" w:firstRow="1" w:lastRow="0" w:firstColumn="1" w:lastColumn="0" w:noHBand="0" w:noVBand="1"/>
      </w:tblPr>
      <w:tblGrid>
        <w:gridCol w:w="2122"/>
        <w:gridCol w:w="7796"/>
      </w:tblGrid>
      <w:tr w:rsidR="00341141" w14:paraId="3BEC87E8" w14:textId="77777777" w:rsidTr="00A51A88">
        <w:tc>
          <w:tcPr>
            <w:tcW w:w="9918" w:type="dxa"/>
            <w:gridSpan w:val="2"/>
            <w:shd w:val="clear" w:color="auto" w:fill="00B0F0"/>
          </w:tcPr>
          <w:p w14:paraId="21A11698" w14:textId="77777777" w:rsidR="00341141" w:rsidRDefault="00DB0ED8">
            <w:pPr>
              <w:spacing w:before="60" w:after="60"/>
              <w:rPr>
                <w:b/>
                <w:lang w:eastAsia="ja-JP"/>
              </w:rPr>
            </w:pPr>
            <w:r>
              <w:rPr>
                <w:b/>
                <w:lang w:eastAsia="ja-JP"/>
              </w:rPr>
              <w:t xml:space="preserve">Native Forests </w:t>
            </w:r>
          </w:p>
        </w:tc>
      </w:tr>
      <w:tr w:rsidR="00341141" w14:paraId="703EB26F" w14:textId="77777777" w:rsidTr="00A51A88">
        <w:tc>
          <w:tcPr>
            <w:tcW w:w="9918" w:type="dxa"/>
            <w:gridSpan w:val="2"/>
            <w:shd w:val="clear" w:color="auto" w:fill="92D050"/>
          </w:tcPr>
          <w:p w14:paraId="7C269C14" w14:textId="04362D1A" w:rsidR="00341141" w:rsidRDefault="00DB0ED8" w:rsidP="00C57B3F">
            <w:pPr>
              <w:spacing w:before="60" w:after="60"/>
              <w:rPr>
                <w:i/>
                <w:lang w:eastAsia="ja-JP"/>
              </w:rPr>
            </w:pPr>
            <w:r>
              <w:rPr>
                <w:i/>
                <w:lang w:eastAsia="ja-JP"/>
              </w:rPr>
              <w:t>Priv</w:t>
            </w:r>
            <w:r w:rsidR="00C57B3F">
              <w:rPr>
                <w:i/>
                <w:lang w:eastAsia="ja-JP"/>
              </w:rPr>
              <w:t>ately-owned productive forests</w:t>
            </w:r>
          </w:p>
        </w:tc>
      </w:tr>
      <w:tr w:rsidR="00341141" w14:paraId="3C303AE0" w14:textId="77777777" w:rsidTr="00A51A88">
        <w:trPr>
          <w:trHeight w:val="902"/>
        </w:trPr>
        <w:tc>
          <w:tcPr>
            <w:tcW w:w="2122" w:type="dxa"/>
            <w:shd w:val="clear" w:color="auto" w:fill="8DB3E2" w:themeFill="text2" w:themeFillTint="66"/>
          </w:tcPr>
          <w:p w14:paraId="3050403D" w14:textId="77777777" w:rsidR="00341141" w:rsidRDefault="00DB0ED8">
            <w:pPr>
              <w:spacing w:before="60" w:after="60"/>
              <w:rPr>
                <w:sz w:val="20"/>
                <w:szCs w:val="20"/>
                <w:lang w:eastAsia="ja-JP"/>
              </w:rPr>
            </w:pPr>
            <w:r>
              <w:rPr>
                <w:sz w:val="20"/>
                <w:szCs w:val="20"/>
                <w:lang w:eastAsia="ja-JP"/>
              </w:rPr>
              <w:t xml:space="preserve">Management Aim </w:t>
            </w:r>
          </w:p>
        </w:tc>
        <w:tc>
          <w:tcPr>
            <w:tcW w:w="7796" w:type="dxa"/>
            <w:shd w:val="clear" w:color="auto" w:fill="D9D9D9" w:themeFill="background1" w:themeFillShade="D9"/>
          </w:tcPr>
          <w:p w14:paraId="11BD3E01"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 xml:space="preserve">Conservation and productive management. </w:t>
            </w:r>
          </w:p>
          <w:p w14:paraId="240057AD"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Development incentives are offered to manage commercial or conservation forests under Act 20.283.</w:t>
            </w:r>
          </w:p>
        </w:tc>
      </w:tr>
      <w:tr w:rsidR="00341141" w14:paraId="67165B01" w14:textId="77777777" w:rsidTr="00A51A88">
        <w:trPr>
          <w:trHeight w:val="696"/>
        </w:trPr>
        <w:tc>
          <w:tcPr>
            <w:tcW w:w="2122" w:type="dxa"/>
            <w:shd w:val="clear" w:color="auto" w:fill="8DB3E2" w:themeFill="text2" w:themeFillTint="66"/>
          </w:tcPr>
          <w:p w14:paraId="214F719A" w14:textId="77777777" w:rsidR="00341141" w:rsidRDefault="00DB0ED8">
            <w:pPr>
              <w:spacing w:before="60" w:after="60"/>
              <w:rPr>
                <w:sz w:val="20"/>
                <w:szCs w:val="20"/>
                <w:lang w:eastAsia="ja-JP"/>
              </w:rPr>
            </w:pPr>
            <w:r>
              <w:rPr>
                <w:sz w:val="20"/>
                <w:szCs w:val="20"/>
                <w:lang w:eastAsia="ja-JP"/>
              </w:rPr>
              <w:t>Timber Sourced</w:t>
            </w:r>
          </w:p>
        </w:tc>
        <w:tc>
          <w:tcPr>
            <w:tcW w:w="7796" w:type="dxa"/>
            <w:shd w:val="clear" w:color="auto" w:fill="D9D9D9" w:themeFill="background1" w:themeFillShade="D9"/>
          </w:tcPr>
          <w:p w14:paraId="7FC5ECB2"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Logs and sawnwood from native species, except those declared as a natural monument or endangered.</w:t>
            </w:r>
          </w:p>
        </w:tc>
      </w:tr>
      <w:tr w:rsidR="00341141" w14:paraId="2CEB9635" w14:textId="77777777" w:rsidTr="00A51A88">
        <w:tc>
          <w:tcPr>
            <w:tcW w:w="2122" w:type="dxa"/>
            <w:shd w:val="clear" w:color="auto" w:fill="8DB3E2" w:themeFill="text2" w:themeFillTint="66"/>
          </w:tcPr>
          <w:p w14:paraId="5FAE1665" w14:textId="77777777" w:rsidR="00341141" w:rsidRDefault="00DB0ED8">
            <w:pPr>
              <w:spacing w:before="60" w:after="60"/>
              <w:rPr>
                <w:sz w:val="20"/>
                <w:szCs w:val="20"/>
                <w:lang w:eastAsia="ja-JP"/>
              </w:rPr>
            </w:pPr>
            <w:r>
              <w:rPr>
                <w:sz w:val="20"/>
                <w:szCs w:val="20"/>
                <w:lang w:eastAsia="ja-JP"/>
              </w:rPr>
              <w:t>Harvesting permit type</w:t>
            </w:r>
          </w:p>
        </w:tc>
        <w:tc>
          <w:tcPr>
            <w:tcW w:w="7796" w:type="dxa"/>
            <w:shd w:val="clear" w:color="auto" w:fill="D9D9D9" w:themeFill="background1" w:themeFillShade="D9"/>
          </w:tcPr>
          <w:p w14:paraId="349E0326"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CONAF-approved native forest management plan</w:t>
            </w:r>
          </w:p>
        </w:tc>
      </w:tr>
      <w:tr w:rsidR="00341141" w14:paraId="745B4F29" w14:textId="77777777" w:rsidTr="00A51A88">
        <w:trPr>
          <w:trHeight w:val="621"/>
        </w:trPr>
        <w:tc>
          <w:tcPr>
            <w:tcW w:w="2122" w:type="dxa"/>
            <w:shd w:val="clear" w:color="auto" w:fill="8DB3E2" w:themeFill="text2" w:themeFillTint="66"/>
          </w:tcPr>
          <w:p w14:paraId="64EE3B14" w14:textId="77777777" w:rsidR="00341141" w:rsidRDefault="00DB0ED8">
            <w:pPr>
              <w:spacing w:before="60" w:after="60"/>
              <w:rPr>
                <w:sz w:val="20"/>
                <w:szCs w:val="20"/>
                <w:lang w:eastAsia="ja-JP"/>
              </w:rPr>
            </w:pPr>
            <w:r>
              <w:rPr>
                <w:sz w:val="20"/>
                <w:szCs w:val="20"/>
                <w:lang w:eastAsia="ja-JP"/>
              </w:rPr>
              <w:t>Transport permit</w:t>
            </w:r>
          </w:p>
        </w:tc>
        <w:tc>
          <w:tcPr>
            <w:tcW w:w="7796" w:type="dxa"/>
            <w:shd w:val="clear" w:color="auto" w:fill="D9D9D9" w:themeFill="background1" w:themeFillShade="D9"/>
          </w:tcPr>
          <w:p w14:paraId="225D6794"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Timber resource extraction can only be done with a free transit guide, or transit note issued by CONAF following approval of the management plan.</w:t>
            </w:r>
          </w:p>
        </w:tc>
      </w:tr>
      <w:tr w:rsidR="00341141" w14:paraId="7DC9515C" w14:textId="77777777" w:rsidTr="00A51A88">
        <w:tc>
          <w:tcPr>
            <w:tcW w:w="9918" w:type="dxa"/>
            <w:gridSpan w:val="2"/>
            <w:shd w:val="clear" w:color="auto" w:fill="92D050"/>
          </w:tcPr>
          <w:p w14:paraId="6DF8D326" w14:textId="491A4923" w:rsidR="00341141" w:rsidRDefault="00C57B3F" w:rsidP="00C57B3F">
            <w:pPr>
              <w:spacing w:before="60" w:after="60"/>
              <w:rPr>
                <w:i/>
                <w:lang w:eastAsia="ja-JP"/>
              </w:rPr>
            </w:pPr>
            <w:r>
              <w:rPr>
                <w:i/>
                <w:lang w:eastAsia="ja-JP"/>
              </w:rPr>
              <w:t>State-owned forests</w:t>
            </w:r>
          </w:p>
        </w:tc>
      </w:tr>
      <w:tr w:rsidR="00341141" w14:paraId="2B2CDDB8" w14:textId="77777777" w:rsidTr="00A51A88">
        <w:trPr>
          <w:trHeight w:val="543"/>
        </w:trPr>
        <w:tc>
          <w:tcPr>
            <w:tcW w:w="2122" w:type="dxa"/>
            <w:shd w:val="clear" w:color="auto" w:fill="8DB3E2" w:themeFill="text2" w:themeFillTint="66"/>
          </w:tcPr>
          <w:p w14:paraId="2F4340AA" w14:textId="77777777" w:rsidR="00341141" w:rsidRDefault="00DB0ED8">
            <w:pPr>
              <w:spacing w:before="60" w:after="60"/>
              <w:rPr>
                <w:sz w:val="20"/>
                <w:szCs w:val="20"/>
                <w:lang w:eastAsia="ja-JP"/>
              </w:rPr>
            </w:pPr>
            <w:r>
              <w:rPr>
                <w:sz w:val="20"/>
                <w:szCs w:val="20"/>
                <w:lang w:eastAsia="ja-JP"/>
              </w:rPr>
              <w:t>Management Aim</w:t>
            </w:r>
          </w:p>
        </w:tc>
        <w:tc>
          <w:tcPr>
            <w:tcW w:w="7796" w:type="dxa"/>
            <w:shd w:val="clear" w:color="auto" w:fill="D9D9D9" w:themeFill="background1" w:themeFillShade="D9"/>
          </w:tcPr>
          <w:p w14:paraId="4214988B"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 xml:space="preserve">Multiple-use purpose. </w:t>
            </w:r>
          </w:p>
        </w:tc>
      </w:tr>
      <w:tr w:rsidR="00341141" w14:paraId="279AE41D" w14:textId="77777777" w:rsidTr="00A51A88">
        <w:tc>
          <w:tcPr>
            <w:tcW w:w="2122" w:type="dxa"/>
            <w:shd w:val="clear" w:color="auto" w:fill="8DB3E2" w:themeFill="text2" w:themeFillTint="66"/>
          </w:tcPr>
          <w:p w14:paraId="7342B1C9" w14:textId="77777777" w:rsidR="00341141" w:rsidRDefault="00DB0ED8">
            <w:pPr>
              <w:spacing w:before="60" w:after="60"/>
              <w:rPr>
                <w:sz w:val="20"/>
                <w:szCs w:val="20"/>
                <w:lang w:eastAsia="ja-JP"/>
              </w:rPr>
            </w:pPr>
            <w:r>
              <w:rPr>
                <w:sz w:val="20"/>
                <w:szCs w:val="20"/>
                <w:lang w:eastAsia="ja-JP"/>
              </w:rPr>
              <w:t>Timber Sourced</w:t>
            </w:r>
          </w:p>
        </w:tc>
        <w:tc>
          <w:tcPr>
            <w:tcW w:w="7796" w:type="dxa"/>
            <w:shd w:val="clear" w:color="auto" w:fill="D9D9D9" w:themeFill="background1" w:themeFillShade="D9"/>
          </w:tcPr>
          <w:p w14:paraId="60AB52F8"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Logs and sawnwood from native species.</w:t>
            </w:r>
          </w:p>
        </w:tc>
      </w:tr>
      <w:tr w:rsidR="00341141" w14:paraId="4D4FB55D" w14:textId="77777777" w:rsidTr="00A51A88">
        <w:tc>
          <w:tcPr>
            <w:tcW w:w="2122" w:type="dxa"/>
            <w:shd w:val="clear" w:color="auto" w:fill="8DB3E2" w:themeFill="text2" w:themeFillTint="66"/>
          </w:tcPr>
          <w:p w14:paraId="7C2DF536" w14:textId="77777777" w:rsidR="00341141" w:rsidRDefault="00DB0ED8">
            <w:pPr>
              <w:spacing w:before="60" w:after="60"/>
              <w:rPr>
                <w:sz w:val="20"/>
                <w:szCs w:val="20"/>
                <w:lang w:eastAsia="ja-JP"/>
              </w:rPr>
            </w:pPr>
            <w:r>
              <w:rPr>
                <w:sz w:val="20"/>
                <w:szCs w:val="20"/>
                <w:lang w:eastAsia="ja-JP"/>
              </w:rPr>
              <w:t>Harvesting permit type</w:t>
            </w:r>
          </w:p>
        </w:tc>
        <w:tc>
          <w:tcPr>
            <w:tcW w:w="7796" w:type="dxa"/>
            <w:shd w:val="clear" w:color="auto" w:fill="D9D9D9" w:themeFill="background1" w:themeFillShade="D9"/>
          </w:tcPr>
          <w:p w14:paraId="0A25202B"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CONAF-approved native forest management plan.</w:t>
            </w:r>
          </w:p>
        </w:tc>
      </w:tr>
      <w:tr w:rsidR="00341141" w14:paraId="15B8D283" w14:textId="77777777" w:rsidTr="00A51A88">
        <w:tc>
          <w:tcPr>
            <w:tcW w:w="2122" w:type="dxa"/>
            <w:shd w:val="clear" w:color="auto" w:fill="8DB3E2" w:themeFill="text2" w:themeFillTint="66"/>
          </w:tcPr>
          <w:p w14:paraId="05ED7CEB" w14:textId="77777777" w:rsidR="00341141" w:rsidRDefault="00DB0ED8">
            <w:pPr>
              <w:spacing w:before="60" w:after="60"/>
              <w:rPr>
                <w:sz w:val="20"/>
                <w:szCs w:val="20"/>
                <w:lang w:eastAsia="ja-JP"/>
              </w:rPr>
            </w:pPr>
            <w:r>
              <w:rPr>
                <w:sz w:val="20"/>
                <w:szCs w:val="20"/>
                <w:lang w:eastAsia="ja-JP"/>
              </w:rPr>
              <w:t>Transport permit</w:t>
            </w:r>
          </w:p>
        </w:tc>
        <w:tc>
          <w:tcPr>
            <w:tcW w:w="7796" w:type="dxa"/>
            <w:shd w:val="clear" w:color="auto" w:fill="D9D9D9" w:themeFill="background1" w:themeFillShade="D9"/>
          </w:tcPr>
          <w:p w14:paraId="02DDE578"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Extracting timber resources can only be done with a free transit guide (or transit note) issued by CONAF following approval of the management plan.</w:t>
            </w:r>
          </w:p>
        </w:tc>
      </w:tr>
      <w:tr w:rsidR="00341141" w14:paraId="710EFDCC" w14:textId="77777777" w:rsidTr="00A51A88">
        <w:tc>
          <w:tcPr>
            <w:tcW w:w="9918" w:type="dxa"/>
            <w:gridSpan w:val="2"/>
            <w:shd w:val="clear" w:color="auto" w:fill="92D050"/>
          </w:tcPr>
          <w:p w14:paraId="6E709B9E" w14:textId="3018882D" w:rsidR="00341141" w:rsidRDefault="00DB0ED8" w:rsidP="00C57B3F">
            <w:pPr>
              <w:spacing w:before="60" w:after="60"/>
              <w:rPr>
                <w:i/>
              </w:rPr>
            </w:pPr>
            <w:r>
              <w:rPr>
                <w:i/>
                <w:lang w:eastAsia="ja-JP"/>
              </w:rPr>
              <w:t>State-owned national parks, forest</w:t>
            </w:r>
            <w:r w:rsidR="00C57B3F">
              <w:rPr>
                <w:i/>
                <w:lang w:eastAsia="ja-JP"/>
              </w:rPr>
              <w:t xml:space="preserve"> reserves and natural monuments</w:t>
            </w:r>
          </w:p>
        </w:tc>
      </w:tr>
      <w:tr w:rsidR="00341141" w14:paraId="64BA3DA6" w14:textId="77777777" w:rsidTr="00A51A88">
        <w:trPr>
          <w:trHeight w:val="1663"/>
        </w:trPr>
        <w:tc>
          <w:tcPr>
            <w:tcW w:w="2122" w:type="dxa"/>
            <w:shd w:val="clear" w:color="auto" w:fill="8DB3E2" w:themeFill="text2" w:themeFillTint="66"/>
          </w:tcPr>
          <w:p w14:paraId="672B6F9F" w14:textId="77777777" w:rsidR="00341141" w:rsidRDefault="00DB0ED8">
            <w:pPr>
              <w:spacing w:before="60" w:after="60"/>
              <w:rPr>
                <w:sz w:val="20"/>
                <w:szCs w:val="20"/>
                <w:lang w:eastAsia="ja-JP"/>
              </w:rPr>
            </w:pPr>
            <w:r>
              <w:rPr>
                <w:sz w:val="20"/>
                <w:szCs w:val="20"/>
                <w:lang w:eastAsia="ja-JP"/>
              </w:rPr>
              <w:t>Management Aim</w:t>
            </w:r>
          </w:p>
        </w:tc>
        <w:tc>
          <w:tcPr>
            <w:tcW w:w="7796" w:type="dxa"/>
            <w:shd w:val="clear" w:color="auto" w:fill="D9D9D9" w:themeFill="background1" w:themeFillShade="D9"/>
          </w:tcPr>
          <w:p w14:paraId="086611FD" w14:textId="3E80FFE1"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 xml:space="preserve">Preservation and conservation. </w:t>
            </w:r>
          </w:p>
          <w:p w14:paraId="4ECCC79D"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 xml:space="preserve">Removal of species declared as natural monuments is forbidden. </w:t>
            </w:r>
          </w:p>
          <w:p w14:paraId="2112AE6D"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On reserves, existing forest management can be done provided it is not detrimental to forest attributes. Some reserves have forest plantations open to public tender so that private companies can commercialise them.</w:t>
            </w:r>
          </w:p>
        </w:tc>
      </w:tr>
      <w:tr w:rsidR="00341141" w14:paraId="01B27634" w14:textId="77777777" w:rsidTr="00A51A88">
        <w:tc>
          <w:tcPr>
            <w:tcW w:w="2122" w:type="dxa"/>
            <w:shd w:val="clear" w:color="auto" w:fill="8DB3E2" w:themeFill="text2" w:themeFillTint="66"/>
          </w:tcPr>
          <w:p w14:paraId="57DBF008" w14:textId="77777777" w:rsidR="00341141" w:rsidRDefault="00DB0ED8">
            <w:pPr>
              <w:spacing w:before="60" w:after="60"/>
              <w:rPr>
                <w:sz w:val="20"/>
                <w:szCs w:val="20"/>
                <w:lang w:eastAsia="ja-JP"/>
              </w:rPr>
            </w:pPr>
            <w:r>
              <w:rPr>
                <w:sz w:val="20"/>
                <w:szCs w:val="20"/>
                <w:lang w:eastAsia="ja-JP"/>
              </w:rPr>
              <w:t>Timber Sourced</w:t>
            </w:r>
          </w:p>
        </w:tc>
        <w:tc>
          <w:tcPr>
            <w:tcW w:w="7796" w:type="dxa"/>
            <w:shd w:val="clear" w:color="auto" w:fill="D9D9D9" w:themeFill="background1" w:themeFillShade="D9"/>
          </w:tcPr>
          <w:p w14:paraId="2B943DDF" w14:textId="73785672"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Protect</w:t>
            </w:r>
            <w:r w:rsidR="00A51A88">
              <w:rPr>
                <w:sz w:val="20"/>
                <w:szCs w:val="20"/>
              </w:rPr>
              <w:t xml:space="preserve">ed forest. These forests </w:t>
            </w:r>
            <w:r>
              <w:rPr>
                <w:sz w:val="20"/>
                <w:szCs w:val="20"/>
              </w:rPr>
              <w:t xml:space="preserve">provide for nature tourism and biodiversity protection. </w:t>
            </w:r>
          </w:p>
          <w:p w14:paraId="71165B1E"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By exception, with the respective management plan, logs or sawnwood can be removed from reserves in small quantities.</w:t>
            </w:r>
          </w:p>
        </w:tc>
      </w:tr>
      <w:tr w:rsidR="00341141" w14:paraId="1904786E" w14:textId="77777777" w:rsidTr="00A51A88">
        <w:tc>
          <w:tcPr>
            <w:tcW w:w="2122" w:type="dxa"/>
            <w:tcBorders>
              <w:bottom w:val="single" w:sz="4" w:space="0" w:color="auto"/>
            </w:tcBorders>
            <w:shd w:val="clear" w:color="auto" w:fill="8DB3E2" w:themeFill="text2" w:themeFillTint="66"/>
          </w:tcPr>
          <w:p w14:paraId="366D565F" w14:textId="77777777" w:rsidR="00341141" w:rsidRDefault="00DB0ED8">
            <w:pPr>
              <w:spacing w:before="60" w:after="60"/>
              <w:rPr>
                <w:sz w:val="20"/>
                <w:szCs w:val="20"/>
                <w:lang w:eastAsia="ja-JP"/>
              </w:rPr>
            </w:pPr>
            <w:r>
              <w:rPr>
                <w:sz w:val="20"/>
                <w:szCs w:val="20"/>
                <w:lang w:eastAsia="ja-JP"/>
              </w:rPr>
              <w:t>Harvesting permit type</w:t>
            </w:r>
          </w:p>
        </w:tc>
        <w:tc>
          <w:tcPr>
            <w:tcW w:w="7796" w:type="dxa"/>
            <w:tcBorders>
              <w:bottom w:val="single" w:sz="4" w:space="0" w:color="auto"/>
            </w:tcBorders>
            <w:shd w:val="clear" w:color="auto" w:fill="D9D9D9" w:themeFill="background1" w:themeFillShade="D9"/>
          </w:tcPr>
          <w:p w14:paraId="1B975E2C"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CONAF-approved native forest management plan</w:t>
            </w:r>
          </w:p>
        </w:tc>
      </w:tr>
      <w:tr w:rsidR="00341141" w14:paraId="0AE2C5C4" w14:textId="77777777" w:rsidTr="00A51A88">
        <w:tc>
          <w:tcPr>
            <w:tcW w:w="2122" w:type="dxa"/>
            <w:shd w:val="clear" w:color="auto" w:fill="8DB3E2" w:themeFill="text2" w:themeFillTint="66"/>
          </w:tcPr>
          <w:p w14:paraId="5B8CE183" w14:textId="77777777" w:rsidR="00341141" w:rsidRDefault="00DB0ED8">
            <w:pPr>
              <w:spacing w:before="60" w:after="60"/>
              <w:rPr>
                <w:sz w:val="20"/>
                <w:szCs w:val="20"/>
                <w:lang w:eastAsia="ja-JP"/>
              </w:rPr>
            </w:pPr>
            <w:r>
              <w:rPr>
                <w:sz w:val="20"/>
                <w:szCs w:val="20"/>
                <w:lang w:eastAsia="ja-JP"/>
              </w:rPr>
              <w:t>Transport permit</w:t>
            </w:r>
          </w:p>
        </w:tc>
        <w:tc>
          <w:tcPr>
            <w:tcW w:w="7796" w:type="dxa"/>
            <w:shd w:val="clear" w:color="auto" w:fill="D9D9D9" w:themeFill="background1" w:themeFillShade="D9"/>
          </w:tcPr>
          <w:p w14:paraId="46B4385B" w14:textId="1B70D849"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Extracting timber resources can only be done with a free transit guide (or transit note) issued by CONAF following approval of the management plan.</w:t>
            </w:r>
          </w:p>
        </w:tc>
      </w:tr>
    </w:tbl>
    <w:p w14:paraId="2B25F58C" w14:textId="77777777" w:rsidR="00341141" w:rsidRDefault="00DB0ED8" w:rsidP="003168DC">
      <w:pPr>
        <w:pStyle w:val="Caption"/>
        <w:rPr>
          <w:lang w:eastAsia="ja-JP"/>
        </w:rPr>
      </w:pPr>
      <w:r>
        <w:rPr>
          <w:lang w:eastAsia="ja-JP"/>
        </w:rPr>
        <w:lastRenderedPageBreak/>
        <w:t>Table 3: Private Plantations</w:t>
      </w:r>
    </w:p>
    <w:tbl>
      <w:tblPr>
        <w:tblStyle w:val="TableGrid"/>
        <w:tblW w:w="9493" w:type="dxa"/>
        <w:tblLayout w:type="fixed"/>
        <w:tblLook w:val="04A0" w:firstRow="1" w:lastRow="0" w:firstColumn="1" w:lastColumn="0" w:noHBand="0" w:noVBand="1"/>
      </w:tblPr>
      <w:tblGrid>
        <w:gridCol w:w="2122"/>
        <w:gridCol w:w="7371"/>
      </w:tblGrid>
      <w:tr w:rsidR="00341141" w14:paraId="2C02B7F0" w14:textId="77777777" w:rsidTr="00AC6C03">
        <w:tc>
          <w:tcPr>
            <w:tcW w:w="9493" w:type="dxa"/>
            <w:gridSpan w:val="2"/>
            <w:shd w:val="clear" w:color="auto" w:fill="00B0F0"/>
          </w:tcPr>
          <w:p w14:paraId="6A49CB22" w14:textId="77777777" w:rsidR="00341141" w:rsidRDefault="00DB0ED8">
            <w:pPr>
              <w:spacing w:before="60" w:after="60"/>
              <w:rPr>
                <w:sz w:val="20"/>
                <w:szCs w:val="20"/>
                <w:lang w:eastAsia="ja-JP"/>
              </w:rPr>
            </w:pPr>
            <w:r>
              <w:rPr>
                <w:b/>
                <w:sz w:val="20"/>
                <w:szCs w:val="20"/>
                <w:lang w:eastAsia="ja-JP"/>
              </w:rPr>
              <w:t>Plantations</w:t>
            </w:r>
          </w:p>
        </w:tc>
      </w:tr>
      <w:tr w:rsidR="00341141" w14:paraId="4E131381" w14:textId="77777777" w:rsidTr="00AC6C03">
        <w:tc>
          <w:tcPr>
            <w:tcW w:w="9493" w:type="dxa"/>
            <w:gridSpan w:val="2"/>
            <w:shd w:val="clear" w:color="auto" w:fill="92D050"/>
          </w:tcPr>
          <w:p w14:paraId="7F572AD4" w14:textId="77777777" w:rsidR="00341141" w:rsidRDefault="00DB0ED8">
            <w:pPr>
              <w:spacing w:before="60" w:after="60"/>
              <w:rPr>
                <w:i/>
                <w:lang w:eastAsia="ja-JP"/>
              </w:rPr>
            </w:pPr>
            <w:r>
              <w:rPr>
                <w:i/>
                <w:lang w:eastAsia="ja-JP"/>
              </w:rPr>
              <w:t>Private exotic plantations (3.1 million hectares)</w:t>
            </w:r>
          </w:p>
        </w:tc>
      </w:tr>
      <w:tr w:rsidR="00341141" w14:paraId="5881EAD6" w14:textId="77777777" w:rsidTr="00AC6C03">
        <w:tc>
          <w:tcPr>
            <w:tcW w:w="2122" w:type="dxa"/>
            <w:shd w:val="clear" w:color="auto" w:fill="8DB3E2" w:themeFill="text2" w:themeFillTint="66"/>
          </w:tcPr>
          <w:p w14:paraId="4CE02BE1" w14:textId="77777777" w:rsidR="00341141" w:rsidRDefault="00DB0ED8">
            <w:pPr>
              <w:spacing w:before="60" w:after="60"/>
              <w:rPr>
                <w:sz w:val="20"/>
                <w:szCs w:val="20"/>
                <w:lang w:eastAsia="ja-JP"/>
              </w:rPr>
            </w:pPr>
            <w:r>
              <w:rPr>
                <w:sz w:val="20"/>
                <w:szCs w:val="20"/>
                <w:lang w:eastAsia="ja-JP"/>
              </w:rPr>
              <w:t xml:space="preserve">Management Aim </w:t>
            </w:r>
          </w:p>
        </w:tc>
        <w:tc>
          <w:tcPr>
            <w:tcW w:w="7371" w:type="dxa"/>
            <w:shd w:val="clear" w:color="auto" w:fill="D9D9D9" w:themeFill="background1" w:themeFillShade="D9"/>
          </w:tcPr>
          <w:p w14:paraId="4F0045C8"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 xml:space="preserve">Productive management and conservation in areas which have been declared protected sites. </w:t>
            </w:r>
          </w:p>
        </w:tc>
      </w:tr>
      <w:tr w:rsidR="00341141" w14:paraId="45D9948B" w14:textId="77777777" w:rsidTr="00AC6C03">
        <w:trPr>
          <w:trHeight w:val="1207"/>
        </w:trPr>
        <w:tc>
          <w:tcPr>
            <w:tcW w:w="2122" w:type="dxa"/>
            <w:shd w:val="clear" w:color="auto" w:fill="8DB3E2" w:themeFill="text2" w:themeFillTint="66"/>
          </w:tcPr>
          <w:p w14:paraId="0B1B0423" w14:textId="77777777" w:rsidR="00341141" w:rsidRDefault="00DB0ED8">
            <w:pPr>
              <w:spacing w:before="60" w:after="60"/>
              <w:rPr>
                <w:sz w:val="20"/>
                <w:szCs w:val="20"/>
                <w:lang w:eastAsia="ja-JP"/>
              </w:rPr>
            </w:pPr>
            <w:r>
              <w:rPr>
                <w:sz w:val="20"/>
                <w:szCs w:val="20"/>
                <w:lang w:eastAsia="ja-JP"/>
              </w:rPr>
              <w:t>Timber Sourced</w:t>
            </w:r>
          </w:p>
        </w:tc>
        <w:tc>
          <w:tcPr>
            <w:tcW w:w="7371" w:type="dxa"/>
            <w:shd w:val="clear" w:color="auto" w:fill="D9D9D9" w:themeFill="background1" w:themeFillShade="D9"/>
          </w:tcPr>
          <w:p w14:paraId="267A77E0"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 xml:space="preserve">Exotic timber plantations. Logs for pulpwood and sawn-wood, mainly pine and eucalyptus. </w:t>
            </w:r>
          </w:p>
          <w:p w14:paraId="435598F4" w14:textId="7777777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Pr>
                <w:sz w:val="20"/>
                <w:szCs w:val="20"/>
              </w:rPr>
              <w:t>Non-timber forest products removal by harvesters who have contracts with logging companies.</w:t>
            </w:r>
          </w:p>
        </w:tc>
      </w:tr>
      <w:tr w:rsidR="00341141" w14:paraId="7B64F77B" w14:textId="77777777" w:rsidTr="00A51A88">
        <w:trPr>
          <w:trHeight w:val="1646"/>
        </w:trPr>
        <w:tc>
          <w:tcPr>
            <w:tcW w:w="2122" w:type="dxa"/>
            <w:tcBorders>
              <w:bottom w:val="single" w:sz="4" w:space="0" w:color="auto"/>
            </w:tcBorders>
            <w:shd w:val="clear" w:color="auto" w:fill="8DB3E2" w:themeFill="text2" w:themeFillTint="66"/>
          </w:tcPr>
          <w:p w14:paraId="47247269" w14:textId="77777777" w:rsidR="00341141" w:rsidRDefault="00DB0ED8">
            <w:pPr>
              <w:spacing w:before="60" w:after="60"/>
              <w:rPr>
                <w:sz w:val="20"/>
                <w:szCs w:val="20"/>
                <w:lang w:eastAsia="ja-JP"/>
              </w:rPr>
            </w:pPr>
            <w:r>
              <w:rPr>
                <w:sz w:val="20"/>
                <w:szCs w:val="20"/>
                <w:lang w:eastAsia="ja-JP"/>
              </w:rPr>
              <w:t>Harvesting permit type</w:t>
            </w:r>
          </w:p>
        </w:tc>
        <w:tc>
          <w:tcPr>
            <w:tcW w:w="7371" w:type="dxa"/>
            <w:tcBorders>
              <w:bottom w:val="single" w:sz="4" w:space="0" w:color="auto"/>
            </w:tcBorders>
            <w:shd w:val="clear" w:color="auto" w:fill="D9D9D9" w:themeFill="background1" w:themeFillShade="D9"/>
          </w:tcPr>
          <w:p w14:paraId="5C45FEC9" w14:textId="77777777" w:rsidR="00341141" w:rsidRDefault="00DB0ED8">
            <w:pPr>
              <w:pStyle w:val="ListParagraph"/>
              <w:numPr>
                <w:ilvl w:val="0"/>
                <w:numId w:val="14"/>
              </w:numPr>
              <w:overflowPunct w:val="0"/>
              <w:autoSpaceDE w:val="0"/>
              <w:autoSpaceDN w:val="0"/>
              <w:adjustRightInd w:val="0"/>
              <w:spacing w:before="60" w:after="60"/>
              <w:ind w:left="459"/>
              <w:textAlignment w:val="baseline"/>
              <w:rPr>
                <w:sz w:val="20"/>
                <w:szCs w:val="20"/>
              </w:rPr>
            </w:pPr>
            <w:r>
              <w:rPr>
                <w:b/>
                <w:sz w:val="20"/>
                <w:szCs w:val="20"/>
                <w:u w:val="single"/>
              </w:rPr>
              <w:t>Land preferentially suitable for forestry:</w:t>
            </w:r>
            <w:r>
              <w:rPr>
                <w:sz w:val="20"/>
                <w:szCs w:val="20"/>
              </w:rPr>
              <w:t xml:space="preserve"> For felling of any plantation there must be a CONAF-approved </w:t>
            </w:r>
            <w:r>
              <w:rPr>
                <w:b/>
                <w:sz w:val="20"/>
                <w:szCs w:val="20"/>
              </w:rPr>
              <w:t>plantation management plan</w:t>
            </w:r>
            <w:r>
              <w:rPr>
                <w:sz w:val="20"/>
                <w:szCs w:val="20"/>
              </w:rPr>
              <w:t>.</w:t>
            </w:r>
          </w:p>
          <w:p w14:paraId="044C3A4B" w14:textId="24ECA171" w:rsidR="00341141" w:rsidRDefault="00AC6C03">
            <w:pPr>
              <w:pStyle w:val="ListParagraph"/>
              <w:numPr>
                <w:ilvl w:val="0"/>
                <w:numId w:val="14"/>
              </w:numPr>
              <w:overflowPunct w:val="0"/>
              <w:autoSpaceDE w:val="0"/>
              <w:autoSpaceDN w:val="0"/>
              <w:adjustRightInd w:val="0"/>
              <w:spacing w:before="60" w:after="60"/>
              <w:ind w:left="459"/>
              <w:textAlignment w:val="baseline"/>
              <w:rPr>
                <w:sz w:val="20"/>
                <w:szCs w:val="20"/>
              </w:rPr>
            </w:pPr>
            <w:r>
              <w:rPr>
                <w:b/>
                <w:sz w:val="20"/>
                <w:szCs w:val="20"/>
                <w:u w:val="single"/>
              </w:rPr>
              <w:t xml:space="preserve">Land not </w:t>
            </w:r>
            <w:r w:rsidR="00DB0ED8">
              <w:rPr>
                <w:b/>
                <w:sz w:val="20"/>
                <w:szCs w:val="20"/>
                <w:u w:val="single"/>
              </w:rPr>
              <w:t>preferentially suitable for forestry</w:t>
            </w:r>
            <w:r w:rsidR="00DB0ED8">
              <w:rPr>
                <w:sz w:val="20"/>
                <w:szCs w:val="20"/>
              </w:rPr>
              <w:t>: A plantation management plan is not available; instead documents such as delivery orders, invoices, or forest management certification should be sought.</w:t>
            </w:r>
          </w:p>
        </w:tc>
      </w:tr>
      <w:tr w:rsidR="00341141" w14:paraId="250AD2E0" w14:textId="77777777" w:rsidTr="00A51A88">
        <w:tc>
          <w:tcPr>
            <w:tcW w:w="2122" w:type="dxa"/>
            <w:shd w:val="clear" w:color="auto" w:fill="8DB3E2" w:themeFill="text2" w:themeFillTint="66"/>
          </w:tcPr>
          <w:p w14:paraId="6B771847" w14:textId="77777777" w:rsidR="00341141" w:rsidRDefault="00DB0ED8">
            <w:pPr>
              <w:spacing w:before="60" w:after="60"/>
              <w:rPr>
                <w:sz w:val="20"/>
                <w:szCs w:val="20"/>
                <w:lang w:eastAsia="ja-JP"/>
              </w:rPr>
            </w:pPr>
            <w:r>
              <w:rPr>
                <w:sz w:val="20"/>
                <w:szCs w:val="20"/>
                <w:lang w:eastAsia="ja-JP"/>
              </w:rPr>
              <w:t>Transport permit</w:t>
            </w:r>
          </w:p>
        </w:tc>
        <w:tc>
          <w:tcPr>
            <w:tcW w:w="7371" w:type="dxa"/>
            <w:shd w:val="clear" w:color="auto" w:fill="D9D9D9" w:themeFill="background1" w:themeFillShade="D9"/>
          </w:tcPr>
          <w:p w14:paraId="52EB3987" w14:textId="23B59A87" w:rsidR="00341141" w:rsidRDefault="00DB0ED8">
            <w:pPr>
              <w:pStyle w:val="ListParagraph"/>
              <w:numPr>
                <w:ilvl w:val="0"/>
                <w:numId w:val="14"/>
              </w:numPr>
              <w:overflowPunct w:val="0"/>
              <w:autoSpaceDE w:val="0"/>
              <w:autoSpaceDN w:val="0"/>
              <w:adjustRightInd w:val="0"/>
              <w:spacing w:before="60" w:after="60"/>
              <w:ind w:left="453" w:hanging="357"/>
              <w:textAlignment w:val="baseline"/>
              <w:rPr>
                <w:sz w:val="20"/>
                <w:szCs w:val="20"/>
              </w:rPr>
            </w:pPr>
            <w:r w:rsidRPr="00AC6C03">
              <w:rPr>
                <w:sz w:val="20"/>
                <w:szCs w:val="20"/>
                <w:lang w:val="en-US"/>
              </w:rPr>
              <w:t xml:space="preserve">Transport permits are not required for timber resources obtained from forest plantations. </w:t>
            </w:r>
          </w:p>
        </w:tc>
      </w:tr>
    </w:tbl>
    <w:p w14:paraId="2B48A542" w14:textId="77777777" w:rsidR="00341141" w:rsidRDefault="00DB0ED8">
      <w:pPr>
        <w:pStyle w:val="Heading4"/>
        <w:spacing w:before="240"/>
      </w:pPr>
      <w:r>
        <w:t>Harvesting restrictions</w:t>
      </w:r>
    </w:p>
    <w:p w14:paraId="1CF88C34" w14:textId="77777777" w:rsidR="00341141" w:rsidRDefault="00DB0ED8">
      <w:r>
        <w:rPr>
          <w:lang w:eastAsia="ja-JP"/>
        </w:rPr>
        <w:t>Timber harvesting in national parks and natural monuments is prohibited. Harvesting is only permitted in national reserves under certain restrictions, and where prior authorisation (through a forest management plan) has been obtained from CONAF. Harvesting on fragile soils, high slopes, glaciers or in close proximity to streams is restricted. The specific requirements are stated in the corresponding laws and regulations; the requirements depend largely on the specific terrain conditions and/or the type of forest to be harvested (i.e. native or plantation).</w:t>
      </w:r>
    </w:p>
    <w:p w14:paraId="0627555A" w14:textId="77777777" w:rsidR="00341141" w:rsidRDefault="00DB0ED8">
      <w:pPr>
        <w:pStyle w:val="Heading4"/>
      </w:pPr>
      <w:r>
        <w:t>Compliance Monitoring and Enforcement</w:t>
      </w:r>
    </w:p>
    <w:p w14:paraId="2E02027D" w14:textId="77777777" w:rsidR="00341141" w:rsidRDefault="00DB0ED8">
      <w:pPr>
        <w:rPr>
          <w:b/>
        </w:rPr>
      </w:pPr>
      <w:r>
        <w:rPr>
          <w:lang w:eastAsia="ja-JP"/>
        </w:rPr>
        <w:t xml:space="preserve">As part of undertaking forest inspections, CONAF undertakes two main activities: detecting illegal logging; and assessing compliance with management plans. </w:t>
      </w:r>
      <w:r>
        <w:rPr>
          <w:u w:val="single"/>
          <w:lang w:eastAsia="ja-JP"/>
        </w:rPr>
        <w:t>Figure 1</w:t>
      </w:r>
      <w:r>
        <w:rPr>
          <w:lang w:eastAsia="ja-JP"/>
        </w:rPr>
        <w:t xml:space="preserve"> below summarises the forest inspection process performed by CONAF in accordance with the main legal instruments that regulate forestry activities.</w:t>
      </w:r>
    </w:p>
    <w:p w14:paraId="1E263002" w14:textId="77777777" w:rsidR="00341141" w:rsidRDefault="00DB0ED8" w:rsidP="003168DC">
      <w:pPr>
        <w:pStyle w:val="Caption"/>
      </w:pPr>
      <w:r>
        <w:lastRenderedPageBreak/>
        <w:t>Figure 1: Chart summarising the forest inspection process performed by CONAF</w:t>
      </w:r>
    </w:p>
    <w:p w14:paraId="3A0C71DA" w14:textId="77777777" w:rsidR="00341141" w:rsidRDefault="00DB0ED8">
      <w:pPr>
        <w:rPr>
          <w:lang w:eastAsia="ja-JP"/>
        </w:rPr>
      </w:pPr>
      <w:r>
        <w:rPr>
          <w:noProof/>
          <w:lang w:eastAsia="en-AU"/>
        </w:rPr>
        <w:drawing>
          <wp:inline distT="0" distB="0" distL="0" distR="0" wp14:anchorId="4D6F8F04" wp14:editId="4BCE70A2">
            <wp:extent cx="5943600" cy="4399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943600" cy="4399280"/>
                    </a:xfrm>
                    <a:prstGeom prst="rect">
                      <a:avLst/>
                    </a:prstGeom>
                  </pic:spPr>
                </pic:pic>
              </a:graphicData>
            </a:graphic>
          </wp:inline>
        </w:drawing>
      </w:r>
    </w:p>
    <w:p w14:paraId="0A7889B9" w14:textId="40C44943" w:rsidR="00341141" w:rsidRDefault="00DB0ED8">
      <w:pPr>
        <w:rPr>
          <w:lang w:eastAsia="ja-JP"/>
        </w:rPr>
      </w:pPr>
      <w:r>
        <w:rPr>
          <w:lang w:eastAsia="ja-JP"/>
        </w:rPr>
        <w:t xml:space="preserve">When harvesting is performed without an approved </w:t>
      </w:r>
      <w:r w:rsidR="00910519">
        <w:rPr>
          <w:lang w:eastAsia="ja-JP"/>
        </w:rPr>
        <w:t xml:space="preserve">forest </w:t>
      </w:r>
      <w:r>
        <w:rPr>
          <w:lang w:eastAsia="ja-JP"/>
        </w:rPr>
        <w:t>management plan (where mandatory), or is conducted in contravention of the specifications included in its authorisation (e.g. different areas</w:t>
      </w:r>
      <w:r w:rsidR="00910519">
        <w:rPr>
          <w:lang w:eastAsia="ja-JP"/>
        </w:rPr>
        <w:t xml:space="preserve"> or</w:t>
      </w:r>
      <w:r>
        <w:rPr>
          <w:lang w:eastAsia="ja-JP"/>
        </w:rPr>
        <w:t xml:space="preserve"> species</w:t>
      </w:r>
      <w:r w:rsidR="00910519">
        <w:rPr>
          <w:lang w:eastAsia="ja-JP"/>
        </w:rPr>
        <w:t xml:space="preserve"> are harvested,</w:t>
      </w:r>
      <w:r>
        <w:rPr>
          <w:lang w:eastAsia="ja-JP"/>
        </w:rPr>
        <w:t xml:space="preserve"> or higher </w:t>
      </w:r>
      <w:r w:rsidR="00910519">
        <w:rPr>
          <w:lang w:eastAsia="ja-JP"/>
        </w:rPr>
        <w:t>volumes are extracted</w:t>
      </w:r>
      <w:r>
        <w:rPr>
          <w:lang w:eastAsia="ja-JP"/>
        </w:rPr>
        <w:t>), this will be deemed an ‘unauthorized cutting’ or illegal logging activity by CONAF.</w:t>
      </w:r>
    </w:p>
    <w:p w14:paraId="4D48234C" w14:textId="1D5080A4" w:rsidR="00341141" w:rsidRDefault="00DB0ED8" w:rsidP="00910519">
      <w:pPr>
        <w:pStyle w:val="ListParagraph"/>
        <w:numPr>
          <w:ilvl w:val="0"/>
          <w:numId w:val="10"/>
        </w:numPr>
        <w:ind w:left="357" w:hanging="357"/>
        <w:contextualSpacing w:val="0"/>
      </w:pPr>
      <w:r w:rsidRPr="00910519">
        <w:rPr>
          <w:b/>
        </w:rPr>
        <w:t>Unauthorized cuttings</w:t>
      </w:r>
      <w:r>
        <w:t xml:space="preserve"> are sanctioned with a penalty fee equivalent to twice the commercial value of product</w:t>
      </w:r>
      <w:r w:rsidR="00910519">
        <w:t xml:space="preserve"> obtained. H</w:t>
      </w:r>
      <w:r>
        <w:t xml:space="preserve">owever this will increase proportionally if such goods have been removed from the field and are no longer traceable. Where a protected species is harvested, a </w:t>
      </w:r>
      <w:r w:rsidR="00910519">
        <w:t>penalty</w:t>
      </w:r>
      <w:r>
        <w:t xml:space="preserve"> is applied for each harvested tree.</w:t>
      </w:r>
    </w:p>
    <w:p w14:paraId="637EF113" w14:textId="77777777" w:rsidR="00341141" w:rsidRDefault="00DB0ED8" w:rsidP="00910519">
      <w:pPr>
        <w:pStyle w:val="ListParagraph"/>
        <w:numPr>
          <w:ilvl w:val="0"/>
          <w:numId w:val="10"/>
        </w:numPr>
        <w:ind w:left="357" w:hanging="357"/>
        <w:contextualSpacing w:val="0"/>
      </w:pPr>
      <w:r>
        <w:t xml:space="preserve">Although CONAF performs inspection and quantification of </w:t>
      </w:r>
      <w:r w:rsidRPr="00910519">
        <w:rPr>
          <w:b/>
        </w:rPr>
        <w:t>illegal logging activities</w:t>
      </w:r>
      <w:r>
        <w:t>, the penalties for such interventions are sanctioned by the Local Police Court.</w:t>
      </w:r>
    </w:p>
    <w:p w14:paraId="382CE583" w14:textId="77777777" w:rsidR="00C57B3F" w:rsidRDefault="00C57B3F" w:rsidP="00C57B3F"/>
    <w:p w14:paraId="17F35746" w14:textId="77777777" w:rsidR="00341141" w:rsidRDefault="00DB0ED8">
      <w:pPr>
        <w:rPr>
          <w:lang w:eastAsia="ja-JP"/>
        </w:rPr>
      </w:pPr>
      <w:r>
        <w:rPr>
          <w:lang w:eastAsia="ja-JP"/>
        </w:rPr>
        <w:lastRenderedPageBreak/>
        <w:t>Under what is known as the ‘</w:t>
      </w:r>
      <w:r>
        <w:rPr>
          <w:i/>
          <w:lang w:eastAsia="ja-JP"/>
        </w:rPr>
        <w:t>Illegal Logging Crime’</w:t>
      </w:r>
      <w:r>
        <w:rPr>
          <w:rStyle w:val="FootnoteReference"/>
          <w:lang w:eastAsia="ja-JP"/>
        </w:rPr>
        <w:footnoteReference w:id="11"/>
      </w:r>
      <w:r>
        <w:rPr>
          <w:i/>
          <w:lang w:eastAsia="ja-JP"/>
        </w:rPr>
        <w:t xml:space="preserve">, </w:t>
      </w:r>
      <w:r>
        <w:rPr>
          <w:lang w:eastAsia="ja-JP"/>
        </w:rPr>
        <w:t>Article 21 sets out penalties for where it is determined that trees and/or shrubs have been cut or destroyed in non-compliance with the specifications set out in Article 5 of the same law. These specifications include:</w:t>
      </w:r>
    </w:p>
    <w:p w14:paraId="6D67C516" w14:textId="1E1319D2" w:rsidR="00341141" w:rsidRDefault="00DB0ED8">
      <w:pPr>
        <w:pStyle w:val="ListParagraph"/>
        <w:numPr>
          <w:ilvl w:val="0"/>
          <w:numId w:val="16"/>
        </w:numPr>
        <w:rPr>
          <w:lang w:eastAsia="ja-JP"/>
        </w:rPr>
      </w:pPr>
      <w:r>
        <w:rPr>
          <w:lang w:eastAsia="ja-JP"/>
        </w:rPr>
        <w:t>Native trees and shrubs located</w:t>
      </w:r>
      <w:r w:rsidR="00910519">
        <w:rPr>
          <w:lang w:eastAsia="ja-JP"/>
        </w:rPr>
        <w:t xml:space="preserve"> less than 400 meters above </w:t>
      </w:r>
      <w:r>
        <w:rPr>
          <w:lang w:eastAsia="ja-JP"/>
        </w:rPr>
        <w:t xml:space="preserve">springs </w:t>
      </w:r>
      <w:r w:rsidR="00910519">
        <w:rPr>
          <w:lang w:eastAsia="ja-JP"/>
        </w:rPr>
        <w:t xml:space="preserve">born in the hills </w:t>
      </w:r>
      <w:r>
        <w:rPr>
          <w:lang w:eastAsia="ja-JP"/>
        </w:rPr>
        <w:t>and those located less</w:t>
      </w:r>
      <w:r w:rsidR="00910519">
        <w:rPr>
          <w:lang w:eastAsia="ja-JP"/>
        </w:rPr>
        <w:t xml:space="preserve"> than 200 meters from its banks</w:t>
      </w:r>
      <w:r>
        <w:rPr>
          <w:lang w:eastAsia="ja-JP"/>
        </w:rPr>
        <w:t xml:space="preserve"> </w:t>
      </w:r>
      <w:r w:rsidR="00910519">
        <w:rPr>
          <w:lang w:eastAsia="ja-JP"/>
        </w:rPr>
        <w:t>(</w:t>
      </w:r>
      <w:r>
        <w:rPr>
          <w:lang w:eastAsia="ja-JP"/>
        </w:rPr>
        <w:t>from the point where the slope originates to that in which the plan ends</w:t>
      </w:r>
      <w:r w:rsidR="00910519">
        <w:rPr>
          <w:lang w:eastAsia="ja-JP"/>
        </w:rPr>
        <w:t>)</w:t>
      </w:r>
      <w:r>
        <w:rPr>
          <w:lang w:eastAsia="ja-JP"/>
        </w:rPr>
        <w:t>.</w:t>
      </w:r>
    </w:p>
    <w:p w14:paraId="4100C0B9" w14:textId="77777777" w:rsidR="00341141" w:rsidRDefault="00DB0ED8">
      <w:pPr>
        <w:pStyle w:val="ListParagraph"/>
        <w:numPr>
          <w:ilvl w:val="0"/>
          <w:numId w:val="16"/>
        </w:numPr>
        <w:rPr>
          <w:lang w:eastAsia="ja-JP"/>
        </w:rPr>
      </w:pPr>
      <w:r>
        <w:rPr>
          <w:lang w:eastAsia="ja-JP"/>
        </w:rPr>
        <w:t>Trees less than 200 meters from springs born on flat non-irrigated land.</w:t>
      </w:r>
    </w:p>
    <w:p w14:paraId="54EE4A0E" w14:textId="77777777" w:rsidR="00341141" w:rsidRDefault="00DB0ED8">
      <w:pPr>
        <w:pStyle w:val="ListParagraph"/>
        <w:numPr>
          <w:ilvl w:val="0"/>
          <w:numId w:val="16"/>
        </w:numPr>
        <w:rPr>
          <w:lang w:eastAsia="ja-JP"/>
        </w:rPr>
      </w:pPr>
      <w:r>
        <w:rPr>
          <w:lang w:eastAsia="ja-JP"/>
        </w:rPr>
        <w:t>Native trees and shrubs on slopes above 45%.</w:t>
      </w:r>
    </w:p>
    <w:p w14:paraId="549BD48D" w14:textId="2A45320F" w:rsidR="00341141" w:rsidRDefault="00DB0ED8">
      <w:pPr>
        <w:rPr>
          <w:lang w:eastAsia="ja-JP"/>
        </w:rPr>
      </w:pPr>
      <w:r>
        <w:rPr>
          <w:lang w:eastAsia="ja-JP"/>
        </w:rPr>
        <w:t xml:space="preserve">With the notable exception being where there are justifiable reasons and prior approval of a </w:t>
      </w:r>
      <w:r w:rsidR="00910519">
        <w:rPr>
          <w:lang w:eastAsia="ja-JP"/>
        </w:rPr>
        <w:t xml:space="preserve">Forest </w:t>
      </w:r>
      <w:r>
        <w:rPr>
          <w:lang w:eastAsia="ja-JP"/>
        </w:rPr>
        <w:t>Management Plan in accordance w</w:t>
      </w:r>
      <w:r w:rsidR="00C57B3F">
        <w:rPr>
          <w:lang w:eastAsia="ja-JP"/>
        </w:rPr>
        <w:t>ith Decree Law No. 701 of 1974.</w:t>
      </w:r>
    </w:p>
    <w:p w14:paraId="7935FA6A" w14:textId="4E3CFE97" w:rsidR="00341141" w:rsidRDefault="00DB0ED8">
      <w:pPr>
        <w:rPr>
          <w:lang w:eastAsia="ja-JP"/>
        </w:rPr>
      </w:pPr>
      <w:r>
        <w:rPr>
          <w:lang w:eastAsia="ja-JP"/>
        </w:rPr>
        <w:t xml:space="preserve">The </w:t>
      </w:r>
      <w:r>
        <w:rPr>
          <w:i/>
          <w:lang w:eastAsia="ja-JP"/>
        </w:rPr>
        <w:t>‘Illegal Logging Crime’</w:t>
      </w:r>
      <w:r>
        <w:rPr>
          <w:lang w:eastAsia="ja-JP"/>
        </w:rPr>
        <w:t xml:space="preserve"> is prosecuted by the Public Prosecutor’s Office, who is in charge of the criminal investigations in Chile, and settled in a jurisdictional penal Court. This crime can be punishable with penalties of between 61 to 540 days of imprisonment and a fine of approximately 430,000 CLP to 860,000 CLP</w:t>
      </w:r>
      <w:r w:rsidR="00910519">
        <w:rPr>
          <w:lang w:eastAsia="ja-JP"/>
        </w:rPr>
        <w:t xml:space="preserve"> (approximately A$900 to A$1800)</w:t>
      </w:r>
      <w:r>
        <w:rPr>
          <w:lang w:eastAsia="ja-JP"/>
        </w:rPr>
        <w:t>.</w:t>
      </w:r>
    </w:p>
    <w:p w14:paraId="69B8BE91" w14:textId="3A86EE71" w:rsidR="00C57B3F" w:rsidRPr="00A670FB" w:rsidRDefault="00C57B3F" w:rsidP="00C57B3F">
      <w:pPr>
        <w:rPr>
          <w:lang w:eastAsia="ja-JP"/>
        </w:rPr>
      </w:pPr>
      <w:r w:rsidRPr="00A670FB">
        <w:rPr>
          <w:lang w:eastAsia="ja-JP"/>
        </w:rPr>
        <w:t xml:space="preserve">In </w:t>
      </w:r>
      <w:r w:rsidR="0092599B" w:rsidRPr="00A670FB">
        <w:rPr>
          <w:lang w:eastAsia="ja-JP"/>
        </w:rPr>
        <w:t xml:space="preserve">those </w:t>
      </w:r>
      <w:r w:rsidRPr="00A670FB">
        <w:rPr>
          <w:lang w:eastAsia="ja-JP"/>
        </w:rPr>
        <w:t xml:space="preserve">situations where illegally harvested timber has been confiscated by the Chilean Government and then later </w:t>
      </w:r>
      <w:r w:rsidR="0092599B" w:rsidRPr="00A670FB">
        <w:rPr>
          <w:lang w:eastAsia="ja-JP"/>
        </w:rPr>
        <w:t xml:space="preserve">publicly </w:t>
      </w:r>
      <w:r w:rsidRPr="00A670FB">
        <w:rPr>
          <w:lang w:eastAsia="ja-JP"/>
        </w:rPr>
        <w:t xml:space="preserve">auctioned, the following documentation can be used to demonstrate the </w:t>
      </w:r>
      <w:r w:rsidR="0092599B" w:rsidRPr="00A670FB">
        <w:rPr>
          <w:lang w:eastAsia="ja-JP"/>
        </w:rPr>
        <w:t>legitimate nature</w:t>
      </w:r>
      <w:r w:rsidRPr="00A670FB">
        <w:rPr>
          <w:lang w:eastAsia="ja-JP"/>
        </w:rPr>
        <w:t xml:space="preserve"> </w:t>
      </w:r>
      <w:r w:rsidR="0092599B" w:rsidRPr="00A670FB">
        <w:rPr>
          <w:lang w:eastAsia="ja-JP"/>
        </w:rPr>
        <w:t>of the timber:</w:t>
      </w:r>
    </w:p>
    <w:p w14:paraId="6F73C18D" w14:textId="6B45CF3C" w:rsidR="00C57B3F" w:rsidRPr="00A670FB" w:rsidRDefault="0092599B" w:rsidP="00C57B3F">
      <w:pPr>
        <w:pStyle w:val="ListParagraph"/>
        <w:numPr>
          <w:ilvl w:val="0"/>
          <w:numId w:val="10"/>
        </w:numPr>
        <w:rPr>
          <w:lang w:eastAsia="ja-JP"/>
        </w:rPr>
      </w:pPr>
      <w:r w:rsidRPr="00A670FB">
        <w:rPr>
          <w:lang w:eastAsia="ja-JP"/>
        </w:rPr>
        <w:t xml:space="preserve">a </w:t>
      </w:r>
      <w:r w:rsidR="00C57B3F" w:rsidRPr="00A670FB">
        <w:rPr>
          <w:lang w:eastAsia="ja-JP"/>
        </w:rPr>
        <w:t xml:space="preserve">Criminal Judge´s ruling, establishing the </w:t>
      </w:r>
      <w:r w:rsidRPr="00A670FB">
        <w:rPr>
          <w:lang w:eastAsia="ja-JP"/>
        </w:rPr>
        <w:t>confiscation sanction; and</w:t>
      </w:r>
    </w:p>
    <w:p w14:paraId="3B9E3A73" w14:textId="7F442B9D" w:rsidR="00C57B3F" w:rsidRPr="00A670FB" w:rsidRDefault="0092599B" w:rsidP="0092599B">
      <w:pPr>
        <w:pStyle w:val="ListParagraph"/>
        <w:numPr>
          <w:ilvl w:val="0"/>
          <w:numId w:val="10"/>
        </w:numPr>
        <w:rPr>
          <w:lang w:eastAsia="ja-JP"/>
        </w:rPr>
      </w:pPr>
      <w:r w:rsidRPr="00A670FB">
        <w:rPr>
          <w:lang w:eastAsia="ja-JP"/>
        </w:rPr>
        <w:t xml:space="preserve">a </w:t>
      </w:r>
      <w:r w:rsidR="00C57B3F" w:rsidRPr="00A670FB">
        <w:rPr>
          <w:lang w:eastAsia="ja-JP"/>
        </w:rPr>
        <w:t>Ruling/resolution, establishing the public auction of said timber.</w:t>
      </w:r>
    </w:p>
    <w:p w14:paraId="26D4A281" w14:textId="77777777" w:rsidR="00341141" w:rsidRDefault="00DB0ED8">
      <w:pPr>
        <w:pStyle w:val="Heading3"/>
      </w:pPr>
      <w:bookmarkStart w:id="13" w:name="_Toc10811635"/>
      <w:r>
        <w:t>Timber transportation and exportation</w:t>
      </w:r>
      <w:bookmarkEnd w:id="13"/>
    </w:p>
    <w:p w14:paraId="466AFB37" w14:textId="77777777" w:rsidR="00341141" w:rsidRDefault="00DB0ED8">
      <w:pPr>
        <w:pStyle w:val="Heading4"/>
      </w:pPr>
      <w:r>
        <w:t>Transporting timber</w:t>
      </w:r>
    </w:p>
    <w:p w14:paraId="11344A58" w14:textId="77777777" w:rsidR="00341141" w:rsidRDefault="00DB0ED8">
      <w:pPr>
        <w:rPr>
          <w:lang w:eastAsia="ja-JP"/>
        </w:rPr>
      </w:pPr>
      <w:r>
        <w:rPr>
          <w:lang w:eastAsia="ja-JP"/>
        </w:rPr>
        <w:t xml:space="preserve">Forest products that are being transported must clearly specify key information including their origin, volume or weight, type and transaction unit. </w:t>
      </w:r>
    </w:p>
    <w:p w14:paraId="1E14D1E3" w14:textId="77777777" w:rsidR="00341141" w:rsidRDefault="00DB0ED8">
      <w:pPr>
        <w:rPr>
          <w:u w:val="single"/>
          <w:lang w:eastAsia="ja-JP"/>
        </w:rPr>
      </w:pPr>
      <w:r>
        <w:rPr>
          <w:u w:val="single"/>
          <w:lang w:eastAsia="ja-JP"/>
        </w:rPr>
        <w:t xml:space="preserve">Native forest </w:t>
      </w:r>
    </w:p>
    <w:p w14:paraId="1FC4A29F" w14:textId="77777777" w:rsidR="00341141" w:rsidRDefault="00DB0ED8">
      <w:r>
        <w:rPr>
          <w:lang w:eastAsia="ja-JP"/>
        </w:rPr>
        <w:t xml:space="preserve">The transportation of ‘primary products’ from native forest (defined below) require a </w:t>
      </w:r>
      <w:r>
        <w:rPr>
          <w:b/>
          <w:lang w:eastAsia="ja-JP"/>
        </w:rPr>
        <w:t>Free Transit Guide</w:t>
      </w:r>
      <w:r>
        <w:rPr>
          <w:lang w:eastAsia="ja-JP"/>
        </w:rPr>
        <w:t xml:space="preserve"> (</w:t>
      </w:r>
      <w:r>
        <w:t xml:space="preserve">guías de libre tránsito - </w:t>
      </w:r>
      <w:r>
        <w:rPr>
          <w:lang w:eastAsia="ja-JP"/>
        </w:rPr>
        <w:t>a transit note) issued by CONAF; this proves the legal origin of the wood.</w:t>
      </w:r>
      <w:r>
        <w:rPr>
          <w:rStyle w:val="FootnoteReference"/>
          <w:lang w:eastAsia="ja-JP"/>
        </w:rPr>
        <w:footnoteReference w:id="12"/>
      </w:r>
      <w:r>
        <w:rPr>
          <w:lang w:eastAsia="ja-JP"/>
        </w:rPr>
        <w:t xml:space="preserve"> Demonstration of the legal origin of primary products is mandatory for their transportation, using Free Transit Guides, in any stage of the utilisation process of native forest primary products (these are defined in </w:t>
      </w:r>
      <w:r>
        <w:rPr>
          <w:u w:val="single"/>
          <w:lang w:eastAsia="ja-JP"/>
        </w:rPr>
        <w:t>Figure 2</w:t>
      </w:r>
      <w:r>
        <w:rPr>
          <w:lang w:eastAsia="ja-JP"/>
        </w:rPr>
        <w:t>). It is illegal if the quantities, species and/or origins are not correctly declared. Free Transit Guides can be required by both CONAF inspectors and National Police officers.</w:t>
      </w:r>
    </w:p>
    <w:p w14:paraId="559F673B" w14:textId="77777777" w:rsidR="00341141" w:rsidRDefault="00DB0ED8">
      <w:r>
        <w:lastRenderedPageBreak/>
        <w:t xml:space="preserve">A transit chart detailing the pathway of native forest products is included at </w:t>
      </w:r>
      <w:r>
        <w:rPr>
          <w:u w:val="single"/>
        </w:rPr>
        <w:t>Annex 1</w:t>
      </w:r>
      <w:r>
        <w:t>.</w:t>
      </w:r>
    </w:p>
    <w:p w14:paraId="37F58A05" w14:textId="77777777" w:rsidR="00341141" w:rsidRDefault="00DB0ED8" w:rsidP="003168DC">
      <w:pPr>
        <w:pStyle w:val="Caption"/>
      </w:pPr>
      <w:r>
        <w:t>Figure 2: Definition of Primary Products from Native Forest</w:t>
      </w:r>
    </w:p>
    <w:p w14:paraId="61BCAEFE" w14:textId="77777777" w:rsidR="00341141" w:rsidRDefault="00DB0ED8">
      <w:pPr>
        <w:rPr>
          <w:sz w:val="20"/>
        </w:rPr>
      </w:pPr>
      <w:r>
        <w:rPr>
          <w:noProof/>
          <w:highlight w:val="yellow"/>
          <w:lang w:eastAsia="en-AU"/>
        </w:rPr>
        <mc:AlternateContent>
          <mc:Choice Requires="wps">
            <w:drawing>
              <wp:inline distT="0" distB="0" distL="0" distR="0" wp14:anchorId="49C3CB12" wp14:editId="775251AB">
                <wp:extent cx="5686425" cy="2421890"/>
                <wp:effectExtent l="19050" t="19050" r="28575" b="1651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2422188"/>
                        </a:xfrm>
                        <a:prstGeom prst="rect">
                          <a:avLst/>
                        </a:prstGeom>
                        <a:solidFill>
                          <a:srgbClr val="E2EFD9"/>
                        </a:solidFill>
                        <a:ln w="28575">
                          <a:solidFill>
                            <a:srgbClr val="000000"/>
                          </a:solidFill>
                          <a:miter lim="800000"/>
                        </a:ln>
                      </wps:spPr>
                      <wps:txbx>
                        <w:txbxContent>
                          <w:p w14:paraId="6FDB05CB" w14:textId="5D707B01" w:rsidR="00167C0B" w:rsidRDefault="00167C0B">
                            <w:pPr>
                              <w:spacing w:after="120"/>
                              <w:rPr>
                                <w:b/>
                                <w:i/>
                                <w:sz w:val="24"/>
                              </w:rPr>
                            </w:pPr>
                            <w:r>
                              <w:rPr>
                                <w:b/>
                                <w:i/>
                                <w:sz w:val="24"/>
                              </w:rPr>
                              <w:t>Primary Products from a Native Forest</w:t>
                            </w:r>
                          </w:p>
                          <w:p w14:paraId="407A372E" w14:textId="395A3F56" w:rsidR="00167C0B" w:rsidRDefault="00167C0B">
                            <w:pPr>
                              <w:rPr>
                                <w:sz w:val="20"/>
                                <w:lang w:eastAsia="ja-JP"/>
                              </w:rPr>
                            </w:pPr>
                            <w:r>
                              <w:rPr>
                                <w:sz w:val="20"/>
                                <w:lang w:eastAsia="ja-JP"/>
                              </w:rPr>
                              <w:t>A Primary Product from a Native Forest is a product directly obtained from existing native forest species growing under a natural condition, or that are the result of a first processing. The following are the main native forest wood products:</w:t>
                            </w:r>
                          </w:p>
                          <w:p w14:paraId="2BA3B20F" w14:textId="77777777" w:rsidR="00167C0B" w:rsidRDefault="00167C0B">
                            <w:pPr>
                              <w:pStyle w:val="ListParagraph"/>
                              <w:numPr>
                                <w:ilvl w:val="0"/>
                                <w:numId w:val="17"/>
                              </w:numPr>
                              <w:rPr>
                                <w:sz w:val="20"/>
                                <w:lang w:eastAsia="ja-JP"/>
                              </w:rPr>
                            </w:pPr>
                            <w:r>
                              <w:rPr>
                                <w:sz w:val="20"/>
                                <w:lang w:eastAsia="ja-JP"/>
                              </w:rPr>
                              <w:t>Pulp logs and sawing logs</w:t>
                            </w:r>
                          </w:p>
                          <w:p w14:paraId="41F2B4D4" w14:textId="77777777" w:rsidR="00167C0B" w:rsidRDefault="00167C0B">
                            <w:pPr>
                              <w:pStyle w:val="ListParagraph"/>
                              <w:numPr>
                                <w:ilvl w:val="0"/>
                                <w:numId w:val="17"/>
                              </w:numPr>
                              <w:rPr>
                                <w:sz w:val="20"/>
                                <w:lang w:eastAsia="ja-JP"/>
                              </w:rPr>
                            </w:pPr>
                            <w:r>
                              <w:rPr>
                                <w:sz w:val="20"/>
                                <w:lang w:eastAsia="ja-JP"/>
                              </w:rPr>
                              <w:t>Wood posts, stakes, guides, and cords</w:t>
                            </w:r>
                          </w:p>
                          <w:p w14:paraId="170FF884" w14:textId="77777777" w:rsidR="00167C0B" w:rsidRDefault="00167C0B">
                            <w:pPr>
                              <w:pStyle w:val="ListParagraph"/>
                              <w:numPr>
                                <w:ilvl w:val="0"/>
                                <w:numId w:val="17"/>
                              </w:numPr>
                              <w:rPr>
                                <w:sz w:val="20"/>
                                <w:lang w:eastAsia="ja-JP"/>
                              </w:rPr>
                            </w:pPr>
                            <w:r>
                              <w:rPr>
                                <w:sz w:val="20"/>
                                <w:lang w:eastAsia="ja-JP"/>
                              </w:rPr>
                              <w:t>Wood chips with or without bark</w:t>
                            </w:r>
                          </w:p>
                          <w:p w14:paraId="5ABDAF13" w14:textId="77777777" w:rsidR="00167C0B" w:rsidRDefault="00167C0B">
                            <w:pPr>
                              <w:pStyle w:val="ListParagraph"/>
                              <w:numPr>
                                <w:ilvl w:val="0"/>
                                <w:numId w:val="17"/>
                              </w:numPr>
                              <w:rPr>
                                <w:sz w:val="20"/>
                                <w:lang w:eastAsia="ja-JP"/>
                              </w:rPr>
                            </w:pPr>
                            <w:r>
                              <w:rPr>
                                <w:sz w:val="20"/>
                                <w:lang w:eastAsia="ja-JP"/>
                              </w:rPr>
                              <w:t>Sawn timber (foundations, boards, planks, covers or linings, semi-cylinders, roof shingles, and floorboards)</w:t>
                            </w:r>
                          </w:p>
                          <w:p w14:paraId="39F264EA" w14:textId="77777777" w:rsidR="00167C0B" w:rsidRDefault="00167C0B">
                            <w:pPr>
                              <w:pStyle w:val="ListParagraph"/>
                              <w:numPr>
                                <w:ilvl w:val="0"/>
                                <w:numId w:val="17"/>
                              </w:numPr>
                              <w:rPr>
                                <w:sz w:val="20"/>
                                <w:lang w:eastAsia="ja-JP"/>
                              </w:rPr>
                            </w:pPr>
                            <w:r>
                              <w:rPr>
                                <w:sz w:val="20"/>
                                <w:lang w:eastAsia="ja-JP"/>
                              </w:rPr>
                              <w:t>Firewood</w:t>
                            </w:r>
                          </w:p>
                          <w:p w14:paraId="231625E6" w14:textId="77777777" w:rsidR="00167C0B" w:rsidRDefault="00167C0B">
                            <w:pPr>
                              <w:pStyle w:val="ListParagraph"/>
                              <w:numPr>
                                <w:ilvl w:val="0"/>
                                <w:numId w:val="17"/>
                              </w:numPr>
                              <w:rPr>
                                <w:sz w:val="20"/>
                                <w:lang w:eastAsia="ja-JP"/>
                              </w:rPr>
                            </w:pPr>
                            <w:r>
                              <w:rPr>
                                <w:sz w:val="20"/>
                                <w:lang w:eastAsia="ja-JP"/>
                              </w:rPr>
                              <w:t>Manufactured or sawn railroad ties.</w:t>
                            </w:r>
                          </w:p>
                          <w:p w14:paraId="23B8A792" w14:textId="77777777" w:rsidR="00167C0B" w:rsidRDefault="00167C0B"/>
                        </w:txbxContent>
                      </wps:txbx>
                      <wps:bodyPr rot="0" vert="horz" wrap="square" lIns="91440" tIns="45720" rIns="91440" bIns="45720" anchor="t" anchorCtr="0" upright="1">
                        <a:noAutofit/>
                      </wps:bodyPr>
                    </wps:wsp>
                  </a:graphicData>
                </a:graphic>
              </wp:inline>
            </w:drawing>
          </mc:Choice>
          <mc:Fallback>
            <w:pict>
              <v:shapetype w14:anchorId="49C3CB12" id="_x0000_t202" coordsize="21600,21600" o:spt="202" path="m,l,21600r21600,l21600,xe">
                <v:stroke joinstyle="miter"/>
                <v:path gradientshapeok="t" o:connecttype="rect"/>
              </v:shapetype>
              <v:shape id="Text Box 2" o:spid="_x0000_s1026" type="#_x0000_t202" style="width:447.75pt;height:1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" fillcolor="#e2efd9" strokeweight="2.25pt">
                <v:textbox>
                  <w:txbxContent>
                    <w:p w14:paraId="6FDB05CB" w14:textId="5D707B01" w:rsidR="00167C0B" w:rsidRDefault="00167C0B">
                      <w:pPr>
                        <w:spacing w:after="120"/>
                        <w:rPr>
                          <w:b/>
                          <w:i/>
                          <w:sz w:val="24"/>
                        </w:rPr>
                      </w:pPr>
                      <w:r>
                        <w:rPr>
                          <w:b/>
                          <w:i/>
                          <w:sz w:val="24"/>
                        </w:rPr>
                        <w:t>Primary Products from a Native Forest</w:t>
                      </w:r>
                    </w:p>
                    <w:p w14:paraId="407A372E" w14:textId="395A3F56" w:rsidR="00167C0B" w:rsidRDefault="00167C0B">
                      <w:pPr>
                        <w:rPr>
                          <w:sz w:val="20"/>
                          <w:lang w:eastAsia="ja-JP"/>
                        </w:rPr>
                      </w:pPr>
                      <w:r>
                        <w:rPr>
                          <w:sz w:val="20"/>
                          <w:lang w:eastAsia="ja-JP"/>
                        </w:rPr>
                        <w:t>A Primary Product from a Native Forest is a product directly obtained from existing native forest species growing under a natural condition, or that are the result of a first processing. The following are the main native forest wood products:</w:t>
                      </w:r>
                    </w:p>
                    <w:p w14:paraId="2BA3B20F" w14:textId="77777777" w:rsidR="00167C0B" w:rsidRDefault="00167C0B">
                      <w:pPr>
                        <w:pStyle w:val="ListParagraph"/>
                        <w:numPr>
                          <w:ilvl w:val="0"/>
                          <w:numId w:val="17"/>
                        </w:numPr>
                        <w:rPr>
                          <w:sz w:val="20"/>
                          <w:lang w:eastAsia="ja-JP"/>
                        </w:rPr>
                      </w:pPr>
                      <w:r>
                        <w:rPr>
                          <w:sz w:val="20"/>
                          <w:lang w:eastAsia="ja-JP"/>
                        </w:rPr>
                        <w:t>Pulp logs and sawing logs</w:t>
                      </w:r>
                    </w:p>
                    <w:p w14:paraId="41F2B4D4" w14:textId="77777777" w:rsidR="00167C0B" w:rsidRDefault="00167C0B">
                      <w:pPr>
                        <w:pStyle w:val="ListParagraph"/>
                        <w:numPr>
                          <w:ilvl w:val="0"/>
                          <w:numId w:val="17"/>
                        </w:numPr>
                        <w:rPr>
                          <w:sz w:val="20"/>
                          <w:lang w:eastAsia="ja-JP"/>
                        </w:rPr>
                      </w:pPr>
                      <w:r>
                        <w:rPr>
                          <w:sz w:val="20"/>
                          <w:lang w:eastAsia="ja-JP"/>
                        </w:rPr>
                        <w:t>Wood posts, stakes, guides, and cords</w:t>
                      </w:r>
                    </w:p>
                    <w:p w14:paraId="170FF884" w14:textId="77777777" w:rsidR="00167C0B" w:rsidRDefault="00167C0B">
                      <w:pPr>
                        <w:pStyle w:val="ListParagraph"/>
                        <w:numPr>
                          <w:ilvl w:val="0"/>
                          <w:numId w:val="17"/>
                        </w:numPr>
                        <w:rPr>
                          <w:sz w:val="20"/>
                          <w:lang w:eastAsia="ja-JP"/>
                        </w:rPr>
                      </w:pPr>
                      <w:r>
                        <w:rPr>
                          <w:sz w:val="20"/>
                          <w:lang w:eastAsia="ja-JP"/>
                        </w:rPr>
                        <w:t>Wood chips with or without bark</w:t>
                      </w:r>
                    </w:p>
                    <w:p w14:paraId="5ABDAF13" w14:textId="77777777" w:rsidR="00167C0B" w:rsidRDefault="00167C0B">
                      <w:pPr>
                        <w:pStyle w:val="ListParagraph"/>
                        <w:numPr>
                          <w:ilvl w:val="0"/>
                          <w:numId w:val="17"/>
                        </w:numPr>
                        <w:rPr>
                          <w:sz w:val="20"/>
                          <w:lang w:eastAsia="ja-JP"/>
                        </w:rPr>
                      </w:pPr>
                      <w:r>
                        <w:rPr>
                          <w:sz w:val="20"/>
                          <w:lang w:eastAsia="ja-JP"/>
                        </w:rPr>
                        <w:t>Sawn timber (foundations, boards, planks, covers or linings, semi-cylinders, roof shingles, and floorboards)</w:t>
                      </w:r>
                    </w:p>
                    <w:p w14:paraId="39F264EA" w14:textId="77777777" w:rsidR="00167C0B" w:rsidRDefault="00167C0B">
                      <w:pPr>
                        <w:pStyle w:val="ListParagraph"/>
                        <w:numPr>
                          <w:ilvl w:val="0"/>
                          <w:numId w:val="17"/>
                        </w:numPr>
                        <w:rPr>
                          <w:sz w:val="20"/>
                          <w:lang w:eastAsia="ja-JP"/>
                        </w:rPr>
                      </w:pPr>
                      <w:r>
                        <w:rPr>
                          <w:sz w:val="20"/>
                          <w:lang w:eastAsia="ja-JP"/>
                        </w:rPr>
                        <w:t>Firewood</w:t>
                      </w:r>
                    </w:p>
                    <w:p w14:paraId="231625E6" w14:textId="77777777" w:rsidR="00167C0B" w:rsidRDefault="00167C0B">
                      <w:pPr>
                        <w:pStyle w:val="ListParagraph"/>
                        <w:numPr>
                          <w:ilvl w:val="0"/>
                          <w:numId w:val="17"/>
                        </w:numPr>
                        <w:rPr>
                          <w:sz w:val="20"/>
                          <w:lang w:eastAsia="ja-JP"/>
                        </w:rPr>
                      </w:pPr>
                      <w:r>
                        <w:rPr>
                          <w:sz w:val="20"/>
                          <w:lang w:eastAsia="ja-JP"/>
                        </w:rPr>
                        <w:t>Manufactured or sawn railroad ties.</w:t>
                      </w:r>
                    </w:p>
                    <w:p w14:paraId="23B8A792" w14:textId="77777777" w:rsidR="00167C0B" w:rsidRDefault="00167C0B"/>
                  </w:txbxContent>
                </v:textbox>
                <w10:anchorlock/>
              </v:shape>
            </w:pict>
          </mc:Fallback>
        </mc:AlternateContent>
      </w:r>
    </w:p>
    <w:p w14:paraId="4E363EE7" w14:textId="77777777" w:rsidR="00E0240F" w:rsidRDefault="00E0240F" w:rsidP="00E0240F">
      <w:pPr>
        <w:rPr>
          <w:u w:val="single"/>
          <w:lang w:eastAsia="ja-JP"/>
        </w:rPr>
      </w:pPr>
      <w:r>
        <w:rPr>
          <w:u w:val="single"/>
          <w:lang w:eastAsia="ja-JP"/>
        </w:rPr>
        <w:t>Plantations</w:t>
      </w:r>
    </w:p>
    <w:p w14:paraId="1217F106" w14:textId="77777777" w:rsidR="00E0240F" w:rsidRDefault="00E0240F" w:rsidP="00E0240F">
      <w:r>
        <w:t>Plantation harvested timber is not accompanied with a Free Transit Guide; these are not issued for products harvested from plantations.</w:t>
      </w:r>
    </w:p>
    <w:p w14:paraId="1E922390" w14:textId="77777777" w:rsidR="00341141" w:rsidRDefault="00DB0ED8">
      <w:pPr>
        <w:pStyle w:val="Heading4"/>
      </w:pPr>
      <w:r>
        <w:t>Exporting timber</w:t>
      </w:r>
    </w:p>
    <w:p w14:paraId="676B0442" w14:textId="23FEB2C9" w:rsidR="00341141" w:rsidRDefault="00DB0ED8">
      <w:pPr>
        <w:rPr>
          <w:lang w:eastAsia="ja-JP"/>
        </w:rPr>
      </w:pPr>
      <w:r>
        <w:rPr>
          <w:lang w:eastAsia="ja-JP"/>
        </w:rPr>
        <w:t>In relation to documents and requirements which are mandatory for export, these are specified in the Compendium of Customs Regulations.</w:t>
      </w:r>
      <w:r>
        <w:rPr>
          <w:rStyle w:val="FootnoteReference"/>
          <w:lang w:eastAsia="ja-JP"/>
        </w:rPr>
        <w:footnoteReference w:id="13"/>
      </w:r>
    </w:p>
    <w:p w14:paraId="0F8F339E" w14:textId="77777777" w:rsidR="00341141" w:rsidRDefault="00DB0ED8">
      <w:pPr>
        <w:rPr>
          <w:lang w:eastAsia="ja-JP"/>
        </w:rPr>
      </w:pPr>
      <w:r>
        <w:rPr>
          <w:lang w:eastAsia="ja-JP"/>
        </w:rPr>
        <w:t>Control of primary products, prior to exportation, is conducted using a three-step risk analysis:</w:t>
      </w:r>
    </w:p>
    <w:p w14:paraId="03BBED7F" w14:textId="77777777" w:rsidR="00341141" w:rsidRDefault="00DB0ED8">
      <w:pPr>
        <w:pStyle w:val="ListParagraph"/>
        <w:numPr>
          <w:ilvl w:val="0"/>
          <w:numId w:val="18"/>
        </w:numPr>
        <w:rPr>
          <w:lang w:eastAsia="ja-JP"/>
        </w:rPr>
      </w:pPr>
      <w:r>
        <w:rPr>
          <w:lang w:eastAsia="ja-JP"/>
        </w:rPr>
        <w:t>Physical inspection</w:t>
      </w:r>
    </w:p>
    <w:p w14:paraId="5B92E459" w14:textId="77777777" w:rsidR="00341141" w:rsidRDefault="00DB0ED8">
      <w:pPr>
        <w:pStyle w:val="ListParagraph"/>
        <w:numPr>
          <w:ilvl w:val="0"/>
          <w:numId w:val="18"/>
        </w:numPr>
        <w:rPr>
          <w:lang w:eastAsia="ja-JP"/>
        </w:rPr>
      </w:pPr>
      <w:r>
        <w:rPr>
          <w:lang w:eastAsia="ja-JP"/>
        </w:rPr>
        <w:t>Documentary inspection</w:t>
      </w:r>
    </w:p>
    <w:p w14:paraId="2D4F018D" w14:textId="77777777" w:rsidR="00341141" w:rsidRDefault="00DB0ED8">
      <w:pPr>
        <w:pStyle w:val="ListParagraph"/>
        <w:numPr>
          <w:ilvl w:val="0"/>
          <w:numId w:val="18"/>
        </w:numPr>
        <w:rPr>
          <w:lang w:eastAsia="ja-JP"/>
        </w:rPr>
      </w:pPr>
      <w:r>
        <w:rPr>
          <w:lang w:eastAsia="ja-JP"/>
        </w:rPr>
        <w:t>Specimen identification, and its incorporation, if applies, in one of the CITES appendices.</w:t>
      </w:r>
    </w:p>
    <w:p w14:paraId="4AFB422F" w14:textId="404B131E" w:rsidR="00341141" w:rsidRDefault="00DB0ED8">
      <w:pPr>
        <w:rPr>
          <w:lang w:eastAsia="ja-JP"/>
        </w:rPr>
      </w:pPr>
      <w:r>
        <w:rPr>
          <w:lang w:eastAsia="ja-JP"/>
        </w:rPr>
        <w:t xml:space="preserve">Customs have adopted as an internal oversight measure the ability to request (when goods are declared to customs) </w:t>
      </w:r>
      <w:r w:rsidR="00E0240F">
        <w:rPr>
          <w:lang w:eastAsia="ja-JP"/>
        </w:rPr>
        <w:t>Free Transit Guides.</w:t>
      </w:r>
      <w:r>
        <w:rPr>
          <w:lang w:eastAsia="ja-JP"/>
        </w:rPr>
        <w:t xml:space="preserve"> This helps them to verify the primary </w:t>
      </w:r>
      <w:r w:rsidR="00E0240F">
        <w:rPr>
          <w:lang w:eastAsia="ja-JP"/>
        </w:rPr>
        <w:t xml:space="preserve">native forest products </w:t>
      </w:r>
      <w:r>
        <w:rPr>
          <w:lang w:eastAsia="ja-JP"/>
        </w:rPr>
        <w:t>come from a logging activity authorised by CONAF in accordance with established laws.</w:t>
      </w:r>
      <w:r>
        <w:rPr>
          <w:rStyle w:val="FootnoteReference"/>
          <w:lang w:eastAsia="ja-JP"/>
        </w:rPr>
        <w:footnoteReference w:id="14"/>
      </w:r>
    </w:p>
    <w:p w14:paraId="2426D540" w14:textId="4C8117BB" w:rsidR="00341141" w:rsidRDefault="00DB0ED8">
      <w:pPr>
        <w:rPr>
          <w:lang w:eastAsia="ja-JP"/>
        </w:rPr>
      </w:pPr>
      <w:r>
        <w:rPr>
          <w:lang w:eastAsia="ja-JP"/>
        </w:rPr>
        <w:lastRenderedPageBreak/>
        <w:t xml:space="preserve">Exporters must </w:t>
      </w:r>
      <w:r w:rsidR="00E0240F">
        <w:rPr>
          <w:lang w:eastAsia="ja-JP"/>
        </w:rPr>
        <w:t xml:space="preserve">also </w:t>
      </w:r>
      <w:r>
        <w:rPr>
          <w:lang w:eastAsia="ja-JP"/>
        </w:rPr>
        <w:t>submit to the Na</w:t>
      </w:r>
      <w:r w:rsidR="00E0240F">
        <w:rPr>
          <w:lang w:eastAsia="ja-JP"/>
        </w:rPr>
        <w:t xml:space="preserve">tional Customs Service, via </w:t>
      </w:r>
      <w:r>
        <w:rPr>
          <w:lang w:eastAsia="ja-JP"/>
        </w:rPr>
        <w:t>a customs broker, the Single Export Document</w:t>
      </w:r>
      <w:r w:rsidR="00E0240F">
        <w:rPr>
          <w:lang w:eastAsia="ja-JP"/>
        </w:rPr>
        <w:t xml:space="preserve"> </w:t>
      </w:r>
      <w:r>
        <w:rPr>
          <w:lang w:eastAsia="ja-JP"/>
        </w:rPr>
        <w:t>- acceptance for processing (</w:t>
      </w:r>
      <w:r>
        <w:rPr>
          <w:i/>
          <w:lang w:eastAsia="ja-JP"/>
        </w:rPr>
        <w:t>Documento Único de Salida – Aceptación a Trámite- DUS–AT</w:t>
      </w:r>
      <w:r>
        <w:rPr>
          <w:lang w:eastAsia="ja-JP"/>
        </w:rPr>
        <w:t>), which must contain all the information required.</w:t>
      </w:r>
      <w:r>
        <w:rPr>
          <w:rStyle w:val="FootnoteReference"/>
          <w:lang w:eastAsia="ja-JP"/>
        </w:rPr>
        <w:footnoteReference w:id="15"/>
      </w:r>
      <w:r>
        <w:rPr>
          <w:lang w:eastAsia="ja-JP"/>
        </w:rPr>
        <w:t xml:space="preserve"> An example of the DUS-AT is included at </w:t>
      </w:r>
      <w:r>
        <w:rPr>
          <w:u w:val="single"/>
          <w:lang w:eastAsia="ja-JP"/>
        </w:rPr>
        <w:t>Annex 2</w:t>
      </w:r>
      <w:r>
        <w:rPr>
          <w:lang w:eastAsia="ja-JP"/>
        </w:rPr>
        <w:t xml:space="preserve">. </w:t>
      </w:r>
    </w:p>
    <w:p w14:paraId="00CFB95E" w14:textId="107F661C" w:rsidR="00341141" w:rsidRDefault="00E0240F">
      <w:r>
        <w:rPr>
          <w:lang w:eastAsia="ja-JP"/>
        </w:rPr>
        <w:t xml:space="preserve">In </w:t>
      </w:r>
      <w:r w:rsidR="00DB0ED8">
        <w:rPr>
          <w:lang w:eastAsia="ja-JP"/>
        </w:rPr>
        <w:t>addition to the DUS–AT, the mandate given to the customs brokers must be submitted, together with the shipping note or instructions, the transport and freight documents, a copy of the commercial invoice issued, as well as the necessary signatures and/or authorizations, which are specified in the Annex 40 of the Compendium. For the case of goods whose ‘Free on Board’ (F.O.B.) value does not exceed US$2,000, they can apply a simplified procedure.</w:t>
      </w:r>
    </w:p>
    <w:p w14:paraId="3C06F8B5" w14:textId="77777777" w:rsidR="00341141" w:rsidRDefault="00DB0ED8">
      <w:pPr>
        <w:pStyle w:val="Heading4"/>
      </w:pPr>
      <w:r>
        <w:t>Export restrictions</w:t>
      </w:r>
    </w:p>
    <w:p w14:paraId="727FFC03" w14:textId="77777777" w:rsidR="00341141" w:rsidRDefault="00DB0ED8">
      <w:pPr>
        <w:rPr>
          <w:lang w:eastAsia="ja-JP"/>
        </w:rPr>
      </w:pPr>
      <w:r>
        <w:rPr>
          <w:lang w:eastAsia="ja-JP"/>
        </w:rPr>
        <w:t>In conformity with domestic legislation or international agreements, Chile prohibits or controls the export of certain products. In addition to CITES listed species (described in greater detail in Section 4.3 of this guideline), other prohibited exports include anthropological, archaeological, ethnic, historical and paleontological items and articles.</w:t>
      </w:r>
    </w:p>
    <w:p w14:paraId="32F3F69A" w14:textId="77777777" w:rsidR="00341141" w:rsidRDefault="00DB0ED8">
      <w:pPr>
        <w:rPr>
          <w:lang w:eastAsia="ja-JP"/>
        </w:rPr>
      </w:pPr>
      <w:r>
        <w:rPr>
          <w:lang w:eastAsia="ja-JP"/>
        </w:rPr>
        <w:t>Documents and requirements, which are mandatory for export operations, are specified in Customs regulation corresponding to the Compendium of Customs Regulations.</w:t>
      </w:r>
      <w:r>
        <w:rPr>
          <w:rStyle w:val="FootnoteReference"/>
          <w:lang w:eastAsia="ja-JP"/>
        </w:rPr>
        <w:footnoteReference w:id="16"/>
      </w:r>
    </w:p>
    <w:p w14:paraId="544840FE" w14:textId="77777777" w:rsidR="00341141" w:rsidRDefault="00341141">
      <w:pPr>
        <w:rPr>
          <w:lang w:eastAsia="ja-JP"/>
        </w:rPr>
      </w:pPr>
    </w:p>
    <w:p w14:paraId="72F24250" w14:textId="77777777" w:rsidR="00341141" w:rsidRDefault="00DB0ED8">
      <w:pPr>
        <w:spacing w:before="0"/>
        <w:rPr>
          <w:rFonts w:eastAsia="Times New Roman"/>
          <w:b/>
          <w:bCs/>
          <w:color w:val="000000"/>
          <w:sz w:val="36"/>
          <w:szCs w:val="28"/>
          <w:lang w:eastAsia="ja-JP"/>
        </w:rPr>
      </w:pPr>
      <w:r>
        <w:br w:type="page"/>
      </w:r>
    </w:p>
    <w:p w14:paraId="52E6E26F" w14:textId="77777777" w:rsidR="00341141" w:rsidRDefault="00DB0ED8">
      <w:pPr>
        <w:pStyle w:val="Heading2"/>
      </w:pPr>
      <w:bookmarkStart w:id="14" w:name="_Toc10811636"/>
      <w:r>
        <w:lastRenderedPageBreak/>
        <w:t>Identifying legal product from Chile</w:t>
      </w:r>
      <w:bookmarkEnd w:id="14"/>
    </w:p>
    <w:p w14:paraId="7E89A166" w14:textId="77777777" w:rsidR="00341141" w:rsidRDefault="00DB0ED8">
      <w:pPr>
        <w:rPr>
          <w:lang w:eastAsia="ja-JP"/>
        </w:rPr>
      </w:pPr>
      <w:r>
        <w:rPr>
          <w:lang w:eastAsia="ja-JP"/>
        </w:rPr>
        <w:t>Australian importers of wood and wood products that are made from timber harvested in Chile can provide documentary evidence to inform their risk assessment.</w:t>
      </w:r>
    </w:p>
    <w:p w14:paraId="0101C789" w14:textId="77777777" w:rsidR="00341141" w:rsidRDefault="00DB0ED8">
      <w:pPr>
        <w:pStyle w:val="Heading4"/>
      </w:pPr>
      <w:r>
        <w:t>Evidence of timber legality</w:t>
      </w:r>
    </w:p>
    <w:p w14:paraId="3C508173" w14:textId="6B10D657" w:rsidR="00341141" w:rsidRDefault="00DB0ED8">
      <w:pPr>
        <w:rPr>
          <w:lang w:eastAsia="ja-JP"/>
        </w:rPr>
      </w:pPr>
      <w:r>
        <w:rPr>
          <w:lang w:eastAsia="ja-JP"/>
        </w:rPr>
        <w:t>The main documents that are availa</w:t>
      </w:r>
      <w:r w:rsidR="00914EAE">
        <w:rPr>
          <w:lang w:eastAsia="ja-JP"/>
        </w:rPr>
        <w:t>ble and should be requested by</w:t>
      </w:r>
      <w:r>
        <w:rPr>
          <w:lang w:eastAsia="ja-JP"/>
        </w:rPr>
        <w:t xml:space="preserve"> importers include:</w:t>
      </w:r>
    </w:p>
    <w:p w14:paraId="30BF2093" w14:textId="348FAFA1" w:rsidR="003168DC" w:rsidRDefault="003168DC" w:rsidP="003168DC">
      <w:pPr>
        <w:pStyle w:val="Caption"/>
        <w:rPr>
          <w:lang w:eastAsia="ja-JP"/>
        </w:rPr>
      </w:pPr>
      <w:r>
        <w:rPr>
          <w:lang w:eastAsia="ja-JP"/>
        </w:rPr>
        <w:t>Table 4: Documentary evidence of timber legality</w:t>
      </w:r>
    </w:p>
    <w:tbl>
      <w:tblPr>
        <w:tblStyle w:val="TableGrid"/>
        <w:tblW w:w="9072" w:type="dxa"/>
        <w:tblInd w:w="-5" w:type="dxa"/>
        <w:tblLayout w:type="fixed"/>
        <w:tblLook w:val="04A0" w:firstRow="1" w:lastRow="0" w:firstColumn="1" w:lastColumn="0" w:noHBand="0" w:noVBand="1"/>
      </w:tblPr>
      <w:tblGrid>
        <w:gridCol w:w="1224"/>
        <w:gridCol w:w="2887"/>
        <w:gridCol w:w="4961"/>
      </w:tblGrid>
      <w:tr w:rsidR="00341141" w14:paraId="535A729A" w14:textId="77777777">
        <w:tc>
          <w:tcPr>
            <w:tcW w:w="1224" w:type="dxa"/>
            <w:shd w:val="clear" w:color="auto" w:fill="9BBB59" w:themeFill="accent3"/>
            <w:vAlign w:val="center"/>
          </w:tcPr>
          <w:p w14:paraId="7782F8D5" w14:textId="77777777" w:rsidR="00341141" w:rsidRDefault="00DB0ED8">
            <w:pPr>
              <w:spacing w:before="60" w:after="60"/>
              <w:rPr>
                <w:b/>
                <w:lang w:eastAsia="ja-JP"/>
              </w:rPr>
            </w:pPr>
            <w:r>
              <w:rPr>
                <w:b/>
                <w:lang w:eastAsia="ja-JP"/>
              </w:rPr>
              <w:t>Forest type</w:t>
            </w:r>
          </w:p>
        </w:tc>
        <w:tc>
          <w:tcPr>
            <w:tcW w:w="2887" w:type="dxa"/>
            <w:shd w:val="clear" w:color="auto" w:fill="9BBB59" w:themeFill="accent3"/>
            <w:vAlign w:val="center"/>
          </w:tcPr>
          <w:p w14:paraId="769109CC" w14:textId="77777777" w:rsidR="00341141" w:rsidRDefault="00DB0ED8">
            <w:pPr>
              <w:spacing w:before="60" w:after="60"/>
              <w:rPr>
                <w:b/>
                <w:lang w:eastAsia="ja-JP"/>
              </w:rPr>
            </w:pPr>
            <w:r>
              <w:rPr>
                <w:b/>
                <w:lang w:eastAsia="ja-JP"/>
              </w:rPr>
              <w:t>Description</w:t>
            </w:r>
          </w:p>
        </w:tc>
        <w:tc>
          <w:tcPr>
            <w:tcW w:w="4961" w:type="dxa"/>
            <w:shd w:val="clear" w:color="auto" w:fill="9BBB59" w:themeFill="accent3"/>
            <w:vAlign w:val="center"/>
          </w:tcPr>
          <w:p w14:paraId="3531D238" w14:textId="77777777" w:rsidR="00341141" w:rsidRDefault="00DB0ED8">
            <w:pPr>
              <w:spacing w:before="60" w:after="60"/>
              <w:rPr>
                <w:b/>
                <w:lang w:eastAsia="ja-JP"/>
              </w:rPr>
            </w:pPr>
            <w:r>
              <w:rPr>
                <w:b/>
                <w:lang w:eastAsia="ja-JP"/>
              </w:rPr>
              <w:t>Documentary requirements</w:t>
            </w:r>
          </w:p>
        </w:tc>
      </w:tr>
      <w:tr w:rsidR="00341141" w14:paraId="45CE8A13" w14:textId="77777777" w:rsidTr="000D516A">
        <w:trPr>
          <w:trHeight w:val="3382"/>
        </w:trPr>
        <w:tc>
          <w:tcPr>
            <w:tcW w:w="1224" w:type="dxa"/>
            <w:shd w:val="clear" w:color="auto" w:fill="8DB3E2" w:themeFill="text2" w:themeFillTint="66"/>
          </w:tcPr>
          <w:p w14:paraId="4FEB69FE" w14:textId="77777777" w:rsidR="00341141" w:rsidRDefault="00DB0ED8" w:rsidP="000D516A">
            <w:pPr>
              <w:spacing w:after="0"/>
              <w:rPr>
                <w:lang w:eastAsia="ja-JP"/>
              </w:rPr>
            </w:pPr>
            <w:r>
              <w:rPr>
                <w:lang w:eastAsia="ja-JP"/>
              </w:rPr>
              <w:t>Native forest</w:t>
            </w:r>
          </w:p>
        </w:tc>
        <w:tc>
          <w:tcPr>
            <w:tcW w:w="2887" w:type="dxa"/>
            <w:shd w:val="clear" w:color="auto" w:fill="D9D9D9" w:themeFill="background1" w:themeFillShade="D9"/>
          </w:tcPr>
          <w:p w14:paraId="154E0C45" w14:textId="77777777" w:rsidR="00341141" w:rsidRDefault="00DB0ED8" w:rsidP="000D516A">
            <w:pPr>
              <w:spacing w:after="0"/>
              <w:rPr>
                <w:lang w:eastAsia="ja-JP"/>
              </w:rPr>
            </w:pPr>
            <w:r>
              <w:rPr>
                <w:lang w:eastAsia="ja-JP"/>
              </w:rPr>
              <w:t>Timber from native forests</w:t>
            </w:r>
          </w:p>
        </w:tc>
        <w:tc>
          <w:tcPr>
            <w:tcW w:w="4961" w:type="dxa"/>
            <w:shd w:val="clear" w:color="auto" w:fill="D9D9D9" w:themeFill="background1" w:themeFillShade="D9"/>
          </w:tcPr>
          <w:p w14:paraId="6E39621E" w14:textId="77777777" w:rsidR="00341141" w:rsidRDefault="00DB0ED8" w:rsidP="000D516A">
            <w:pPr>
              <w:pStyle w:val="ListParagraph"/>
              <w:numPr>
                <w:ilvl w:val="0"/>
                <w:numId w:val="19"/>
              </w:numPr>
              <w:spacing w:after="0"/>
              <w:ind w:left="175" w:hanging="175"/>
              <w:contextualSpacing w:val="0"/>
              <w:rPr>
                <w:lang w:eastAsia="ja-JP"/>
              </w:rPr>
            </w:pPr>
            <w:r>
              <w:rPr>
                <w:lang w:eastAsia="ja-JP"/>
              </w:rPr>
              <w:t>Native forest management plan (approved by CONAF)</w:t>
            </w:r>
          </w:p>
          <w:p w14:paraId="28097955" w14:textId="77777777" w:rsidR="00341141" w:rsidRDefault="00DB0ED8" w:rsidP="000D516A">
            <w:pPr>
              <w:pStyle w:val="ListParagraph"/>
              <w:numPr>
                <w:ilvl w:val="0"/>
                <w:numId w:val="19"/>
              </w:numPr>
              <w:spacing w:after="0"/>
              <w:ind w:left="176" w:hanging="176"/>
              <w:contextualSpacing w:val="0"/>
              <w:rPr>
                <w:lang w:eastAsia="ja-JP"/>
              </w:rPr>
            </w:pPr>
            <w:r>
              <w:rPr>
                <w:lang w:eastAsia="ja-JP"/>
              </w:rPr>
              <w:t xml:space="preserve">Free Transit Guide - for primary native forest products. This document certifies the product was harvested legally. </w:t>
            </w:r>
            <w:r w:rsidR="000D516A">
              <w:rPr>
                <w:lang w:eastAsia="ja-JP"/>
              </w:rPr>
              <w:t>An e</w:t>
            </w:r>
            <w:r>
              <w:rPr>
                <w:lang w:eastAsia="ja-JP"/>
              </w:rPr>
              <w:t xml:space="preserve">xample </w:t>
            </w:r>
            <w:r w:rsidR="000D516A">
              <w:rPr>
                <w:lang w:eastAsia="ja-JP"/>
              </w:rPr>
              <w:t xml:space="preserve">is </w:t>
            </w:r>
            <w:r>
              <w:rPr>
                <w:lang w:eastAsia="ja-JP"/>
              </w:rPr>
              <w:t xml:space="preserve">at </w:t>
            </w:r>
            <w:r>
              <w:rPr>
                <w:u w:val="single"/>
                <w:lang w:eastAsia="ja-JP"/>
              </w:rPr>
              <w:t>Annex 3</w:t>
            </w:r>
            <w:r>
              <w:rPr>
                <w:lang w:eastAsia="ja-JP"/>
              </w:rPr>
              <w:t>.</w:t>
            </w:r>
          </w:p>
          <w:p w14:paraId="6102DC69" w14:textId="0E1EDCBC" w:rsidR="006C7E2F" w:rsidRDefault="006C7E2F" w:rsidP="00AA62F8">
            <w:pPr>
              <w:pStyle w:val="ListParagraph"/>
              <w:numPr>
                <w:ilvl w:val="0"/>
                <w:numId w:val="19"/>
              </w:numPr>
              <w:spacing w:after="0"/>
              <w:ind w:left="176" w:hanging="176"/>
              <w:contextualSpacing w:val="0"/>
              <w:rPr>
                <w:bCs/>
                <w:color w:val="000000"/>
                <w:lang w:eastAsia="ja-JP"/>
              </w:rPr>
            </w:pPr>
            <w:r>
              <w:rPr>
                <w:lang w:eastAsia="ja-JP"/>
              </w:rPr>
              <w:t xml:space="preserve">Environmental Impact Assessment/Statement (approved by the Environmental Assessment Service) </w:t>
            </w:r>
            <w:r w:rsidR="00791CF6" w:rsidRPr="00A670FB">
              <w:rPr>
                <w:b/>
                <w:u w:val="single"/>
                <w:lang w:eastAsia="ja-JP"/>
              </w:rPr>
              <w:t>only</w:t>
            </w:r>
            <w:r w:rsidR="00791CF6">
              <w:rPr>
                <w:lang w:eastAsia="ja-JP"/>
              </w:rPr>
              <w:t xml:space="preserve"> </w:t>
            </w:r>
            <w:r>
              <w:rPr>
                <w:lang w:eastAsia="ja-JP"/>
              </w:rPr>
              <w:t>if required under</w:t>
            </w:r>
            <w:r w:rsidR="00AA62F8">
              <w:rPr>
                <w:lang w:eastAsia="ja-JP"/>
              </w:rPr>
              <w:t xml:space="preserve"> Law</w:t>
            </w:r>
            <w:r>
              <w:rPr>
                <w:lang w:eastAsia="ja-JP"/>
              </w:rPr>
              <w:t xml:space="preserve"> 19.300 and its associated regulations</w:t>
            </w:r>
            <w:r w:rsidR="00306C28" w:rsidRPr="00306C28">
              <w:rPr>
                <w:lang w:eastAsia="ja-JP"/>
              </w:rPr>
              <w:t>.</w:t>
            </w:r>
          </w:p>
        </w:tc>
      </w:tr>
      <w:tr w:rsidR="00341141" w14:paraId="0B478A8A" w14:textId="77777777" w:rsidTr="000D516A">
        <w:trPr>
          <w:trHeight w:val="2618"/>
        </w:trPr>
        <w:tc>
          <w:tcPr>
            <w:tcW w:w="1224" w:type="dxa"/>
            <w:shd w:val="clear" w:color="auto" w:fill="8DB3E2" w:themeFill="text2" w:themeFillTint="66"/>
          </w:tcPr>
          <w:p w14:paraId="1F93E441" w14:textId="77777777" w:rsidR="00341141" w:rsidRDefault="00DB0ED8" w:rsidP="000D516A">
            <w:pPr>
              <w:spacing w:after="0"/>
              <w:rPr>
                <w:lang w:eastAsia="ja-JP"/>
              </w:rPr>
            </w:pPr>
            <w:r>
              <w:rPr>
                <w:lang w:eastAsia="ja-JP"/>
              </w:rPr>
              <w:t>Exotic plantations</w:t>
            </w:r>
          </w:p>
        </w:tc>
        <w:tc>
          <w:tcPr>
            <w:tcW w:w="2887" w:type="dxa"/>
            <w:shd w:val="clear" w:color="auto" w:fill="D9D9D9" w:themeFill="background1" w:themeFillShade="D9"/>
          </w:tcPr>
          <w:p w14:paraId="07A853EE" w14:textId="77777777" w:rsidR="00341141" w:rsidRDefault="00DB0ED8" w:rsidP="000D516A">
            <w:pPr>
              <w:spacing w:after="0"/>
              <w:rPr>
                <w:lang w:eastAsia="ja-JP"/>
              </w:rPr>
            </w:pPr>
            <w:r>
              <w:rPr>
                <w:lang w:eastAsia="ja-JP"/>
              </w:rPr>
              <w:t>Timber from plantations of exotic species (including pine and eucalyptus)</w:t>
            </w:r>
          </w:p>
          <w:p w14:paraId="5FA87B6B" w14:textId="77777777" w:rsidR="00341141" w:rsidRDefault="00DB0ED8" w:rsidP="000D516A">
            <w:pPr>
              <w:spacing w:after="0"/>
              <w:rPr>
                <w:lang w:eastAsia="ja-JP"/>
              </w:rPr>
            </w:pPr>
            <w:r>
              <w:rPr>
                <w:lang w:eastAsia="ja-JP"/>
              </w:rPr>
              <w:t>Non-timber forest products</w:t>
            </w:r>
          </w:p>
        </w:tc>
        <w:tc>
          <w:tcPr>
            <w:tcW w:w="4961" w:type="dxa"/>
            <w:shd w:val="clear" w:color="auto" w:fill="D9D9D9" w:themeFill="background1" w:themeFillShade="D9"/>
          </w:tcPr>
          <w:p w14:paraId="5D93AD48" w14:textId="77777777" w:rsidR="00341141" w:rsidRDefault="00DB0ED8" w:rsidP="000D516A">
            <w:pPr>
              <w:pStyle w:val="ListParagraph"/>
              <w:numPr>
                <w:ilvl w:val="0"/>
                <w:numId w:val="19"/>
              </w:numPr>
              <w:spacing w:after="0"/>
              <w:ind w:left="175" w:hanging="175"/>
              <w:contextualSpacing w:val="0"/>
              <w:rPr>
                <w:lang w:eastAsia="ja-JP"/>
              </w:rPr>
            </w:pPr>
            <w:r>
              <w:rPr>
                <w:lang w:eastAsia="ja-JP"/>
              </w:rPr>
              <w:t>Plantation management plan (approved by CONAF) – except where the plantation is on land not preferentially suitable for forestry.</w:t>
            </w:r>
          </w:p>
          <w:p w14:paraId="056B9533" w14:textId="563CA6C0" w:rsidR="00341141" w:rsidRDefault="00DB0ED8" w:rsidP="000D516A">
            <w:pPr>
              <w:pStyle w:val="ListParagraph"/>
              <w:numPr>
                <w:ilvl w:val="0"/>
                <w:numId w:val="19"/>
              </w:numPr>
              <w:spacing w:after="0"/>
              <w:ind w:left="175" w:hanging="175"/>
              <w:contextualSpacing w:val="0"/>
              <w:rPr>
                <w:lang w:eastAsia="ja-JP"/>
              </w:rPr>
            </w:pPr>
            <w:r>
              <w:rPr>
                <w:lang w:eastAsia="ja-JP"/>
              </w:rPr>
              <w:t xml:space="preserve">Delivery orders, invoices or Forest Certification documents (e.g., </w:t>
            </w:r>
            <w:r w:rsidR="0060151B">
              <w:rPr>
                <w:lang w:eastAsia="ja-JP"/>
              </w:rPr>
              <w:t xml:space="preserve">CERTFOR-PEFC, </w:t>
            </w:r>
            <w:r>
              <w:rPr>
                <w:lang w:eastAsia="ja-JP"/>
              </w:rPr>
              <w:t xml:space="preserve">FSC), while not demonstrating legality, can </w:t>
            </w:r>
            <w:r w:rsidR="000D516A">
              <w:rPr>
                <w:lang w:eastAsia="ja-JP"/>
              </w:rPr>
              <w:t xml:space="preserve">also </w:t>
            </w:r>
            <w:r>
              <w:rPr>
                <w:lang w:eastAsia="ja-JP"/>
              </w:rPr>
              <w:t>be used to establish and assess the supply chain.</w:t>
            </w:r>
          </w:p>
        </w:tc>
      </w:tr>
    </w:tbl>
    <w:p w14:paraId="529A8EC6" w14:textId="77777777" w:rsidR="00341141" w:rsidRDefault="00DB0ED8">
      <w:pPr>
        <w:pStyle w:val="Heading3"/>
        <w:rPr>
          <w:lang w:eastAsia="ja-JP"/>
        </w:rPr>
      </w:pPr>
      <w:bookmarkStart w:id="15" w:name="_Toc10811637"/>
      <w:r>
        <w:rPr>
          <w:lang w:eastAsia="ja-JP"/>
        </w:rPr>
        <w:t>Timber Legality Frameworks</w:t>
      </w:r>
      <w:bookmarkEnd w:id="15"/>
    </w:p>
    <w:p w14:paraId="0E641614" w14:textId="78ED0770" w:rsidR="00341141" w:rsidRDefault="00DB0ED8">
      <w:pPr>
        <w:rPr>
          <w:lang w:eastAsia="ja-JP"/>
        </w:rPr>
      </w:pPr>
      <w:r>
        <w:rPr>
          <w:lang w:eastAsia="ja-JP"/>
        </w:rPr>
        <w:t xml:space="preserve">Chile has two </w:t>
      </w:r>
      <w:r w:rsidR="000D516A">
        <w:rPr>
          <w:lang w:eastAsia="ja-JP"/>
        </w:rPr>
        <w:t>key timber legality frameworks (</w:t>
      </w:r>
      <w:r>
        <w:rPr>
          <w:lang w:eastAsia="ja-JP"/>
        </w:rPr>
        <w:t>also kno</w:t>
      </w:r>
      <w:r w:rsidR="000D516A">
        <w:rPr>
          <w:lang w:eastAsia="ja-JP"/>
        </w:rPr>
        <w:t>wn as third party certification)</w:t>
      </w:r>
      <w:r>
        <w:rPr>
          <w:lang w:eastAsia="ja-JP"/>
        </w:rPr>
        <w:t xml:space="preserve"> that operate</w:t>
      </w:r>
      <w:r w:rsidR="000D516A">
        <w:rPr>
          <w:lang w:eastAsia="ja-JP"/>
        </w:rPr>
        <w:t xml:space="preserve"> within the country</w:t>
      </w:r>
      <w:r>
        <w:rPr>
          <w:lang w:eastAsia="ja-JP"/>
        </w:rPr>
        <w:t xml:space="preserve">: </w:t>
      </w:r>
    </w:p>
    <w:p w14:paraId="30AFB011" w14:textId="7CC38EA1" w:rsidR="00341141" w:rsidRDefault="00A05119">
      <w:pPr>
        <w:pStyle w:val="ListParagraph"/>
        <w:numPr>
          <w:ilvl w:val="0"/>
          <w:numId w:val="20"/>
        </w:numPr>
        <w:rPr>
          <w:lang w:eastAsia="ja-JP"/>
        </w:rPr>
      </w:pPr>
      <w:hyperlink r:id="rId16" w:history="1">
        <w:r w:rsidR="00DB0ED8">
          <w:rPr>
            <w:rStyle w:val="Hyperlink"/>
            <w:lang w:eastAsia="ja-JP"/>
          </w:rPr>
          <w:t>CERTFOR</w:t>
        </w:r>
      </w:hyperlink>
      <w:r w:rsidR="00DB0ED8">
        <w:rPr>
          <w:lang w:eastAsia="ja-JP"/>
        </w:rPr>
        <w:t xml:space="preserve">: </w:t>
      </w:r>
      <w:r w:rsidR="0060151B">
        <w:rPr>
          <w:lang w:eastAsia="ja-JP"/>
        </w:rPr>
        <w:t xml:space="preserve">the Chilean </w:t>
      </w:r>
      <w:r w:rsidR="00DB0ED8">
        <w:rPr>
          <w:i/>
          <w:lang w:eastAsia="ja-JP"/>
        </w:rPr>
        <w:t>Programme for the Endorsement of Forest Certification</w:t>
      </w:r>
      <w:r w:rsidR="000D516A">
        <w:rPr>
          <w:lang w:eastAsia="ja-JP"/>
        </w:rPr>
        <w:t xml:space="preserve"> (PEFC) endorsed scheme. </w:t>
      </w:r>
      <w:r w:rsidR="00C0277D">
        <w:rPr>
          <w:lang w:eastAsia="ja-JP"/>
        </w:rPr>
        <w:t>There are 1.908.712 ha CERTFOR-PEFC certified in Chile (69% are forest plantations)</w:t>
      </w:r>
      <w:r w:rsidR="000D516A">
        <w:rPr>
          <w:lang w:eastAsia="ja-JP"/>
        </w:rPr>
        <w:t>.</w:t>
      </w:r>
    </w:p>
    <w:p w14:paraId="64D330C8" w14:textId="77777777" w:rsidR="000D7D1E" w:rsidRDefault="00A05119">
      <w:pPr>
        <w:pStyle w:val="ListParagraph"/>
        <w:numPr>
          <w:ilvl w:val="0"/>
          <w:numId w:val="20"/>
        </w:numPr>
        <w:rPr>
          <w:lang w:eastAsia="ja-JP"/>
        </w:rPr>
      </w:pPr>
      <w:hyperlink r:id="rId17" w:history="1">
        <w:r w:rsidR="00DB0ED8">
          <w:rPr>
            <w:rStyle w:val="Hyperlink"/>
            <w:i/>
            <w:lang w:eastAsia="ja-JP"/>
          </w:rPr>
          <w:t>Forest Stewardship Council</w:t>
        </w:r>
      </w:hyperlink>
      <w:r w:rsidR="00DB0ED8">
        <w:rPr>
          <w:lang w:eastAsia="ja-JP"/>
        </w:rPr>
        <w:t xml:space="preserve"> (FSC) scheme. </w:t>
      </w:r>
    </w:p>
    <w:p w14:paraId="5F025BDC" w14:textId="276D35B2" w:rsidR="00341141" w:rsidRDefault="00490B0B" w:rsidP="000D7D1E">
      <w:pPr>
        <w:pStyle w:val="ListParagraph"/>
        <w:rPr>
          <w:lang w:eastAsia="ja-JP"/>
        </w:rPr>
      </w:pPr>
      <w:r>
        <w:rPr>
          <w:lang w:eastAsia="ja-JP"/>
        </w:rPr>
        <w:t>There are 2.331.356 ha FSC certified in Chile (</w:t>
      </w:r>
      <w:r w:rsidR="00F14F52">
        <w:rPr>
          <w:lang w:eastAsia="ja-JP"/>
        </w:rPr>
        <w:t>69% are forest plantations)</w:t>
      </w:r>
    </w:p>
    <w:p w14:paraId="788ADF09" w14:textId="77777777" w:rsidR="00341141" w:rsidRDefault="00DB0ED8">
      <w:pPr>
        <w:rPr>
          <w:lang w:eastAsia="ja-JP"/>
        </w:rPr>
      </w:pPr>
      <w:r>
        <w:rPr>
          <w:lang w:eastAsia="ja-JP"/>
        </w:rPr>
        <w:lastRenderedPageBreak/>
        <w:t xml:space="preserve">If the timber or wood product being imported has full chain of custody certification with either of these schemes, use of the </w:t>
      </w:r>
      <w:hyperlink r:id="rId18" w:anchor="option-3a--timber-legality-framework" w:history="1">
        <w:r>
          <w:rPr>
            <w:rStyle w:val="Hyperlink"/>
            <w:lang w:eastAsia="ja-JP"/>
          </w:rPr>
          <w:t>Timber Legality Framework</w:t>
        </w:r>
      </w:hyperlink>
      <w:r>
        <w:rPr>
          <w:lang w:eastAsia="ja-JP"/>
        </w:rPr>
        <w:t xml:space="preserve"> due diligence pathway may be applicable.</w:t>
      </w:r>
    </w:p>
    <w:p w14:paraId="029B4D7E" w14:textId="1942B000" w:rsidR="00341141" w:rsidRDefault="00DB0ED8">
      <w:pPr>
        <w:rPr>
          <w:lang w:eastAsia="ja-JP"/>
        </w:rPr>
      </w:pPr>
      <w:r>
        <w:rPr>
          <w:lang w:eastAsia="ja-JP"/>
        </w:rPr>
        <w:t>Chile has the following PEFC-c</w:t>
      </w:r>
      <w:r w:rsidR="000D516A">
        <w:rPr>
          <w:lang w:eastAsia="ja-JP"/>
        </w:rPr>
        <w:t>ertified products:</w:t>
      </w:r>
    </w:p>
    <w:p w14:paraId="2E28BEBE" w14:textId="7A623ECF" w:rsidR="008017CE" w:rsidRDefault="008017CE">
      <w:pPr>
        <w:pStyle w:val="ListParagraph"/>
        <w:numPr>
          <w:ilvl w:val="0"/>
          <w:numId w:val="21"/>
        </w:numPr>
        <w:rPr>
          <w:lang w:eastAsia="ja-JP"/>
        </w:rPr>
      </w:pPr>
      <w:r>
        <w:rPr>
          <w:lang w:eastAsia="ja-JP"/>
        </w:rPr>
        <w:t>sawlogs and veneer logs</w:t>
      </w:r>
    </w:p>
    <w:p w14:paraId="495CA29E" w14:textId="005EEAB9" w:rsidR="00341141" w:rsidRDefault="00DB0ED8">
      <w:pPr>
        <w:pStyle w:val="ListParagraph"/>
        <w:numPr>
          <w:ilvl w:val="0"/>
          <w:numId w:val="21"/>
        </w:numPr>
        <w:rPr>
          <w:lang w:eastAsia="ja-JP"/>
        </w:rPr>
      </w:pPr>
      <w:r>
        <w:rPr>
          <w:lang w:eastAsia="ja-JP"/>
        </w:rPr>
        <w:t>chips</w:t>
      </w:r>
      <w:r w:rsidR="008017CE">
        <w:rPr>
          <w:lang w:eastAsia="ja-JP"/>
        </w:rPr>
        <w:t xml:space="preserve"> and particles</w:t>
      </w:r>
    </w:p>
    <w:p w14:paraId="4016032F" w14:textId="034338E8" w:rsidR="00341141" w:rsidRDefault="00C01DBB">
      <w:pPr>
        <w:pStyle w:val="ListParagraph"/>
        <w:numPr>
          <w:ilvl w:val="0"/>
          <w:numId w:val="21"/>
        </w:numPr>
        <w:rPr>
          <w:lang w:eastAsia="ja-JP"/>
        </w:rPr>
      </w:pPr>
      <w:r>
        <w:rPr>
          <w:lang w:eastAsia="ja-JP"/>
        </w:rPr>
        <w:t>Sawnwood</w:t>
      </w:r>
    </w:p>
    <w:p w14:paraId="44EAD53A" w14:textId="116EF09A" w:rsidR="005A5FAC" w:rsidRDefault="005A5FAC">
      <w:pPr>
        <w:pStyle w:val="ListParagraph"/>
        <w:numPr>
          <w:ilvl w:val="0"/>
          <w:numId w:val="21"/>
        </w:numPr>
        <w:rPr>
          <w:lang w:eastAsia="ja-JP"/>
        </w:rPr>
      </w:pPr>
      <w:r>
        <w:rPr>
          <w:lang w:eastAsia="ja-JP"/>
        </w:rPr>
        <w:t>Engineered wood products</w:t>
      </w:r>
    </w:p>
    <w:p w14:paraId="2784FB8B" w14:textId="7543A634" w:rsidR="00341141" w:rsidRDefault="005A5FAC">
      <w:pPr>
        <w:pStyle w:val="ListParagraph"/>
        <w:numPr>
          <w:ilvl w:val="0"/>
          <w:numId w:val="21"/>
        </w:numPr>
        <w:rPr>
          <w:lang w:eastAsia="ja-JP"/>
        </w:rPr>
      </w:pPr>
      <w:r>
        <w:rPr>
          <w:lang w:eastAsia="ja-JP"/>
        </w:rPr>
        <w:t>W</w:t>
      </w:r>
      <w:r w:rsidR="008017CE">
        <w:rPr>
          <w:lang w:eastAsia="ja-JP"/>
        </w:rPr>
        <w:t xml:space="preserve">ood based </w:t>
      </w:r>
      <w:r w:rsidR="00DB0ED8">
        <w:rPr>
          <w:lang w:eastAsia="ja-JP"/>
        </w:rPr>
        <w:t>panels</w:t>
      </w:r>
      <w:r>
        <w:rPr>
          <w:lang w:eastAsia="ja-JP"/>
        </w:rPr>
        <w:t>(including veneer sheets, plywood, particle board, and fibreboard)</w:t>
      </w:r>
    </w:p>
    <w:p w14:paraId="42A99817" w14:textId="3F4C1280" w:rsidR="008017CE" w:rsidRDefault="008017CE" w:rsidP="008017CE">
      <w:pPr>
        <w:pStyle w:val="ListParagraph"/>
        <w:numPr>
          <w:ilvl w:val="0"/>
          <w:numId w:val="21"/>
        </w:numPr>
        <w:rPr>
          <w:lang w:eastAsia="ja-JP"/>
        </w:rPr>
      </w:pPr>
      <w:r>
        <w:rPr>
          <w:lang w:eastAsia="ja-JP"/>
        </w:rPr>
        <w:t>Pulp</w:t>
      </w:r>
    </w:p>
    <w:p w14:paraId="70957864" w14:textId="15327433" w:rsidR="008017CE" w:rsidRDefault="008017CE" w:rsidP="008017CE">
      <w:pPr>
        <w:pStyle w:val="ListParagraph"/>
        <w:numPr>
          <w:ilvl w:val="0"/>
          <w:numId w:val="21"/>
        </w:numPr>
        <w:rPr>
          <w:lang w:eastAsia="ja-JP"/>
        </w:rPr>
      </w:pPr>
      <w:r>
        <w:rPr>
          <w:lang w:eastAsia="ja-JP"/>
        </w:rPr>
        <w:t xml:space="preserve">Paper and paper board </w:t>
      </w:r>
      <w:r w:rsidR="00C01DBB">
        <w:rPr>
          <w:lang w:eastAsia="ja-JP"/>
        </w:rPr>
        <w:t>(including graphic papers, household and sanitary papers, packaging materials, and printed matter)</w:t>
      </w:r>
    </w:p>
    <w:p w14:paraId="7233FBE5" w14:textId="50DF517B" w:rsidR="000D516A" w:rsidRDefault="00C01DBB" w:rsidP="005A5FAC">
      <w:pPr>
        <w:pStyle w:val="ListParagraph"/>
        <w:numPr>
          <w:ilvl w:val="0"/>
          <w:numId w:val="21"/>
        </w:numPr>
        <w:rPr>
          <w:lang w:eastAsia="ja-JP"/>
        </w:rPr>
      </w:pPr>
      <w:r>
        <w:rPr>
          <w:lang w:eastAsia="ja-JP"/>
        </w:rPr>
        <w:t>Wood</w:t>
      </w:r>
      <w:r w:rsidR="00DB0ED8">
        <w:rPr>
          <w:lang w:eastAsia="ja-JP"/>
        </w:rPr>
        <w:t xml:space="preserve"> </w:t>
      </w:r>
      <w:r>
        <w:rPr>
          <w:lang w:eastAsia="ja-JP"/>
        </w:rPr>
        <w:t>manufacturers (including pallets, furniture, builders</w:t>
      </w:r>
      <w:r w:rsidR="005A5FAC">
        <w:rPr>
          <w:lang w:eastAsia="ja-JP"/>
        </w:rPr>
        <w:t xml:space="preserve"> carpentry, and tools and turned wood)</w:t>
      </w:r>
    </w:p>
    <w:p w14:paraId="32B4A7D9" w14:textId="60082D83" w:rsidR="00F14F52" w:rsidRDefault="00F14F52" w:rsidP="00F14F52">
      <w:pPr>
        <w:rPr>
          <w:lang w:eastAsia="ja-JP"/>
        </w:rPr>
      </w:pPr>
      <w:r>
        <w:rPr>
          <w:lang w:eastAsia="ja-JP"/>
        </w:rPr>
        <w:t>Chile has the following FSC products:</w:t>
      </w:r>
    </w:p>
    <w:p w14:paraId="018F95BA" w14:textId="3914B455" w:rsidR="0015048B" w:rsidRDefault="00C97B15" w:rsidP="00F14F52">
      <w:pPr>
        <w:pStyle w:val="ListParagraph"/>
        <w:numPr>
          <w:ilvl w:val="0"/>
          <w:numId w:val="22"/>
        </w:numPr>
        <w:rPr>
          <w:lang w:eastAsia="ja-JP"/>
        </w:rPr>
      </w:pPr>
      <w:r>
        <w:t>r</w:t>
      </w:r>
      <w:r w:rsidR="0015048B">
        <w:t xml:space="preserve">ough wood </w:t>
      </w:r>
    </w:p>
    <w:p w14:paraId="6424647D" w14:textId="2516DF71" w:rsidR="0015048B" w:rsidRDefault="00C97B15" w:rsidP="00F14F52">
      <w:pPr>
        <w:pStyle w:val="ListParagraph"/>
        <w:numPr>
          <w:ilvl w:val="0"/>
          <w:numId w:val="22"/>
        </w:numPr>
        <w:rPr>
          <w:lang w:eastAsia="ja-JP"/>
        </w:rPr>
      </w:pPr>
      <w:r>
        <w:t>r</w:t>
      </w:r>
      <w:r w:rsidR="0015048B">
        <w:t>ound wood</w:t>
      </w:r>
    </w:p>
    <w:p w14:paraId="41FCB7F0" w14:textId="3FD64334" w:rsidR="0015048B" w:rsidRDefault="00C97B15" w:rsidP="00F14F52">
      <w:pPr>
        <w:pStyle w:val="ListParagraph"/>
        <w:numPr>
          <w:ilvl w:val="0"/>
          <w:numId w:val="22"/>
        </w:numPr>
        <w:rPr>
          <w:lang w:eastAsia="ja-JP"/>
        </w:rPr>
      </w:pPr>
      <w:r>
        <w:t>f</w:t>
      </w:r>
      <w:r w:rsidR="0015048B">
        <w:t>uel wood</w:t>
      </w:r>
    </w:p>
    <w:p w14:paraId="24C40C53" w14:textId="168FBB1A" w:rsidR="0015048B" w:rsidRDefault="0015048B" w:rsidP="00F14F52">
      <w:pPr>
        <w:pStyle w:val="ListParagraph"/>
        <w:numPr>
          <w:ilvl w:val="0"/>
          <w:numId w:val="22"/>
        </w:numPr>
        <w:rPr>
          <w:lang w:eastAsia="ja-JP"/>
        </w:rPr>
      </w:pPr>
      <w:r>
        <w:t>wood in chips or particles</w:t>
      </w:r>
    </w:p>
    <w:p w14:paraId="3D6A535A" w14:textId="230987B3" w:rsidR="0015048B" w:rsidRDefault="0015048B" w:rsidP="00F14F52">
      <w:pPr>
        <w:pStyle w:val="ListParagraph"/>
        <w:numPr>
          <w:ilvl w:val="0"/>
          <w:numId w:val="22"/>
        </w:numPr>
        <w:rPr>
          <w:lang w:eastAsia="ja-JP"/>
        </w:rPr>
      </w:pPr>
      <w:r>
        <w:t>wood panels</w:t>
      </w:r>
    </w:p>
    <w:p w14:paraId="7E41E494" w14:textId="3FA79ACB" w:rsidR="0015048B" w:rsidRDefault="0015048B" w:rsidP="00F14F52">
      <w:pPr>
        <w:pStyle w:val="ListParagraph"/>
        <w:numPr>
          <w:ilvl w:val="0"/>
          <w:numId w:val="22"/>
        </w:numPr>
        <w:rPr>
          <w:lang w:eastAsia="ja-JP"/>
        </w:rPr>
      </w:pPr>
      <w:r>
        <w:t>engineered wood products</w:t>
      </w:r>
    </w:p>
    <w:p w14:paraId="14B701D3" w14:textId="1BEA4380" w:rsidR="0015048B" w:rsidRDefault="0015048B" w:rsidP="00F14F52">
      <w:pPr>
        <w:pStyle w:val="ListParagraph"/>
        <w:numPr>
          <w:ilvl w:val="0"/>
          <w:numId w:val="22"/>
        </w:numPr>
        <w:rPr>
          <w:lang w:eastAsia="ja-JP"/>
        </w:rPr>
      </w:pPr>
      <w:r>
        <w:t>wood package</w:t>
      </w:r>
    </w:p>
    <w:p w14:paraId="2D0C336E" w14:textId="052C529B" w:rsidR="0015048B" w:rsidRDefault="0015048B" w:rsidP="00F14F52">
      <w:pPr>
        <w:pStyle w:val="ListParagraph"/>
        <w:numPr>
          <w:ilvl w:val="0"/>
          <w:numId w:val="22"/>
        </w:numPr>
        <w:rPr>
          <w:lang w:eastAsia="ja-JP"/>
        </w:rPr>
      </w:pPr>
      <w:r>
        <w:t>musical instruments</w:t>
      </w:r>
    </w:p>
    <w:p w14:paraId="38AA4451" w14:textId="1069B444" w:rsidR="0015048B" w:rsidRDefault="0015048B" w:rsidP="00F14F52">
      <w:pPr>
        <w:pStyle w:val="ListParagraph"/>
        <w:numPr>
          <w:ilvl w:val="0"/>
          <w:numId w:val="22"/>
        </w:numPr>
        <w:rPr>
          <w:lang w:eastAsia="ja-JP"/>
        </w:rPr>
      </w:pPr>
      <w:r>
        <w:t>household articles</w:t>
      </w:r>
    </w:p>
    <w:p w14:paraId="5E2966BA" w14:textId="423551C5" w:rsidR="008E5268" w:rsidRDefault="0015048B" w:rsidP="00F14F52">
      <w:pPr>
        <w:pStyle w:val="ListParagraph"/>
        <w:numPr>
          <w:ilvl w:val="0"/>
          <w:numId w:val="22"/>
        </w:numPr>
        <w:rPr>
          <w:lang w:eastAsia="ja-JP"/>
        </w:rPr>
      </w:pPr>
      <w:r>
        <w:t>stationery of wood</w:t>
      </w:r>
    </w:p>
    <w:p w14:paraId="74331FE7" w14:textId="6DA3BA4E" w:rsidR="008E5268" w:rsidRDefault="0015048B" w:rsidP="00F14F52">
      <w:pPr>
        <w:pStyle w:val="ListParagraph"/>
        <w:numPr>
          <w:ilvl w:val="0"/>
          <w:numId w:val="22"/>
        </w:numPr>
        <w:rPr>
          <w:lang w:eastAsia="ja-JP"/>
        </w:rPr>
      </w:pPr>
      <w:r>
        <w:t>furniture</w:t>
      </w:r>
    </w:p>
    <w:p w14:paraId="5F11CFEB" w14:textId="128ECDD5" w:rsidR="008E5268" w:rsidRDefault="008E5268" w:rsidP="00F14F52">
      <w:pPr>
        <w:pStyle w:val="ListParagraph"/>
        <w:numPr>
          <w:ilvl w:val="0"/>
          <w:numId w:val="22"/>
        </w:numPr>
        <w:rPr>
          <w:lang w:eastAsia="ja-JP"/>
        </w:rPr>
      </w:pPr>
      <w:r>
        <w:t>Paper</w:t>
      </w:r>
    </w:p>
    <w:p w14:paraId="5CB6DC91" w14:textId="0B7B2100" w:rsidR="008E5268" w:rsidRDefault="008E5268" w:rsidP="00F14F52">
      <w:pPr>
        <w:pStyle w:val="ListParagraph"/>
        <w:numPr>
          <w:ilvl w:val="0"/>
          <w:numId w:val="22"/>
        </w:numPr>
        <w:rPr>
          <w:lang w:eastAsia="ja-JP"/>
        </w:rPr>
      </w:pPr>
      <w:r>
        <w:t>paper board</w:t>
      </w:r>
    </w:p>
    <w:p w14:paraId="0D5003F5" w14:textId="0DADAE75" w:rsidR="008E5268" w:rsidRDefault="008E5268" w:rsidP="00F14F52">
      <w:pPr>
        <w:pStyle w:val="ListParagraph"/>
        <w:numPr>
          <w:ilvl w:val="0"/>
          <w:numId w:val="22"/>
        </w:numPr>
        <w:rPr>
          <w:lang w:eastAsia="ja-JP"/>
        </w:rPr>
      </w:pPr>
      <w:r>
        <w:t>sanitary products</w:t>
      </w:r>
    </w:p>
    <w:p w14:paraId="24D6A596" w14:textId="5B0A6D7C" w:rsidR="008E5268" w:rsidRDefault="008E5268" w:rsidP="004E52CE">
      <w:pPr>
        <w:pStyle w:val="ListParagraph"/>
        <w:numPr>
          <w:ilvl w:val="0"/>
          <w:numId w:val="22"/>
        </w:numPr>
        <w:rPr>
          <w:lang w:eastAsia="ja-JP"/>
        </w:rPr>
      </w:pPr>
      <w:r>
        <w:t>printed materials</w:t>
      </w:r>
    </w:p>
    <w:p w14:paraId="310B0A3B" w14:textId="3A17039E" w:rsidR="008E5268" w:rsidRDefault="008E5268" w:rsidP="00F14F52">
      <w:pPr>
        <w:pStyle w:val="ListParagraph"/>
        <w:numPr>
          <w:ilvl w:val="0"/>
          <w:numId w:val="22"/>
        </w:numPr>
        <w:rPr>
          <w:lang w:eastAsia="ja-JP"/>
        </w:rPr>
      </w:pPr>
      <w:r>
        <w:t xml:space="preserve">corrugated paper </w:t>
      </w:r>
    </w:p>
    <w:p w14:paraId="450F9B59" w14:textId="1FF28883" w:rsidR="008E5268" w:rsidRDefault="008E5268" w:rsidP="00F14F52">
      <w:pPr>
        <w:pStyle w:val="ListParagraph"/>
        <w:numPr>
          <w:ilvl w:val="0"/>
          <w:numId w:val="22"/>
        </w:numPr>
        <w:rPr>
          <w:lang w:eastAsia="ja-JP"/>
        </w:rPr>
      </w:pPr>
      <w:r>
        <w:t>packaging and wrappings of paper</w:t>
      </w:r>
    </w:p>
    <w:p w14:paraId="3D2F3919" w14:textId="366BC156" w:rsidR="008E5268" w:rsidRDefault="008E5268" w:rsidP="00F14F52">
      <w:pPr>
        <w:pStyle w:val="ListParagraph"/>
        <w:numPr>
          <w:ilvl w:val="0"/>
          <w:numId w:val="22"/>
        </w:numPr>
        <w:rPr>
          <w:lang w:eastAsia="ja-JP"/>
        </w:rPr>
      </w:pPr>
      <w:r>
        <w:t>stationery of paper</w:t>
      </w:r>
    </w:p>
    <w:p w14:paraId="3CD0B882" w14:textId="76DEF3DB" w:rsidR="00D6408A" w:rsidRDefault="00D6408A" w:rsidP="00F14F52">
      <w:pPr>
        <w:pStyle w:val="ListParagraph"/>
        <w:numPr>
          <w:ilvl w:val="0"/>
          <w:numId w:val="22"/>
        </w:numPr>
        <w:rPr>
          <w:lang w:eastAsia="ja-JP"/>
        </w:rPr>
      </w:pPr>
      <w:r>
        <w:rPr>
          <w:lang w:eastAsia="ja-JP"/>
        </w:rPr>
        <w:t>products for re-manufacturing (including mouldings, doors, frames, blocks,...)</w:t>
      </w:r>
    </w:p>
    <w:p w14:paraId="47901ECD" w14:textId="77777777" w:rsidR="00D6408A" w:rsidRDefault="00D6408A" w:rsidP="00D6408A">
      <w:pPr>
        <w:pStyle w:val="ListParagraph"/>
        <w:numPr>
          <w:ilvl w:val="0"/>
          <w:numId w:val="22"/>
        </w:numPr>
        <w:rPr>
          <w:lang w:eastAsia="ja-JP"/>
        </w:rPr>
      </w:pPr>
      <w:r>
        <w:rPr>
          <w:lang w:eastAsia="ja-JP"/>
        </w:rPr>
        <w:t>matches</w:t>
      </w:r>
    </w:p>
    <w:p w14:paraId="623E1889" w14:textId="77777777" w:rsidR="00D6408A" w:rsidRDefault="00D6408A" w:rsidP="008E5268">
      <w:pPr>
        <w:pStyle w:val="ListParagraph"/>
        <w:rPr>
          <w:lang w:eastAsia="ja-JP"/>
        </w:rPr>
      </w:pPr>
    </w:p>
    <w:p w14:paraId="19D364F4" w14:textId="77777777" w:rsidR="00D6408A" w:rsidRDefault="00D6408A" w:rsidP="00D6408A">
      <w:pPr>
        <w:rPr>
          <w:lang w:eastAsia="ja-JP"/>
        </w:rPr>
      </w:pPr>
    </w:p>
    <w:p w14:paraId="33B2C955" w14:textId="4F536A70" w:rsidR="00341141" w:rsidRDefault="00DB0ED8" w:rsidP="00F14F52">
      <w:pPr>
        <w:rPr>
          <w:lang w:eastAsia="ja-JP"/>
        </w:rPr>
      </w:pPr>
      <w:r>
        <w:rPr>
          <w:lang w:eastAsia="ja-JP"/>
        </w:rPr>
        <w:br w:type="page"/>
      </w:r>
    </w:p>
    <w:p w14:paraId="6CE28071" w14:textId="77777777" w:rsidR="00341141" w:rsidRDefault="00DB0ED8">
      <w:pPr>
        <w:pStyle w:val="Heading2"/>
      </w:pPr>
      <w:bookmarkStart w:id="16" w:name="_Toc10811638"/>
      <w:r>
        <w:lastRenderedPageBreak/>
        <w:t>Who should I contact for further information</w:t>
      </w:r>
      <w:bookmarkEnd w:id="16"/>
    </w:p>
    <w:p w14:paraId="48666297" w14:textId="77777777" w:rsidR="00341141" w:rsidRDefault="00341141">
      <w:pPr>
        <w:rPr>
          <w:lang w:eastAsia="ja-JP"/>
        </w:rPr>
      </w:pPr>
    </w:p>
    <w:tbl>
      <w:tblPr>
        <w:tblW w:w="8977" w:type="dxa"/>
        <w:tblBorders>
          <w:bottom w:val="single" w:sz="4" w:space="0" w:color="auto"/>
        </w:tblBorders>
        <w:tblLayout w:type="fixed"/>
        <w:tblCellMar>
          <w:top w:w="28" w:type="dxa"/>
          <w:left w:w="102" w:type="dxa"/>
          <w:bottom w:w="28" w:type="dxa"/>
          <w:right w:w="102" w:type="dxa"/>
        </w:tblCellMar>
        <w:tblLook w:val="04A0" w:firstRow="1" w:lastRow="0" w:firstColumn="1" w:lastColumn="0" w:noHBand="0" w:noVBand="1"/>
      </w:tblPr>
      <w:tblGrid>
        <w:gridCol w:w="4355"/>
        <w:gridCol w:w="479"/>
        <w:gridCol w:w="4143"/>
      </w:tblGrid>
      <w:tr w:rsidR="00341141" w14:paraId="6117614D" w14:textId="77777777">
        <w:trPr>
          <w:trHeight w:val="1231"/>
        </w:trPr>
        <w:tc>
          <w:tcPr>
            <w:tcW w:w="4355" w:type="dxa"/>
          </w:tcPr>
          <w:p w14:paraId="1AE1184B" w14:textId="0D211F01" w:rsidR="00341141" w:rsidRDefault="00E05DED">
            <w:pPr>
              <w:pStyle w:val="MS"/>
              <w:widowControl w:val="0"/>
              <w:spacing w:line="273" w:lineRule="auto"/>
              <w:rPr>
                <w:rFonts w:ascii="Cambria" w:hAnsi="Cambria"/>
                <w:sz w:val="23"/>
                <w:szCs w:val="23"/>
                <w:lang w:val="en-AU"/>
              </w:rPr>
            </w:pPr>
            <w:r>
              <w:rPr>
                <w:noProof/>
                <w:lang w:val="en-AU" w:eastAsia="en-AU"/>
              </w:rPr>
              <w:drawing>
                <wp:inline distT="0" distB="0" distL="0" distR="0" wp14:anchorId="4AAF23CF" wp14:editId="40D3D876">
                  <wp:extent cx="2687541" cy="806602"/>
                  <wp:effectExtent l="0" t="0" r="0" b="0"/>
                  <wp:docPr id="11" name="Picture 11" descr="An image of the logo of the Australian Government Department of Agriculture, Water and the Enviro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WE_Inline_BLACK-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0657" cy="816541"/>
                          </a:xfrm>
                          <a:prstGeom prst="rect">
                            <a:avLst/>
                          </a:prstGeom>
                        </pic:spPr>
                      </pic:pic>
                    </a:graphicData>
                  </a:graphic>
                </wp:inline>
              </w:drawing>
            </w:r>
          </w:p>
        </w:tc>
        <w:tc>
          <w:tcPr>
            <w:tcW w:w="479" w:type="dxa"/>
          </w:tcPr>
          <w:p w14:paraId="486DBC21" w14:textId="77777777" w:rsidR="00341141" w:rsidRDefault="00341141">
            <w:pPr>
              <w:pStyle w:val="MS"/>
              <w:widowControl w:val="0"/>
              <w:spacing w:line="273" w:lineRule="auto"/>
              <w:rPr>
                <w:rFonts w:ascii="Cambria" w:hAnsi="Cambria"/>
                <w:sz w:val="23"/>
                <w:szCs w:val="23"/>
                <w:lang w:val="en-AU"/>
              </w:rPr>
            </w:pPr>
          </w:p>
        </w:tc>
        <w:tc>
          <w:tcPr>
            <w:tcW w:w="4143" w:type="dxa"/>
            <w:shd w:val="clear" w:color="auto" w:fill="auto"/>
          </w:tcPr>
          <w:p w14:paraId="34D71162" w14:textId="4A20C081" w:rsidR="00341141" w:rsidRDefault="00B86946">
            <w:pPr>
              <w:pStyle w:val="MS"/>
              <w:widowControl w:val="0"/>
              <w:spacing w:line="273" w:lineRule="auto"/>
              <w:rPr>
                <w:lang w:val="en-AU" w:eastAsia="en-AU"/>
              </w:rPr>
            </w:pPr>
            <w:r w:rsidRPr="00B86946">
              <w:rPr>
                <w:noProof/>
                <w:lang w:val="en-AU" w:eastAsia="en-AU"/>
              </w:rPr>
              <w:drawing>
                <wp:inline distT="0" distB="0" distL="0" distR="0" wp14:anchorId="6585E0EA" wp14:editId="42709737">
                  <wp:extent cx="2495550" cy="733425"/>
                  <wp:effectExtent l="0" t="0" r="0" b="9525"/>
                  <wp:docPr id="2" name="Imagen 2" descr="An image of the logo of the Chile Government Ministerio de Agri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5550" cy="733425"/>
                          </a:xfrm>
                          <a:prstGeom prst="rect">
                            <a:avLst/>
                          </a:prstGeom>
                          <a:noFill/>
                          <a:ln>
                            <a:noFill/>
                          </a:ln>
                        </pic:spPr>
                      </pic:pic>
                    </a:graphicData>
                  </a:graphic>
                </wp:inline>
              </w:drawing>
            </w:r>
          </w:p>
          <w:p w14:paraId="7ED233BA" w14:textId="3572793F" w:rsidR="00341141" w:rsidRDefault="00341141">
            <w:pPr>
              <w:pStyle w:val="MS"/>
              <w:widowControl w:val="0"/>
              <w:spacing w:line="273" w:lineRule="auto"/>
              <w:rPr>
                <w:lang w:val="en-AU" w:eastAsia="en-AU"/>
              </w:rPr>
            </w:pPr>
          </w:p>
        </w:tc>
      </w:tr>
      <w:tr w:rsidR="00341141" w14:paraId="715D42B1" w14:textId="77777777">
        <w:trPr>
          <w:trHeight w:val="3106"/>
        </w:trPr>
        <w:tc>
          <w:tcPr>
            <w:tcW w:w="4355" w:type="dxa"/>
          </w:tcPr>
          <w:p w14:paraId="58FCB531" w14:textId="77777777" w:rsidR="00341141" w:rsidRDefault="00DB0ED8">
            <w:pPr>
              <w:pStyle w:val="MS"/>
              <w:widowControl w:val="0"/>
              <w:spacing w:line="273" w:lineRule="auto"/>
              <w:rPr>
                <w:rFonts w:ascii="Cambria" w:hAnsi="Cambria"/>
                <w:sz w:val="23"/>
                <w:szCs w:val="23"/>
                <w:lang w:val="en-AU"/>
              </w:rPr>
            </w:pPr>
            <w:r>
              <w:rPr>
                <w:rFonts w:ascii="Cambria" w:hAnsi="Cambria"/>
                <w:b/>
                <w:sz w:val="23"/>
                <w:szCs w:val="23"/>
                <w:lang w:val="en-AU"/>
              </w:rPr>
              <w:t>Australian Government</w:t>
            </w:r>
          </w:p>
          <w:p w14:paraId="71BFFA0E" w14:textId="11979BAB" w:rsidR="00341141" w:rsidRDefault="00DB0ED8">
            <w:pPr>
              <w:pStyle w:val="MS"/>
              <w:widowControl w:val="0"/>
              <w:spacing w:line="273" w:lineRule="auto"/>
              <w:rPr>
                <w:rFonts w:ascii="Cambria" w:hAnsi="Cambria"/>
                <w:sz w:val="23"/>
                <w:szCs w:val="23"/>
                <w:lang w:val="en-AU"/>
              </w:rPr>
            </w:pPr>
            <w:r>
              <w:rPr>
                <w:rFonts w:ascii="Cambria" w:hAnsi="Cambria"/>
                <w:sz w:val="23"/>
                <w:szCs w:val="23"/>
                <w:u w:val="single"/>
                <w:lang w:val="en-AU"/>
              </w:rPr>
              <w:t>Address</w:t>
            </w:r>
            <w:r w:rsidR="00E05DED">
              <w:rPr>
                <w:rFonts w:ascii="Cambria" w:hAnsi="Cambria"/>
                <w:sz w:val="23"/>
                <w:szCs w:val="23"/>
                <w:lang w:val="en-AU"/>
              </w:rPr>
              <w:t>: Department of Agriculture, Water and the Environment</w:t>
            </w:r>
          </w:p>
          <w:p w14:paraId="6CE8E272" w14:textId="77777777" w:rsidR="00341141" w:rsidRDefault="00DB0ED8">
            <w:pPr>
              <w:pStyle w:val="MS"/>
              <w:widowControl w:val="0"/>
              <w:spacing w:line="273" w:lineRule="auto"/>
              <w:rPr>
                <w:rFonts w:ascii="Cambria" w:hAnsi="Cambria"/>
                <w:sz w:val="23"/>
                <w:szCs w:val="23"/>
                <w:lang w:val="en-AU"/>
              </w:rPr>
            </w:pPr>
            <w:r>
              <w:rPr>
                <w:rFonts w:ascii="Cambria" w:hAnsi="Cambria"/>
                <w:sz w:val="23"/>
                <w:szCs w:val="23"/>
                <w:lang w:val="en-AU"/>
              </w:rPr>
              <w:t>GPO Box 858</w:t>
            </w:r>
          </w:p>
          <w:p w14:paraId="3D4416E4" w14:textId="77777777" w:rsidR="00341141" w:rsidRDefault="00DB0ED8">
            <w:pPr>
              <w:pStyle w:val="MS"/>
              <w:widowControl w:val="0"/>
              <w:spacing w:line="273" w:lineRule="auto"/>
              <w:rPr>
                <w:rFonts w:ascii="Cambria" w:hAnsi="Cambria"/>
                <w:sz w:val="23"/>
                <w:szCs w:val="23"/>
                <w:lang w:val="en-AU"/>
              </w:rPr>
            </w:pPr>
            <w:r>
              <w:rPr>
                <w:rFonts w:ascii="Cambria" w:hAnsi="Cambria"/>
                <w:sz w:val="23"/>
                <w:szCs w:val="23"/>
                <w:lang w:val="en-AU"/>
              </w:rPr>
              <w:t>Canberra ACT 2601</w:t>
            </w:r>
          </w:p>
          <w:p w14:paraId="782EFCD2" w14:textId="77777777" w:rsidR="00341141" w:rsidRDefault="00DB0ED8">
            <w:pPr>
              <w:pStyle w:val="MS"/>
              <w:widowControl w:val="0"/>
              <w:spacing w:line="273" w:lineRule="auto"/>
              <w:rPr>
                <w:rFonts w:ascii="Cambria" w:hAnsi="Cambria"/>
                <w:sz w:val="23"/>
                <w:szCs w:val="23"/>
                <w:lang w:val="en-AU"/>
              </w:rPr>
            </w:pPr>
            <w:r>
              <w:rPr>
                <w:rFonts w:ascii="Cambria" w:hAnsi="Cambria"/>
                <w:sz w:val="23"/>
                <w:szCs w:val="23"/>
                <w:u w:val="single"/>
                <w:lang w:val="en-AU"/>
              </w:rPr>
              <w:t>Phone</w:t>
            </w:r>
            <w:r>
              <w:rPr>
                <w:rFonts w:ascii="Cambria" w:hAnsi="Cambria"/>
                <w:sz w:val="23"/>
                <w:szCs w:val="23"/>
                <w:lang w:val="en-AU"/>
              </w:rPr>
              <w:t>: +61  2 6272 3933</w:t>
            </w:r>
          </w:p>
          <w:p w14:paraId="3DA5F5E1" w14:textId="77777777" w:rsidR="00341141" w:rsidRDefault="00DB0ED8">
            <w:pPr>
              <w:pStyle w:val="MS"/>
              <w:widowControl w:val="0"/>
              <w:spacing w:line="273" w:lineRule="auto"/>
              <w:rPr>
                <w:rFonts w:ascii="Cambria" w:hAnsi="Cambria"/>
                <w:sz w:val="23"/>
                <w:szCs w:val="23"/>
                <w:lang w:val="en-AU"/>
              </w:rPr>
            </w:pPr>
            <w:r>
              <w:rPr>
                <w:rFonts w:ascii="Cambria" w:hAnsi="Cambria"/>
                <w:sz w:val="23"/>
                <w:szCs w:val="23"/>
                <w:u w:val="single"/>
                <w:lang w:val="en-AU"/>
              </w:rPr>
              <w:t>Web</w:t>
            </w:r>
            <w:r>
              <w:rPr>
                <w:rFonts w:ascii="Cambria" w:hAnsi="Cambria"/>
                <w:sz w:val="23"/>
                <w:szCs w:val="23"/>
                <w:lang w:val="en-AU"/>
              </w:rPr>
              <w:t xml:space="preserve">: </w:t>
            </w:r>
            <w:hyperlink r:id="rId21" w:history="1">
              <w:r>
                <w:rPr>
                  <w:rStyle w:val="Hyperlink"/>
                  <w:rFonts w:ascii="Cambria" w:hAnsi="Cambria"/>
                  <w:sz w:val="23"/>
                  <w:szCs w:val="23"/>
                  <w:lang w:val="en-AU"/>
                </w:rPr>
                <w:t>www.agriculture.gov.au/illegal-logging</w:t>
              </w:r>
            </w:hyperlink>
            <w:r>
              <w:rPr>
                <w:rFonts w:ascii="Cambria" w:hAnsi="Cambria"/>
                <w:sz w:val="23"/>
                <w:szCs w:val="23"/>
                <w:lang w:val="en-AU"/>
              </w:rPr>
              <w:t xml:space="preserve"> </w:t>
            </w:r>
          </w:p>
          <w:p w14:paraId="22D6A0AA" w14:textId="77777777" w:rsidR="00341141" w:rsidRDefault="00DB0ED8">
            <w:pPr>
              <w:pStyle w:val="MS"/>
              <w:widowControl w:val="0"/>
              <w:spacing w:line="273" w:lineRule="auto"/>
              <w:rPr>
                <w:rFonts w:ascii="Cambria" w:hAnsi="Cambria"/>
                <w:sz w:val="23"/>
                <w:szCs w:val="23"/>
                <w:lang w:val="en-AU"/>
              </w:rPr>
            </w:pPr>
            <w:r>
              <w:rPr>
                <w:rFonts w:ascii="Cambria" w:hAnsi="Cambria"/>
                <w:sz w:val="23"/>
                <w:szCs w:val="23"/>
                <w:u w:val="single"/>
                <w:lang w:val="en-AU"/>
              </w:rPr>
              <w:t>Email</w:t>
            </w:r>
            <w:r>
              <w:rPr>
                <w:rFonts w:ascii="Cambria" w:hAnsi="Cambria"/>
                <w:sz w:val="23"/>
                <w:szCs w:val="23"/>
                <w:lang w:val="en-AU"/>
              </w:rPr>
              <w:t xml:space="preserve">: </w:t>
            </w:r>
            <w:hyperlink r:id="rId22" w:history="1">
              <w:r>
                <w:rPr>
                  <w:rFonts w:ascii="Cambria" w:hAnsi="Cambria"/>
                  <w:color w:val="0000FF"/>
                  <w:sz w:val="23"/>
                  <w:szCs w:val="23"/>
                  <w:lang w:val="en-AU"/>
                </w:rPr>
                <w:t>illegallogging@agriculture.gov.au</w:t>
              </w:r>
            </w:hyperlink>
          </w:p>
        </w:tc>
        <w:tc>
          <w:tcPr>
            <w:tcW w:w="479" w:type="dxa"/>
          </w:tcPr>
          <w:p w14:paraId="1EDE7120" w14:textId="77777777" w:rsidR="00341141" w:rsidRPr="00B86946" w:rsidRDefault="00341141">
            <w:pPr>
              <w:pStyle w:val="MS"/>
              <w:widowControl w:val="0"/>
              <w:spacing w:line="273" w:lineRule="auto"/>
              <w:rPr>
                <w:rFonts w:ascii="Cambria" w:hAnsi="Cambria"/>
                <w:sz w:val="23"/>
                <w:szCs w:val="23"/>
                <w:lang w:val="en-AU"/>
              </w:rPr>
            </w:pPr>
          </w:p>
          <w:p w14:paraId="56A6AA85" w14:textId="77777777" w:rsidR="00341141" w:rsidRPr="00B86946" w:rsidRDefault="00341141">
            <w:pPr>
              <w:pStyle w:val="MS"/>
              <w:widowControl w:val="0"/>
              <w:spacing w:line="273" w:lineRule="auto"/>
              <w:rPr>
                <w:rFonts w:ascii="Cambria" w:hAnsi="Cambria"/>
                <w:sz w:val="23"/>
                <w:szCs w:val="23"/>
                <w:lang w:val="en-AU"/>
              </w:rPr>
            </w:pPr>
          </w:p>
          <w:p w14:paraId="52E89E9C" w14:textId="77777777" w:rsidR="00341141" w:rsidRPr="00B86946" w:rsidRDefault="00341141">
            <w:pPr>
              <w:pStyle w:val="MS"/>
              <w:widowControl w:val="0"/>
              <w:spacing w:line="273" w:lineRule="auto"/>
              <w:rPr>
                <w:rFonts w:ascii="Cambria" w:hAnsi="Cambria"/>
                <w:sz w:val="23"/>
                <w:szCs w:val="23"/>
                <w:lang w:val="en-AU"/>
              </w:rPr>
            </w:pPr>
          </w:p>
        </w:tc>
        <w:tc>
          <w:tcPr>
            <w:tcW w:w="4143" w:type="dxa"/>
            <w:shd w:val="clear" w:color="auto" w:fill="auto"/>
          </w:tcPr>
          <w:p w14:paraId="4119AEE6" w14:textId="77777777" w:rsidR="00341141" w:rsidRPr="00B86946" w:rsidRDefault="00DB0ED8">
            <w:pPr>
              <w:pStyle w:val="MS"/>
              <w:widowControl w:val="0"/>
              <w:spacing w:line="273" w:lineRule="auto"/>
              <w:rPr>
                <w:rFonts w:ascii="Cambria" w:hAnsi="Cambria"/>
                <w:sz w:val="23"/>
                <w:szCs w:val="23"/>
                <w:lang w:val="en-AU"/>
              </w:rPr>
            </w:pPr>
            <w:r w:rsidRPr="00B86946">
              <w:rPr>
                <w:rFonts w:ascii="Cambria" w:hAnsi="Cambria"/>
                <w:b/>
                <w:sz w:val="23"/>
                <w:szCs w:val="23"/>
                <w:lang w:val="en-AU"/>
              </w:rPr>
              <w:t>Chilean Government</w:t>
            </w:r>
          </w:p>
          <w:p w14:paraId="11577A6F" w14:textId="7B88F882" w:rsidR="00341141" w:rsidRPr="00B86946" w:rsidRDefault="00DB0ED8">
            <w:pPr>
              <w:pStyle w:val="MS"/>
              <w:widowControl w:val="0"/>
              <w:spacing w:line="273" w:lineRule="auto"/>
              <w:rPr>
                <w:rFonts w:ascii="Cambria" w:eastAsia="Malgun Gothic" w:hAnsi="Cambria"/>
                <w:sz w:val="23"/>
                <w:szCs w:val="23"/>
                <w:lang w:val="en-AU"/>
              </w:rPr>
            </w:pPr>
            <w:r w:rsidRPr="00B86946">
              <w:rPr>
                <w:rFonts w:ascii="Cambria" w:hAnsi="Cambria"/>
                <w:sz w:val="23"/>
                <w:szCs w:val="23"/>
                <w:u w:val="single"/>
                <w:lang w:val="en-AU"/>
              </w:rPr>
              <w:t>Address</w:t>
            </w:r>
            <w:r w:rsidRPr="00B86946">
              <w:rPr>
                <w:rFonts w:ascii="Cambria" w:hAnsi="Cambria"/>
                <w:sz w:val="23"/>
                <w:szCs w:val="23"/>
                <w:lang w:val="en-AU"/>
              </w:rPr>
              <w:t xml:space="preserve">: </w:t>
            </w:r>
            <w:r w:rsidR="005E0E2E" w:rsidRPr="00B86946">
              <w:rPr>
                <w:rFonts w:ascii="Cambria" w:eastAsia="Malgun Gothic" w:hAnsi="Cambria"/>
                <w:sz w:val="23"/>
                <w:szCs w:val="23"/>
                <w:lang w:val="en-AU"/>
              </w:rPr>
              <w:t>National Forestry Corporation (CONAF)</w:t>
            </w:r>
          </w:p>
          <w:p w14:paraId="6400B5BC" w14:textId="2D2D17E4" w:rsidR="00341141" w:rsidRPr="00B86946" w:rsidRDefault="005E0E2E">
            <w:pPr>
              <w:pStyle w:val="MS"/>
              <w:widowControl w:val="0"/>
              <w:spacing w:line="273" w:lineRule="auto"/>
              <w:rPr>
                <w:rFonts w:ascii="Cambria" w:hAnsi="Cambria"/>
                <w:sz w:val="23"/>
                <w:szCs w:val="23"/>
                <w:lang w:val="en-AU"/>
              </w:rPr>
            </w:pPr>
            <w:r w:rsidRPr="00B86946">
              <w:rPr>
                <w:rFonts w:ascii="Cambria" w:hAnsi="Cambria"/>
                <w:sz w:val="23"/>
                <w:szCs w:val="23"/>
                <w:lang w:val="en-AU"/>
              </w:rPr>
              <w:t xml:space="preserve">Paseo Bulnes 285, apt 501 </w:t>
            </w:r>
            <w:r w:rsidR="00DB0ED8" w:rsidRPr="00B86946">
              <w:rPr>
                <w:rFonts w:ascii="Cambria" w:hAnsi="Cambria"/>
                <w:sz w:val="23"/>
                <w:szCs w:val="23"/>
                <w:lang w:val="en-AU"/>
              </w:rPr>
              <w:t>,</w:t>
            </w:r>
            <w:r w:rsidRPr="00B86946">
              <w:rPr>
                <w:rFonts w:ascii="Cambria" w:hAnsi="Cambria"/>
                <w:sz w:val="23"/>
                <w:szCs w:val="23"/>
                <w:lang w:val="en-AU"/>
              </w:rPr>
              <w:t xml:space="preserve"> Santiago,</w:t>
            </w:r>
            <w:r w:rsidR="00DB0ED8" w:rsidRPr="00B86946">
              <w:rPr>
                <w:rFonts w:ascii="Cambria" w:hAnsi="Cambria"/>
                <w:sz w:val="23"/>
                <w:szCs w:val="23"/>
                <w:lang w:val="en-AU"/>
              </w:rPr>
              <w:t xml:space="preserve"> Chile</w:t>
            </w:r>
          </w:p>
          <w:p w14:paraId="0A48DD18" w14:textId="17FAF2C7" w:rsidR="00341141" w:rsidRPr="00B86946" w:rsidRDefault="00DB0ED8">
            <w:pPr>
              <w:pStyle w:val="MS"/>
              <w:widowControl w:val="0"/>
              <w:spacing w:line="273" w:lineRule="auto"/>
              <w:rPr>
                <w:rFonts w:ascii="Cambria" w:hAnsi="Cambria"/>
                <w:sz w:val="23"/>
                <w:szCs w:val="23"/>
                <w:lang w:val="en-AU"/>
              </w:rPr>
            </w:pPr>
            <w:r w:rsidRPr="00B86946">
              <w:rPr>
                <w:rFonts w:ascii="Cambria" w:hAnsi="Cambria"/>
                <w:sz w:val="23"/>
                <w:szCs w:val="23"/>
                <w:u w:val="single"/>
                <w:lang w:val="en-AU"/>
              </w:rPr>
              <w:t>Phone</w:t>
            </w:r>
            <w:r w:rsidRPr="00B86946">
              <w:rPr>
                <w:rFonts w:ascii="Cambria" w:hAnsi="Cambria"/>
                <w:sz w:val="23"/>
                <w:szCs w:val="23"/>
                <w:lang w:val="en-AU"/>
              </w:rPr>
              <w:t xml:space="preserve">: </w:t>
            </w:r>
            <w:r w:rsidR="000D2C7B">
              <w:rPr>
                <w:rFonts w:ascii="Cambria" w:hAnsi="Cambria"/>
                <w:sz w:val="23"/>
                <w:szCs w:val="23"/>
                <w:lang w:val="en-AU"/>
              </w:rPr>
              <w:t>+562 26630446</w:t>
            </w:r>
          </w:p>
          <w:p w14:paraId="15BF8889" w14:textId="4EC6874F" w:rsidR="005E0E2E" w:rsidRPr="00B86946" w:rsidRDefault="00DB0ED8">
            <w:pPr>
              <w:pStyle w:val="MS"/>
              <w:widowControl w:val="0"/>
              <w:spacing w:line="273" w:lineRule="auto"/>
              <w:rPr>
                <w:rFonts w:ascii="Cambria" w:hAnsi="Cambria"/>
                <w:sz w:val="23"/>
                <w:szCs w:val="23"/>
                <w:lang w:val="en-AU"/>
              </w:rPr>
            </w:pPr>
            <w:r w:rsidRPr="00B86946">
              <w:rPr>
                <w:rFonts w:ascii="Cambria" w:hAnsi="Cambria"/>
                <w:sz w:val="23"/>
                <w:szCs w:val="23"/>
                <w:u w:val="single"/>
                <w:lang w:val="en-AU"/>
              </w:rPr>
              <w:t>Web</w:t>
            </w:r>
            <w:r w:rsidRPr="00B86946">
              <w:rPr>
                <w:rFonts w:ascii="Cambria" w:hAnsi="Cambria"/>
                <w:sz w:val="23"/>
                <w:szCs w:val="23"/>
                <w:lang w:val="en-AU"/>
              </w:rPr>
              <w:t xml:space="preserve">: </w:t>
            </w:r>
            <w:hyperlink r:id="rId23" w:history="1">
              <w:r w:rsidR="005E0E2E" w:rsidRPr="00B86946">
                <w:rPr>
                  <w:rStyle w:val="Hyperlink"/>
                  <w:rFonts w:ascii="Cambria" w:hAnsi="Cambria"/>
                  <w:sz w:val="23"/>
                  <w:szCs w:val="23"/>
                  <w:lang w:val="en-AU"/>
                </w:rPr>
                <w:t>www.conaf.cl</w:t>
              </w:r>
            </w:hyperlink>
          </w:p>
          <w:p w14:paraId="79430A52" w14:textId="46E7C052" w:rsidR="00341141" w:rsidRPr="00B86946" w:rsidRDefault="00DB0ED8" w:rsidP="005E0E2E">
            <w:pPr>
              <w:pStyle w:val="MS"/>
              <w:widowControl w:val="0"/>
              <w:spacing w:line="273" w:lineRule="auto"/>
              <w:rPr>
                <w:rFonts w:ascii="Cambria" w:hAnsi="Cambria"/>
                <w:color w:val="0000FF"/>
                <w:sz w:val="23"/>
                <w:szCs w:val="23"/>
              </w:rPr>
            </w:pPr>
            <w:r w:rsidRPr="00B86946">
              <w:rPr>
                <w:rFonts w:ascii="Cambria" w:hAnsi="Cambria"/>
                <w:sz w:val="23"/>
                <w:szCs w:val="23"/>
                <w:u w:val="single"/>
                <w:lang w:val="en-AU"/>
              </w:rPr>
              <w:t>Email</w:t>
            </w:r>
            <w:r w:rsidR="005E0E2E" w:rsidRPr="00B86946">
              <w:rPr>
                <w:rFonts w:ascii="Cambria" w:hAnsi="Cambria"/>
                <w:sz w:val="23"/>
                <w:szCs w:val="23"/>
                <w:lang w:val="en-AU"/>
              </w:rPr>
              <w:t>:</w:t>
            </w:r>
            <w:r w:rsidR="00B86946">
              <w:rPr>
                <w:rFonts w:ascii="Cambria" w:hAnsi="Cambria"/>
                <w:sz w:val="23"/>
                <w:szCs w:val="23"/>
                <w:lang w:val="en-AU"/>
              </w:rPr>
              <w:t xml:space="preserve"> </w:t>
            </w:r>
            <w:r w:rsidR="005E0E2E" w:rsidRPr="00B86946">
              <w:rPr>
                <w:rFonts w:ascii="Cambria" w:hAnsi="Cambria"/>
                <w:color w:val="0000FF"/>
                <w:sz w:val="23"/>
                <w:szCs w:val="23"/>
                <w:lang w:val="en-AU"/>
              </w:rPr>
              <w:t>fiscalizacion.forestal@conaf.cl</w:t>
            </w:r>
          </w:p>
          <w:p w14:paraId="1CB1F052" w14:textId="726DCC49" w:rsidR="005E0E2E" w:rsidRPr="00B86946" w:rsidRDefault="005E0E2E" w:rsidP="005E0E2E">
            <w:pPr>
              <w:pStyle w:val="MS"/>
              <w:widowControl w:val="0"/>
              <w:spacing w:line="273" w:lineRule="auto"/>
              <w:rPr>
                <w:rFonts w:ascii="Cambria" w:hAnsi="Cambria"/>
                <w:sz w:val="23"/>
                <w:szCs w:val="23"/>
                <w:lang w:val="en-AU"/>
              </w:rPr>
            </w:pPr>
          </w:p>
        </w:tc>
      </w:tr>
    </w:tbl>
    <w:p w14:paraId="21D47664" w14:textId="77777777" w:rsidR="00341141" w:rsidRDefault="00341141"/>
    <w:p w14:paraId="6ECE97FE" w14:textId="77777777" w:rsidR="00341141" w:rsidRDefault="00DB0ED8">
      <w:pPr>
        <w:rPr>
          <w:b/>
          <w:sz w:val="32"/>
          <w:szCs w:val="32"/>
        </w:rPr>
      </w:pPr>
      <w:r>
        <w:rPr>
          <w:b/>
          <w:sz w:val="32"/>
          <w:szCs w:val="32"/>
        </w:rPr>
        <w:t>Disclaimer</w:t>
      </w:r>
    </w:p>
    <w:p w14:paraId="06A9D7EC" w14:textId="72FD6919" w:rsidR="00341141" w:rsidRDefault="00DB0ED8">
      <w:pPr>
        <w:ind w:right="-113"/>
        <w:rPr>
          <w:rFonts w:eastAsia="SimSun"/>
          <w:lang w:eastAsia="zh-CN"/>
        </w:rPr>
      </w:pPr>
      <w:r>
        <w:rPr>
          <w:rFonts w:eastAsia="SimSun"/>
          <w:lang w:eastAsia="zh-CN"/>
        </w:rPr>
        <w:t xml:space="preserve">While reasonable efforts have been made to ensure that the contents of this guideline and the associated quick reference guide are factually correct, the Commonwealth of Australia and </w:t>
      </w:r>
      <w:r w:rsidR="00221F7E">
        <w:rPr>
          <w:rFonts w:eastAsia="SimSun"/>
          <w:lang w:eastAsia="zh-CN"/>
        </w:rPr>
        <w:t xml:space="preserve">the Government of </w:t>
      </w:r>
      <w:r>
        <w:rPr>
          <w:rFonts w:eastAsia="SimSun"/>
          <w:lang w:eastAsia="zh-CN"/>
        </w:rPr>
        <w:t>Chile does not accept responsibility for the accuracy or completeness of the contents and expressly disclaims liability for any loss or damage, however caused, that may be occasioned directly or indirectly through the use of, or reliance on, the contents of this guideline or associated quick reference guide.</w:t>
      </w:r>
    </w:p>
    <w:p w14:paraId="3CCD3AE6" w14:textId="7EB5E7F4" w:rsidR="00341141" w:rsidRDefault="00DB0ED8">
      <w:pPr>
        <w:ind w:right="-113"/>
        <w:rPr>
          <w:rFonts w:eastAsia="SimSun"/>
          <w:lang w:eastAsia="zh-CN"/>
        </w:rPr>
      </w:pPr>
      <w:r>
        <w:rPr>
          <w:rFonts w:eastAsia="SimSun"/>
          <w:lang w:eastAsia="zh-CN"/>
        </w:rPr>
        <w:t xml:space="preserve">This guideline and its associated quick reference guide is made available on the understanding that the Commonwealth of Australia and </w:t>
      </w:r>
      <w:r w:rsidR="00221F7E">
        <w:rPr>
          <w:rFonts w:eastAsia="SimSun"/>
          <w:lang w:eastAsia="zh-CN"/>
        </w:rPr>
        <w:t xml:space="preserve">the Government of </w:t>
      </w:r>
      <w:r>
        <w:rPr>
          <w:rFonts w:eastAsia="SimSun"/>
          <w:lang w:eastAsia="zh-CN"/>
        </w:rPr>
        <w:t>Chile is not providing professional advice. Before relying on this guideline or its associated quick reference guide, readers should obtain appropriate professional advice suitable to their particular circumstances.</w:t>
      </w:r>
    </w:p>
    <w:p w14:paraId="28594BF1" w14:textId="653B227B" w:rsidR="00341141" w:rsidRDefault="00DB0ED8">
      <w:pPr>
        <w:ind w:right="-113"/>
      </w:pPr>
      <w:r>
        <w:rPr>
          <w:rFonts w:eastAsia="SimSun"/>
          <w:lang w:eastAsia="zh-CN"/>
        </w:rPr>
        <w:t>Readers should also confirm that this is the most up-to-date available guideline by referring to the Department of Agriculture</w:t>
      </w:r>
      <w:r w:rsidR="00E05DED">
        <w:rPr>
          <w:rFonts w:eastAsia="SimSun"/>
          <w:lang w:eastAsia="zh-CN"/>
        </w:rPr>
        <w:t>, Water and the Environment’s</w:t>
      </w:r>
      <w:r>
        <w:rPr>
          <w:rFonts w:eastAsia="SimSun"/>
          <w:lang w:eastAsia="zh-CN"/>
        </w:rPr>
        <w:t xml:space="preserve"> website.</w:t>
      </w:r>
    </w:p>
    <w:p w14:paraId="04C333D9" w14:textId="77777777" w:rsidR="00341141" w:rsidRDefault="00DB0ED8">
      <w:pPr>
        <w:spacing w:before="0"/>
        <w:rPr>
          <w:lang w:eastAsia="ja-JP"/>
        </w:rPr>
      </w:pPr>
      <w:r>
        <w:rPr>
          <w:lang w:eastAsia="ja-JP"/>
        </w:rPr>
        <w:br w:type="page"/>
      </w:r>
    </w:p>
    <w:p w14:paraId="4FA8B065" w14:textId="77777777" w:rsidR="00341141" w:rsidRDefault="00DB0ED8">
      <w:pPr>
        <w:pStyle w:val="AppendixHeading2"/>
      </w:pPr>
      <w:bookmarkStart w:id="17" w:name="_Toc10811639"/>
      <w:r>
        <w:lastRenderedPageBreak/>
        <w:t>Annex 1: Native Forest Products Transit Chart</w:t>
      </w:r>
      <w:bookmarkEnd w:id="17"/>
    </w:p>
    <w:p w14:paraId="1584051C" w14:textId="77777777" w:rsidR="00341141" w:rsidRDefault="00DB0ED8">
      <w:pPr>
        <w:spacing w:before="0"/>
        <w:rPr>
          <w:lang w:eastAsia="ja-JP"/>
        </w:rPr>
      </w:pPr>
      <w:r>
        <w:rPr>
          <w:noProof/>
          <w:lang w:eastAsia="en-AU"/>
        </w:rPr>
        <w:drawing>
          <wp:inline distT="0" distB="0" distL="0" distR="0" wp14:anchorId="37AF8D45" wp14:editId="00B6D301">
            <wp:extent cx="5943600" cy="4283075"/>
            <wp:effectExtent l="0" t="0" r="0" b="3175"/>
            <wp:docPr id="7" name="Picture 7" descr="A flow chart showing the transport steps for Native Forest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Forestry\ILLEGAL LOGGING\2. Stakeholder Management\15. Country and State Specific Guidance\CSGs\CSGs - Under Negotiation\Chile\Second Draft - Chile\Native product transit char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3600" cy="4283240"/>
                    </a:xfrm>
                    <a:prstGeom prst="rect">
                      <a:avLst/>
                    </a:prstGeom>
                    <a:noFill/>
                    <a:ln>
                      <a:noFill/>
                    </a:ln>
                  </pic:spPr>
                </pic:pic>
              </a:graphicData>
            </a:graphic>
          </wp:inline>
        </w:drawing>
      </w:r>
    </w:p>
    <w:p w14:paraId="04C4C4AA" w14:textId="77777777" w:rsidR="00341141" w:rsidRDefault="00DB0ED8">
      <w:pPr>
        <w:rPr>
          <w:lang w:eastAsia="ja-JP"/>
        </w:rPr>
      </w:pPr>
      <w:r>
        <w:rPr>
          <w:lang w:eastAsia="ja-JP"/>
        </w:rPr>
        <w:t>The chart describes the full process of transport or transit for Native Forest products with their respective control mechanisms, such as the Technical Analysis (or Management Plan), stock verification, Free Transit Forms (referred to as GLT in diagram), and checkpoints.</w:t>
      </w:r>
    </w:p>
    <w:p w14:paraId="0BB957CC" w14:textId="77777777" w:rsidR="00341141" w:rsidRDefault="00DB0ED8">
      <w:pPr>
        <w:spacing w:before="0"/>
        <w:rPr>
          <w:rFonts w:asciiTheme="minorHAnsi" w:eastAsia="Times New Roman" w:hAnsiTheme="minorHAnsi"/>
          <w:b/>
          <w:bCs/>
          <w:sz w:val="32"/>
          <w:szCs w:val="24"/>
          <w:lang w:eastAsia="ja-JP"/>
        </w:rPr>
      </w:pPr>
      <w:r>
        <w:rPr>
          <w:lang w:eastAsia="ja-JP"/>
        </w:rPr>
        <w:br w:type="page"/>
      </w:r>
    </w:p>
    <w:p w14:paraId="6069DCC3" w14:textId="77777777" w:rsidR="00341141" w:rsidRPr="000D516A" w:rsidRDefault="00DB0ED8">
      <w:pPr>
        <w:pStyle w:val="AppendixHeading2"/>
        <w:rPr>
          <w:color w:val="FF0000"/>
          <w:lang w:val="es-CL"/>
        </w:rPr>
      </w:pPr>
      <w:bookmarkStart w:id="18" w:name="_Toc10811640"/>
      <w:r w:rsidRPr="000D516A">
        <w:rPr>
          <w:lang w:val="es-CL"/>
        </w:rPr>
        <w:lastRenderedPageBreak/>
        <w:t xml:space="preserve">Annex 2: </w:t>
      </w:r>
      <w:r w:rsidRPr="000D516A">
        <w:rPr>
          <w:color w:val="000000" w:themeColor="text1"/>
          <w:lang w:val="es-CL"/>
        </w:rPr>
        <w:t xml:space="preserve">Single Export Document - </w:t>
      </w:r>
      <w:r w:rsidRPr="000D516A">
        <w:rPr>
          <w:i/>
          <w:lang w:val="es-CL"/>
        </w:rPr>
        <w:t>Documento Único de Salida – Aceptación a Trámite- DUS–AT (Sample)</w:t>
      </w:r>
      <w:bookmarkEnd w:id="18"/>
    </w:p>
    <w:p w14:paraId="584712C2" w14:textId="77777777" w:rsidR="00341141" w:rsidRDefault="00DB0ED8">
      <w:pPr>
        <w:pStyle w:val="AppendixHeading2"/>
        <w:jc w:val="center"/>
        <w:rPr>
          <w:b w:val="0"/>
          <w:bCs/>
        </w:rPr>
      </w:pPr>
      <w:bookmarkStart w:id="19" w:name="_Toc10811641"/>
      <w:r>
        <w:rPr>
          <w:b w:val="0"/>
          <w:bCs/>
          <w:noProof/>
          <w:lang w:eastAsia="en-AU"/>
        </w:rPr>
        <w:drawing>
          <wp:inline distT="0" distB="0" distL="0" distR="0" wp14:anchorId="68FB8E5A" wp14:editId="278F83A7">
            <wp:extent cx="4970780" cy="7501890"/>
            <wp:effectExtent l="0" t="0" r="1270" b="3810"/>
            <wp:docPr id="3" name="Imagen 3" descr="Image shows a scan of a blank Chile Government expor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974971" cy="7508522"/>
                    </a:xfrm>
                    <a:prstGeom prst="rect">
                      <a:avLst/>
                    </a:prstGeom>
                    <a:noFill/>
                    <a:ln>
                      <a:noFill/>
                    </a:ln>
                  </pic:spPr>
                </pic:pic>
              </a:graphicData>
            </a:graphic>
          </wp:inline>
        </w:drawing>
      </w:r>
      <w:bookmarkEnd w:id="19"/>
    </w:p>
    <w:p w14:paraId="39A78839" w14:textId="77777777" w:rsidR="00341141" w:rsidRDefault="00DB0ED8">
      <w:pPr>
        <w:pStyle w:val="AppendixHeading2"/>
        <w:rPr>
          <w:color w:val="000000" w:themeColor="text1"/>
        </w:rPr>
      </w:pPr>
      <w:bookmarkStart w:id="20" w:name="_Toc10811642"/>
      <w:r>
        <w:rPr>
          <w:color w:val="000000" w:themeColor="text1"/>
        </w:rPr>
        <w:lastRenderedPageBreak/>
        <w:t>Annex 3: Free Transit Guide</w:t>
      </w:r>
      <w:r>
        <w:rPr>
          <w:i/>
        </w:rPr>
        <w:t xml:space="preserve"> </w:t>
      </w:r>
      <w:r>
        <w:t xml:space="preserve">- </w:t>
      </w:r>
      <w:r>
        <w:rPr>
          <w:i/>
        </w:rPr>
        <w:t>guías de libre tránsito (Sample)</w:t>
      </w:r>
      <w:bookmarkEnd w:id="20"/>
    </w:p>
    <w:p w14:paraId="6B21D430" w14:textId="77777777" w:rsidR="00341141" w:rsidRDefault="00DB0ED8">
      <w:pPr>
        <w:pStyle w:val="AppendixHeading2"/>
        <w:jc w:val="center"/>
        <w:rPr>
          <w:color w:val="FF0000"/>
        </w:rPr>
      </w:pPr>
      <w:bookmarkStart w:id="21" w:name="_Toc10811643"/>
      <w:bookmarkStart w:id="22" w:name="_GoBack"/>
      <w:r>
        <w:rPr>
          <w:noProof/>
          <w:color w:val="FF0000"/>
          <w:lang w:eastAsia="en-AU"/>
        </w:rPr>
        <w:drawing>
          <wp:inline distT="0" distB="0" distL="0" distR="0" wp14:anchorId="74648EB7" wp14:editId="228179B8">
            <wp:extent cx="5982335" cy="7725410"/>
            <wp:effectExtent l="0" t="0" r="0" b="8890"/>
            <wp:docPr id="8" name="Imagen 8" descr="Image shows a scan of a blank Chile free transit guid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93434" cy="7740092"/>
                    </a:xfrm>
                    <a:prstGeom prst="rect">
                      <a:avLst/>
                    </a:prstGeom>
                    <a:noFill/>
                    <a:ln>
                      <a:noFill/>
                    </a:ln>
                  </pic:spPr>
                </pic:pic>
              </a:graphicData>
            </a:graphic>
          </wp:inline>
        </w:drawing>
      </w:r>
      <w:bookmarkEnd w:id="21"/>
      <w:bookmarkEnd w:id="22"/>
    </w:p>
    <w:sectPr w:rsidR="00341141">
      <w:footerReference w:type="default" r:id="rId27"/>
      <w:headerReference w:type="firs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A8626" w14:textId="77777777" w:rsidR="00167C0B" w:rsidRDefault="00167C0B">
      <w:pPr>
        <w:spacing w:before="0" w:after="0" w:line="240" w:lineRule="auto"/>
      </w:pPr>
      <w:r>
        <w:separator/>
      </w:r>
    </w:p>
  </w:endnote>
  <w:endnote w:type="continuationSeparator" w:id="0">
    <w:p w14:paraId="49113679" w14:textId="77777777" w:rsidR="00167C0B" w:rsidRDefault="00167C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262646"/>
    </w:sdtPr>
    <w:sdtEndPr/>
    <w:sdtContent>
      <w:p w14:paraId="0B815C47" w14:textId="77777777" w:rsidR="00167C0B" w:rsidRDefault="00167C0B">
        <w:pPr>
          <w:pStyle w:val="Footer"/>
          <w:jc w:val="center"/>
        </w:pPr>
        <w:r>
          <w:fldChar w:fldCharType="begin"/>
        </w:r>
        <w:r>
          <w:instrText xml:space="preserve"> PAGE   \* MERGEFORMAT </w:instrText>
        </w:r>
        <w:r>
          <w:fldChar w:fldCharType="separate"/>
        </w:r>
        <w:r w:rsidR="00A05119">
          <w:rPr>
            <w:noProof/>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E6044" w14:textId="77777777" w:rsidR="00167C0B" w:rsidRDefault="00167C0B">
      <w:pPr>
        <w:spacing w:before="0" w:after="0" w:line="240" w:lineRule="auto"/>
      </w:pPr>
      <w:r>
        <w:separator/>
      </w:r>
    </w:p>
  </w:footnote>
  <w:footnote w:type="continuationSeparator" w:id="0">
    <w:p w14:paraId="398BB2B4" w14:textId="77777777" w:rsidR="00167C0B" w:rsidRDefault="00167C0B">
      <w:pPr>
        <w:spacing w:before="0" w:after="0" w:line="240" w:lineRule="auto"/>
      </w:pPr>
      <w:r>
        <w:continuationSeparator/>
      </w:r>
    </w:p>
  </w:footnote>
  <w:footnote w:id="1">
    <w:p w14:paraId="478522ED" w14:textId="77777777" w:rsidR="00167C0B" w:rsidRDefault="00167C0B">
      <w:pPr>
        <w:pStyle w:val="FootnoteText"/>
        <w:spacing w:after="0"/>
      </w:pPr>
      <w:r>
        <w:rPr>
          <w:rStyle w:val="FootnoteReference"/>
        </w:rPr>
        <w:footnoteRef/>
      </w:r>
      <w:r>
        <w:t xml:space="preserve"> CONAF, 201</w:t>
      </w:r>
      <w:r>
        <w:rPr>
          <w:lang w:val="en-US"/>
        </w:rPr>
        <w:t>8</w:t>
      </w:r>
      <w:r>
        <w:t>. Native Vegetation Resources Cadastre, J</w:t>
      </w:r>
      <w:r>
        <w:rPr>
          <w:lang w:val="en-US"/>
        </w:rPr>
        <w:t>uly</w:t>
      </w:r>
      <w:r>
        <w:t xml:space="preserve"> 201</w:t>
      </w:r>
      <w:r>
        <w:rPr>
          <w:lang w:val="en-US"/>
        </w:rPr>
        <w:t>8</w:t>
      </w:r>
      <w:r>
        <w:t xml:space="preserve"> update.</w:t>
      </w:r>
    </w:p>
  </w:footnote>
  <w:footnote w:id="2">
    <w:p w14:paraId="22A05FC0" w14:textId="77777777" w:rsidR="00167C0B" w:rsidRDefault="00167C0B" w:rsidP="008F536D">
      <w:pPr>
        <w:pStyle w:val="FootnoteText"/>
        <w:spacing w:after="0"/>
      </w:pPr>
      <w:r>
        <w:rPr>
          <w:rStyle w:val="FootnoteReference"/>
        </w:rPr>
        <w:footnoteRef/>
      </w:r>
      <w:r>
        <w:t xml:space="preserve"> </w:t>
      </w:r>
      <w:r>
        <w:rPr>
          <w:lang w:eastAsia="ja-JP"/>
        </w:rPr>
        <w:t>Law No. 20.283 of 2008</w:t>
      </w:r>
    </w:p>
  </w:footnote>
  <w:footnote w:id="3">
    <w:p w14:paraId="7D8605D0" w14:textId="77777777" w:rsidR="00167C0B" w:rsidRDefault="00167C0B" w:rsidP="008F536D">
      <w:pPr>
        <w:pStyle w:val="FootnoteText"/>
        <w:spacing w:after="0"/>
      </w:pPr>
      <w:r>
        <w:rPr>
          <w:rStyle w:val="FootnoteReference"/>
        </w:rPr>
        <w:footnoteRef/>
      </w:r>
      <w:r>
        <w:t xml:space="preserve"> </w:t>
      </w:r>
      <w:r>
        <w:rPr>
          <w:lang w:eastAsia="ja-JP"/>
        </w:rPr>
        <w:t>Supreme Decree No. 68 of 2009 of the Ministry of Agriculture</w:t>
      </w:r>
    </w:p>
  </w:footnote>
  <w:footnote w:id="4">
    <w:p w14:paraId="2A59F8A3" w14:textId="42F41CD6" w:rsidR="00167C0B" w:rsidRDefault="00167C0B">
      <w:pPr>
        <w:pStyle w:val="FootnoteText"/>
        <w:spacing w:after="0"/>
      </w:pPr>
      <w:r>
        <w:rPr>
          <w:rStyle w:val="FootnoteReference"/>
        </w:rPr>
        <w:footnoteRef/>
      </w:r>
      <w:r>
        <w:t xml:space="preserve"> </w:t>
      </w:r>
      <w:r>
        <w:rPr>
          <w:lang w:eastAsia="ja-JP"/>
        </w:rPr>
        <w:t>INFOR-Instituto Forestal Chile 2015</w:t>
      </w:r>
    </w:p>
  </w:footnote>
  <w:footnote w:id="5">
    <w:p w14:paraId="7918153A" w14:textId="77777777" w:rsidR="00167C0B" w:rsidRDefault="00167C0B">
      <w:pPr>
        <w:pStyle w:val="FootnoteText"/>
        <w:spacing w:after="0"/>
      </w:pPr>
      <w:r>
        <w:rPr>
          <w:rStyle w:val="FootnoteReference"/>
        </w:rPr>
        <w:footnoteRef/>
      </w:r>
      <w:r>
        <w:t xml:space="preserve"> </w:t>
      </w:r>
      <w:r>
        <w:rPr>
          <w:lang w:eastAsia="ja-JP"/>
        </w:rPr>
        <w:t>INFOR Forest Statistics</w:t>
      </w:r>
    </w:p>
  </w:footnote>
  <w:footnote w:id="6">
    <w:p w14:paraId="2BF34ADB" w14:textId="77777777" w:rsidR="00167C0B" w:rsidRDefault="00167C0B">
      <w:pPr>
        <w:pStyle w:val="FootnoteText"/>
        <w:spacing w:after="0"/>
      </w:pPr>
      <w:r>
        <w:rPr>
          <w:rStyle w:val="FootnoteReference"/>
        </w:rPr>
        <w:footnoteRef/>
      </w:r>
      <w:r>
        <w:t xml:space="preserve"> Law No. </w:t>
      </w:r>
      <w:r>
        <w:rPr>
          <w:lang w:eastAsia="ja-JP"/>
        </w:rPr>
        <w:t>18.362 of 1984</w:t>
      </w:r>
    </w:p>
  </w:footnote>
  <w:footnote w:id="7">
    <w:p w14:paraId="2F8B85E8" w14:textId="77777777" w:rsidR="00167C0B" w:rsidRDefault="00167C0B">
      <w:pPr>
        <w:pStyle w:val="FootnoteText"/>
      </w:pPr>
      <w:r>
        <w:rPr>
          <w:rStyle w:val="FootnoteReference"/>
        </w:rPr>
        <w:footnoteRef/>
      </w:r>
      <w:r>
        <w:t xml:space="preserve"> Law No. 19.253 establishes in its Articles 13 et seq.</w:t>
      </w:r>
    </w:p>
  </w:footnote>
  <w:footnote w:id="8">
    <w:p w14:paraId="169CE0A9" w14:textId="77777777" w:rsidR="00167C0B" w:rsidRDefault="00167C0B">
      <w:pPr>
        <w:pStyle w:val="FootnoteText"/>
      </w:pPr>
      <w:r>
        <w:rPr>
          <w:rStyle w:val="FootnoteReference"/>
        </w:rPr>
        <w:footnoteRef/>
      </w:r>
      <w:r>
        <w:t xml:space="preserve"> Supreme Decree No. 490 of 1976 and No. 43 of 1990 respectively</w:t>
      </w:r>
    </w:p>
  </w:footnote>
  <w:footnote w:id="9">
    <w:p w14:paraId="2ABB206C" w14:textId="6CD6C6E4" w:rsidR="00167C0B" w:rsidRDefault="00167C0B" w:rsidP="00617E39">
      <w:pPr>
        <w:pStyle w:val="FootnoteText"/>
      </w:pPr>
      <w:r>
        <w:rPr>
          <w:rStyle w:val="FootnoteReference"/>
        </w:rPr>
        <w:footnoteRef/>
      </w:r>
      <w:r>
        <w:t xml:space="preserve"> Does not include</w:t>
      </w:r>
      <w:r w:rsidRPr="00617E39">
        <w:rPr>
          <w:lang w:eastAsia="ja-JP"/>
        </w:rPr>
        <w:t xml:space="preserve"> </w:t>
      </w:r>
      <w:r>
        <w:rPr>
          <w:lang w:eastAsia="ja-JP"/>
        </w:rPr>
        <w:t>plantations established on land not preferentially suited to forestry eg agricultural land</w:t>
      </w:r>
      <w:r>
        <w:t>.</w:t>
      </w:r>
    </w:p>
  </w:footnote>
  <w:footnote w:id="10">
    <w:p w14:paraId="1B6382E5" w14:textId="77777777" w:rsidR="00167C0B" w:rsidRDefault="00167C0B">
      <w:pPr>
        <w:pStyle w:val="FootnoteText"/>
      </w:pPr>
      <w:r>
        <w:rPr>
          <w:rStyle w:val="FootnoteReference"/>
        </w:rPr>
        <w:footnoteRef/>
      </w:r>
      <w:r>
        <w:t xml:space="preserve"> Land preferentially suitable for forestry is </w:t>
      </w:r>
      <w:r>
        <w:rPr>
          <w:lang w:eastAsia="ja-JP"/>
        </w:rPr>
        <w:t>defined in Decree Law No. 701 of 1974.</w:t>
      </w:r>
    </w:p>
  </w:footnote>
  <w:footnote w:id="11">
    <w:p w14:paraId="53A15A51" w14:textId="77777777" w:rsidR="00167C0B" w:rsidRDefault="00167C0B">
      <w:pPr>
        <w:pStyle w:val="FootnoteText"/>
        <w:spacing w:after="0"/>
      </w:pPr>
      <w:r>
        <w:rPr>
          <w:rStyle w:val="FootnoteReference"/>
        </w:rPr>
        <w:footnoteRef/>
      </w:r>
      <w:r>
        <w:t xml:space="preserve"> </w:t>
      </w:r>
      <w:r>
        <w:rPr>
          <w:lang w:eastAsia="ja-JP"/>
        </w:rPr>
        <w:t xml:space="preserve">Decree 4.363/1931 </w:t>
      </w:r>
    </w:p>
  </w:footnote>
  <w:footnote w:id="12">
    <w:p w14:paraId="7012A812" w14:textId="77777777" w:rsidR="00167C0B" w:rsidRDefault="00167C0B">
      <w:pPr>
        <w:pStyle w:val="FootnoteText"/>
        <w:spacing w:after="0"/>
      </w:pPr>
      <w:r>
        <w:rPr>
          <w:rStyle w:val="FootnoteReference"/>
        </w:rPr>
        <w:footnoteRef/>
      </w:r>
      <w:r>
        <w:t xml:space="preserve"> </w:t>
      </w:r>
      <w:r>
        <w:rPr>
          <w:lang w:eastAsia="ja-JP"/>
        </w:rPr>
        <w:t>Article 32 et. seq., Decree 93 / 2008 and Article 58 from the General Regulations of Law No 20.283.</w:t>
      </w:r>
    </w:p>
  </w:footnote>
  <w:footnote w:id="13">
    <w:p w14:paraId="16C6A1CB" w14:textId="77777777" w:rsidR="00167C0B" w:rsidRDefault="00167C0B">
      <w:pPr>
        <w:pStyle w:val="FootnoteText"/>
        <w:spacing w:after="0"/>
        <w:rPr>
          <w:rStyle w:val="FootnoteReference"/>
          <w:vertAlign w:val="baseline"/>
        </w:rPr>
      </w:pPr>
      <w:r>
        <w:rPr>
          <w:rStyle w:val="FootnoteReference"/>
        </w:rPr>
        <w:footnoteRef/>
      </w:r>
      <w:r>
        <w:rPr>
          <w:rStyle w:val="FootnoteReference"/>
          <w:vertAlign w:val="baseline"/>
        </w:rPr>
        <w:t xml:space="preserve"> Resolution No. 1300 of 2006 from the National Customs Service</w:t>
      </w:r>
    </w:p>
  </w:footnote>
  <w:footnote w:id="14">
    <w:p w14:paraId="5D39A7E9" w14:textId="77777777" w:rsidR="00167C0B" w:rsidRDefault="00167C0B">
      <w:pPr>
        <w:pStyle w:val="FootnoteText"/>
        <w:spacing w:after="0"/>
        <w:rPr>
          <w:rStyle w:val="FootnoteReference"/>
          <w:vertAlign w:val="baseline"/>
        </w:rPr>
      </w:pPr>
      <w:r>
        <w:rPr>
          <w:rStyle w:val="FootnoteReference"/>
        </w:rPr>
        <w:footnoteRef/>
      </w:r>
      <w:r>
        <w:rPr>
          <w:rStyle w:val="FootnoteReference"/>
          <w:vertAlign w:val="baseline"/>
        </w:rPr>
        <w:t xml:space="preserve"> Articles No. 32 of Supreme Decree No. 93/2008 and No. 58 of Law No. 20.283</w:t>
      </w:r>
    </w:p>
  </w:footnote>
  <w:footnote w:id="15">
    <w:p w14:paraId="07EB7435" w14:textId="77777777" w:rsidR="00167C0B" w:rsidRDefault="00167C0B">
      <w:pPr>
        <w:pStyle w:val="FootnoteText"/>
        <w:keepLines/>
        <w:spacing w:after="0"/>
        <w:rPr>
          <w:rFonts w:cs="Calibri"/>
        </w:rPr>
      </w:pPr>
      <w:r>
        <w:rPr>
          <w:rStyle w:val="FootnoteReference"/>
        </w:rPr>
        <w:footnoteRef/>
      </w:r>
      <w:r>
        <w:rPr>
          <w:rStyle w:val="FootnoteReference"/>
          <w:vertAlign w:val="baseline"/>
        </w:rPr>
        <w:t xml:space="preserve"> Such as the name of the shipping agent or exporter, address, municipality, customs post, port of loading, type of cargo, means of transport, code of the region of origin, port of unloading, country of destination, name of the transport company, name of the issuer, name of the ship, number of the voyage, authorizations, </w:t>
      </w:r>
      <w:r>
        <w:t xml:space="preserve">goods </w:t>
      </w:r>
      <w:r>
        <w:rPr>
          <w:rStyle w:val="FootnoteReference"/>
          <w:vertAlign w:val="baseline"/>
        </w:rPr>
        <w:t xml:space="preserve">volume, F.O.B. value, tariff code, product description, gross weight, type and quantity of containers, </w:t>
      </w:r>
      <w:r>
        <w:rPr>
          <w:rStyle w:val="FootnoteReference"/>
          <w:i/>
          <w:vertAlign w:val="baseline"/>
        </w:rPr>
        <w:t>inter alia</w:t>
      </w:r>
      <w:r>
        <w:rPr>
          <w:rStyle w:val="FootnoteReference"/>
          <w:vertAlign w:val="baseline"/>
        </w:rPr>
        <w:t>)</w:t>
      </w:r>
    </w:p>
  </w:footnote>
  <w:footnote w:id="16">
    <w:p w14:paraId="6ED5D192" w14:textId="77777777" w:rsidR="00167C0B" w:rsidRDefault="00167C0B">
      <w:pPr>
        <w:pStyle w:val="FootnoteText"/>
        <w:spacing w:after="0"/>
      </w:pPr>
      <w:r>
        <w:rPr>
          <w:rStyle w:val="FootnoteReference"/>
        </w:rPr>
        <w:footnoteRef/>
      </w:r>
      <w:r>
        <w:t xml:space="preserve"> </w:t>
      </w:r>
      <w:r>
        <w:rPr>
          <w:lang w:eastAsia="ja-JP"/>
        </w:rPr>
        <w:t>Resolution No. 1300 of 2006 from the National Customs Service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B938" w14:textId="12AD8297" w:rsidR="00167C0B" w:rsidRDefault="00167C0B">
    <w:pPr>
      <w:pStyle w:val="Header"/>
      <w:rPr>
        <w:sz w:val="22"/>
      </w:rPr>
    </w:pPr>
    <w:r>
      <w:rPr>
        <w:noProof/>
      </w:rPr>
      <w:drawing>
        <wp:anchor distT="0" distB="0" distL="114300" distR="114300" simplePos="0" relativeHeight="251658240" behindDoc="1" locked="0" layoutInCell="1" allowOverlap="1" wp14:anchorId="0858C23D" wp14:editId="2B4D5658">
          <wp:simplePos x="0" y="0"/>
          <wp:positionH relativeFrom="column">
            <wp:posOffset>3269970</wp:posOffset>
          </wp:positionH>
          <wp:positionV relativeFrom="paragraph">
            <wp:posOffset>1905</wp:posOffset>
          </wp:positionV>
          <wp:extent cx="3189600" cy="939600"/>
          <wp:effectExtent l="0" t="0" r="0" b="0"/>
          <wp:wrapTight wrapText="bothSides">
            <wp:wrapPolygon edited="0">
              <wp:start x="0" y="0"/>
              <wp:lineTo x="0" y="21030"/>
              <wp:lineTo x="21419" y="21030"/>
              <wp:lineTo x="2141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89600" cy="939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E05DED">
      <w:rPr>
        <w:noProof/>
      </w:rPr>
      <w:drawing>
        <wp:inline distT="0" distB="0" distL="0" distR="0" wp14:anchorId="25778BA3" wp14:editId="7634A934">
          <wp:extent cx="2849952" cy="855345"/>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WE_Inline_BLACK-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66371" cy="860273"/>
                  </a:xfrm>
                  <a:prstGeom prst="rect">
                    <a:avLst/>
                  </a:prstGeom>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FFFFF81"/>
    <w:lvl w:ilvl="0">
      <w:start w:val="1"/>
      <w:numFmt w:val="bullet"/>
      <w:pStyle w:val="ListBullet4"/>
      <w:lvlText w:val=""/>
      <w:lvlJc w:val="left"/>
      <w:pPr>
        <w:tabs>
          <w:tab w:val="left" w:pos="1209"/>
        </w:tabs>
        <w:ind w:left="1209" w:hanging="360"/>
      </w:pPr>
      <w:rPr>
        <w:rFonts w:ascii="Symbol" w:hAnsi="Symbol" w:hint="default"/>
      </w:rPr>
    </w:lvl>
  </w:abstractNum>
  <w:abstractNum w:abstractNumId="1" w15:restartNumberingAfterBreak="0">
    <w:nsid w:val="0EAF781E"/>
    <w:multiLevelType w:val="multilevel"/>
    <w:tmpl w:val="0EAF78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F0C67CF"/>
    <w:multiLevelType w:val="multilevel"/>
    <w:tmpl w:val="0F0C67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444F6E"/>
    <w:multiLevelType w:val="multilevel"/>
    <w:tmpl w:val="0F444F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96B606F"/>
    <w:multiLevelType w:val="multilevel"/>
    <w:tmpl w:val="196B606F"/>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A684E26"/>
    <w:multiLevelType w:val="multilevel"/>
    <w:tmpl w:val="1A684E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B973303"/>
    <w:multiLevelType w:val="multilevel"/>
    <w:tmpl w:val="1B973303"/>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913599"/>
    <w:multiLevelType w:val="multilevel"/>
    <w:tmpl w:val="2A913599"/>
    <w:lvl w:ilvl="0">
      <w:start w:val="1"/>
      <w:numFmt w:val="bullet"/>
      <w:pStyle w:val="ListBullet"/>
      <w:lvlText w:val=""/>
      <w:lvlJc w:val="left"/>
      <w:pPr>
        <w:tabs>
          <w:tab w:val="left" w:pos="425"/>
        </w:tabs>
        <w:ind w:left="425" w:hanging="425"/>
      </w:pPr>
      <w:rPr>
        <w:rFonts w:ascii="Symbol" w:hAnsi="Symbol" w:hint="default"/>
        <w:color w:val="auto"/>
      </w:rPr>
    </w:lvl>
    <w:lvl w:ilvl="1">
      <w:start w:val="1"/>
      <w:numFmt w:val="bullet"/>
      <w:pStyle w:val="ListBullet2"/>
      <w:lvlText w:val=""/>
      <w:lvlJc w:val="left"/>
      <w:pPr>
        <w:ind w:left="794" w:hanging="369"/>
      </w:pPr>
      <w:rPr>
        <w:rFonts w:ascii="Symbol" w:hAnsi="Symbol" w:hint="default"/>
      </w:rPr>
    </w:lvl>
    <w:lvl w:ilvl="2">
      <w:start w:val="1"/>
      <w:numFmt w:val="bullet"/>
      <w:pStyle w:val="ListBullet3"/>
      <w:lvlText w:val=""/>
      <w:lvlJc w:val="left"/>
      <w:pPr>
        <w:tabs>
          <w:tab w:val="left" w:pos="794"/>
        </w:tabs>
        <w:ind w:left="1219" w:hanging="425"/>
      </w:pPr>
      <w:rPr>
        <w:rFonts w:ascii="Wingdings" w:hAnsi="Wingdings" w:hint="default"/>
      </w:rPr>
    </w:lvl>
    <w:lvl w:ilvl="3">
      <w:start w:val="1"/>
      <w:numFmt w:val="bullet"/>
      <w:lvlText w:val=""/>
      <w:lvlJc w:val="left"/>
      <w:pPr>
        <w:tabs>
          <w:tab w:val="left" w:pos="425"/>
        </w:tabs>
        <w:ind w:left="425" w:hanging="425"/>
      </w:pPr>
      <w:rPr>
        <w:rFonts w:ascii="Symbol" w:hAnsi="Symbol" w:hint="default"/>
      </w:rPr>
    </w:lvl>
    <w:lvl w:ilvl="4">
      <w:start w:val="1"/>
      <w:numFmt w:val="bullet"/>
      <w:lvlText w:val="o"/>
      <w:lvlJc w:val="left"/>
      <w:pPr>
        <w:tabs>
          <w:tab w:val="left" w:pos="425"/>
        </w:tabs>
        <w:ind w:left="425" w:hanging="425"/>
      </w:pPr>
      <w:rPr>
        <w:rFonts w:ascii="Courier New" w:hAnsi="Courier New" w:cs="Courier New" w:hint="default"/>
      </w:rPr>
    </w:lvl>
    <w:lvl w:ilvl="5">
      <w:start w:val="1"/>
      <w:numFmt w:val="bullet"/>
      <w:lvlText w:val=""/>
      <w:lvlJc w:val="left"/>
      <w:pPr>
        <w:tabs>
          <w:tab w:val="left" w:pos="425"/>
        </w:tabs>
        <w:ind w:left="425" w:hanging="425"/>
      </w:pPr>
      <w:rPr>
        <w:rFonts w:ascii="Wingdings" w:hAnsi="Wingdings" w:hint="default"/>
      </w:rPr>
    </w:lvl>
    <w:lvl w:ilvl="6">
      <w:start w:val="1"/>
      <w:numFmt w:val="bullet"/>
      <w:lvlText w:val=""/>
      <w:lvlJc w:val="left"/>
      <w:pPr>
        <w:tabs>
          <w:tab w:val="left" w:pos="425"/>
        </w:tabs>
        <w:ind w:left="425" w:hanging="425"/>
      </w:pPr>
      <w:rPr>
        <w:rFonts w:ascii="Symbol" w:hAnsi="Symbol" w:hint="default"/>
      </w:rPr>
    </w:lvl>
    <w:lvl w:ilvl="7">
      <w:start w:val="1"/>
      <w:numFmt w:val="bullet"/>
      <w:lvlText w:val="o"/>
      <w:lvlJc w:val="left"/>
      <w:pPr>
        <w:tabs>
          <w:tab w:val="left" w:pos="425"/>
        </w:tabs>
        <w:ind w:left="425" w:hanging="425"/>
      </w:pPr>
      <w:rPr>
        <w:rFonts w:ascii="Courier New" w:hAnsi="Courier New" w:cs="Courier New" w:hint="default"/>
      </w:rPr>
    </w:lvl>
    <w:lvl w:ilvl="8">
      <w:start w:val="1"/>
      <w:numFmt w:val="bullet"/>
      <w:lvlText w:val=""/>
      <w:lvlJc w:val="left"/>
      <w:pPr>
        <w:tabs>
          <w:tab w:val="left" w:pos="425"/>
        </w:tabs>
        <w:ind w:left="425" w:hanging="425"/>
      </w:pPr>
      <w:rPr>
        <w:rFonts w:ascii="Wingdings" w:hAnsi="Wingdings" w:hint="default"/>
      </w:rPr>
    </w:lvl>
  </w:abstractNum>
  <w:abstractNum w:abstractNumId="8" w15:restartNumberingAfterBreak="0">
    <w:nsid w:val="2F2425AB"/>
    <w:multiLevelType w:val="multilevel"/>
    <w:tmpl w:val="2F2425AB"/>
    <w:lvl w:ilvl="0">
      <w:start w:val="1"/>
      <w:numFmt w:val="decimal"/>
      <w:pStyle w:val="ListNumber"/>
      <w:lvlText w:val="%1)"/>
      <w:lvlJc w:val="left"/>
      <w:pPr>
        <w:ind w:left="425" w:hanging="425"/>
      </w:pPr>
      <w:rPr>
        <w:rFonts w:hint="default"/>
        <w:color w:val="auto"/>
      </w:rPr>
    </w:lvl>
    <w:lvl w:ilvl="1">
      <w:start w:val="1"/>
      <w:numFmt w:val="lowerLetter"/>
      <w:pStyle w:val="ListNumber2"/>
      <w:lvlText w:val="%2)"/>
      <w:lvlJc w:val="left"/>
      <w:pPr>
        <w:ind w:left="794" w:hanging="369"/>
      </w:pPr>
      <w:rPr>
        <w:rFonts w:hint="default"/>
      </w:rPr>
    </w:lvl>
    <w:lvl w:ilvl="2">
      <w:start w:val="1"/>
      <w:numFmt w:val="lowerRoman"/>
      <w:pStyle w:val="ListNumber3"/>
      <w:lvlText w:val="%3)"/>
      <w:lvlJc w:val="right"/>
      <w:pPr>
        <w:ind w:left="1077" w:hanging="17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3422D91"/>
    <w:multiLevelType w:val="multilevel"/>
    <w:tmpl w:val="33422D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8FA13CB"/>
    <w:multiLevelType w:val="singleLevel"/>
    <w:tmpl w:val="38FA13CB"/>
    <w:lvl w:ilvl="0">
      <w:start w:val="1"/>
      <w:numFmt w:val="decimal"/>
      <w:suff w:val="space"/>
      <w:lvlText w:val="%1)"/>
      <w:lvlJc w:val="left"/>
    </w:lvl>
  </w:abstractNum>
  <w:abstractNum w:abstractNumId="11" w15:restartNumberingAfterBreak="0">
    <w:nsid w:val="46DD5C12"/>
    <w:multiLevelType w:val="multilevel"/>
    <w:tmpl w:val="46DD5C12"/>
    <w:lvl w:ilvl="0">
      <w:start w:val="1"/>
      <w:numFmt w:val="upperLetter"/>
      <w:pStyle w:val="AppendixHeading1"/>
      <w:lvlText w:val="Appendix %1"/>
      <w:lvlJc w:val="left"/>
      <w:pPr>
        <w:ind w:left="964" w:hanging="964"/>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2" w15:restartNumberingAfterBreak="0">
    <w:nsid w:val="48DE2E4A"/>
    <w:multiLevelType w:val="multilevel"/>
    <w:tmpl w:val="48DE2E4A"/>
    <w:lvl w:ilvl="0">
      <w:start w:val="1"/>
      <w:numFmt w:val="bullet"/>
      <w:pStyle w:val="BoxTex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B3736BF"/>
    <w:multiLevelType w:val="hybridMultilevel"/>
    <w:tmpl w:val="D2D272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1991E4B"/>
    <w:multiLevelType w:val="multilevel"/>
    <w:tmpl w:val="51991E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1FA3C64"/>
    <w:multiLevelType w:val="multilevel"/>
    <w:tmpl w:val="51FA3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44B0A3F"/>
    <w:multiLevelType w:val="multilevel"/>
    <w:tmpl w:val="544B0A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A140BDC"/>
    <w:multiLevelType w:val="multilevel"/>
    <w:tmpl w:val="5A140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BF51EC7"/>
    <w:multiLevelType w:val="multilevel"/>
    <w:tmpl w:val="5BF51EC7"/>
    <w:lvl w:ilvl="0">
      <w:start w:val="1"/>
      <w:numFmt w:val="decimal"/>
      <w:pStyle w:val="Heading2"/>
      <w:lvlText w:val="%1"/>
      <w:lvlJc w:val="left"/>
      <w:pPr>
        <w:ind w:left="567" w:hanging="567"/>
      </w:pPr>
      <w:rPr>
        <w:rFonts w:hint="default"/>
      </w:rPr>
    </w:lvl>
    <w:lvl w:ilvl="1">
      <w:start w:val="1"/>
      <w:numFmt w:val="decimal"/>
      <w:pStyle w:val="Heading3"/>
      <w:lvlText w:val="%1.%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9" w15:restartNumberingAfterBreak="0">
    <w:nsid w:val="602F2345"/>
    <w:multiLevelType w:val="multilevel"/>
    <w:tmpl w:val="602F234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1C76343"/>
    <w:multiLevelType w:val="multilevel"/>
    <w:tmpl w:val="61C76343"/>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E696090"/>
    <w:multiLevelType w:val="multilevel"/>
    <w:tmpl w:val="7E6960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7"/>
  </w:num>
  <w:num w:numId="4">
    <w:abstractNumId w:val="0"/>
  </w:num>
  <w:num w:numId="5">
    <w:abstractNumId w:val="12"/>
  </w:num>
  <w:num w:numId="6">
    <w:abstractNumId w:val="4"/>
  </w:num>
  <w:num w:numId="7">
    <w:abstractNumId w:val="11"/>
  </w:num>
  <w:num w:numId="8">
    <w:abstractNumId w:val="10"/>
  </w:num>
  <w:num w:numId="9">
    <w:abstractNumId w:val="19"/>
  </w:num>
  <w:num w:numId="10">
    <w:abstractNumId w:val="3"/>
  </w:num>
  <w:num w:numId="11">
    <w:abstractNumId w:val="6"/>
  </w:num>
  <w:num w:numId="12">
    <w:abstractNumId w:val="21"/>
  </w:num>
  <w:num w:numId="13">
    <w:abstractNumId w:val="1"/>
  </w:num>
  <w:num w:numId="14">
    <w:abstractNumId w:val="2"/>
  </w:num>
  <w:num w:numId="15">
    <w:abstractNumId w:val="5"/>
  </w:num>
  <w:num w:numId="16">
    <w:abstractNumId w:val="15"/>
  </w:num>
  <w:num w:numId="17">
    <w:abstractNumId w:val="14"/>
  </w:num>
  <w:num w:numId="18">
    <w:abstractNumId w:val="16"/>
  </w:num>
  <w:num w:numId="19">
    <w:abstractNumId w:val="20"/>
  </w:num>
  <w:num w:numId="20">
    <w:abstractNumId w:val="9"/>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drawingGridHorizontalSpacing w:val="110"/>
  <w:noPunctuationKerning/>
  <w:characterSpacingControl w:val="doNotCompress"/>
  <w:hdrShapeDefaults>
    <o:shapedefaults v:ext="edit" spidmax="16385"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910"/>
    <w:rsid w:val="000276E8"/>
    <w:rsid w:val="000369D9"/>
    <w:rsid w:val="00043254"/>
    <w:rsid w:val="00046D41"/>
    <w:rsid w:val="00052627"/>
    <w:rsid w:val="00061006"/>
    <w:rsid w:val="00090EC2"/>
    <w:rsid w:val="0009171A"/>
    <w:rsid w:val="00092DF0"/>
    <w:rsid w:val="0009666C"/>
    <w:rsid w:val="0009750B"/>
    <w:rsid w:val="000A5C91"/>
    <w:rsid w:val="000A610F"/>
    <w:rsid w:val="000B1DAF"/>
    <w:rsid w:val="000B4608"/>
    <w:rsid w:val="000B480F"/>
    <w:rsid w:val="000C0703"/>
    <w:rsid w:val="000D16BA"/>
    <w:rsid w:val="000D2C7B"/>
    <w:rsid w:val="000D516A"/>
    <w:rsid w:val="000D7D1E"/>
    <w:rsid w:val="000E5C02"/>
    <w:rsid w:val="000E6A56"/>
    <w:rsid w:val="000F199D"/>
    <w:rsid w:val="001132C9"/>
    <w:rsid w:val="001277E0"/>
    <w:rsid w:val="001366E0"/>
    <w:rsid w:val="001368A2"/>
    <w:rsid w:val="0013744C"/>
    <w:rsid w:val="001450DC"/>
    <w:rsid w:val="0015048B"/>
    <w:rsid w:val="001510A0"/>
    <w:rsid w:val="00151354"/>
    <w:rsid w:val="001550FC"/>
    <w:rsid w:val="00163052"/>
    <w:rsid w:val="00167C0B"/>
    <w:rsid w:val="00170385"/>
    <w:rsid w:val="001714A9"/>
    <w:rsid w:val="00177315"/>
    <w:rsid w:val="0018357B"/>
    <w:rsid w:val="00187ABD"/>
    <w:rsid w:val="001A5B95"/>
    <w:rsid w:val="001D417A"/>
    <w:rsid w:val="001D6BB4"/>
    <w:rsid w:val="001E547D"/>
    <w:rsid w:val="001F10AD"/>
    <w:rsid w:val="001F7821"/>
    <w:rsid w:val="0021210E"/>
    <w:rsid w:val="00220F81"/>
    <w:rsid w:val="00221F7E"/>
    <w:rsid w:val="002232B8"/>
    <w:rsid w:val="00224CB0"/>
    <w:rsid w:val="00232941"/>
    <w:rsid w:val="00240D47"/>
    <w:rsid w:val="00252629"/>
    <w:rsid w:val="002571A3"/>
    <w:rsid w:val="002C7B14"/>
    <w:rsid w:val="002D1053"/>
    <w:rsid w:val="002E0F8A"/>
    <w:rsid w:val="002F3B73"/>
    <w:rsid w:val="002F4AD6"/>
    <w:rsid w:val="00302B30"/>
    <w:rsid w:val="0030511C"/>
    <w:rsid w:val="00305FFF"/>
    <w:rsid w:val="00306C28"/>
    <w:rsid w:val="003168DC"/>
    <w:rsid w:val="00317215"/>
    <w:rsid w:val="0031722F"/>
    <w:rsid w:val="00322C11"/>
    <w:rsid w:val="00341141"/>
    <w:rsid w:val="00347BB1"/>
    <w:rsid w:val="00372D79"/>
    <w:rsid w:val="003C1112"/>
    <w:rsid w:val="003C360E"/>
    <w:rsid w:val="003D5074"/>
    <w:rsid w:val="003F4AC3"/>
    <w:rsid w:val="003F5BA5"/>
    <w:rsid w:val="003F6536"/>
    <w:rsid w:val="00400315"/>
    <w:rsid w:val="00420539"/>
    <w:rsid w:val="00421637"/>
    <w:rsid w:val="00440367"/>
    <w:rsid w:val="004475C8"/>
    <w:rsid w:val="00461807"/>
    <w:rsid w:val="00461D8B"/>
    <w:rsid w:val="00473221"/>
    <w:rsid w:val="004822BD"/>
    <w:rsid w:val="004830D7"/>
    <w:rsid w:val="00485BCB"/>
    <w:rsid w:val="004871DD"/>
    <w:rsid w:val="00490B0B"/>
    <w:rsid w:val="004912DE"/>
    <w:rsid w:val="00497185"/>
    <w:rsid w:val="004A3537"/>
    <w:rsid w:val="004B1A20"/>
    <w:rsid w:val="004B2112"/>
    <w:rsid w:val="004B4E7C"/>
    <w:rsid w:val="004C020C"/>
    <w:rsid w:val="004D0B5C"/>
    <w:rsid w:val="004E52CE"/>
    <w:rsid w:val="00505BA9"/>
    <w:rsid w:val="0052185B"/>
    <w:rsid w:val="00521BB1"/>
    <w:rsid w:val="00527E12"/>
    <w:rsid w:val="005308A9"/>
    <w:rsid w:val="00532883"/>
    <w:rsid w:val="00533A97"/>
    <w:rsid w:val="00546E6B"/>
    <w:rsid w:val="0054747E"/>
    <w:rsid w:val="00547D13"/>
    <w:rsid w:val="0055308D"/>
    <w:rsid w:val="005531EC"/>
    <w:rsid w:val="0055492B"/>
    <w:rsid w:val="00555585"/>
    <w:rsid w:val="005555B1"/>
    <w:rsid w:val="00561BAC"/>
    <w:rsid w:val="00564A99"/>
    <w:rsid w:val="00584A13"/>
    <w:rsid w:val="00586FDB"/>
    <w:rsid w:val="00596307"/>
    <w:rsid w:val="005970A4"/>
    <w:rsid w:val="005A51AD"/>
    <w:rsid w:val="005A5FAC"/>
    <w:rsid w:val="005B3E96"/>
    <w:rsid w:val="005D08EE"/>
    <w:rsid w:val="005D3A6E"/>
    <w:rsid w:val="005D6A00"/>
    <w:rsid w:val="005E0E2E"/>
    <w:rsid w:val="005F0B11"/>
    <w:rsid w:val="005F25D2"/>
    <w:rsid w:val="00600628"/>
    <w:rsid w:val="0060151B"/>
    <w:rsid w:val="0060228B"/>
    <w:rsid w:val="006043EE"/>
    <w:rsid w:val="006051FF"/>
    <w:rsid w:val="00617E39"/>
    <w:rsid w:val="00620160"/>
    <w:rsid w:val="00621EBD"/>
    <w:rsid w:val="00622A36"/>
    <w:rsid w:val="00624B31"/>
    <w:rsid w:val="00626E31"/>
    <w:rsid w:val="00640E17"/>
    <w:rsid w:val="00641A02"/>
    <w:rsid w:val="00642461"/>
    <w:rsid w:val="0064768A"/>
    <w:rsid w:val="006511DE"/>
    <w:rsid w:val="006655D0"/>
    <w:rsid w:val="00666F5E"/>
    <w:rsid w:val="00672058"/>
    <w:rsid w:val="0067716A"/>
    <w:rsid w:val="00677512"/>
    <w:rsid w:val="00681269"/>
    <w:rsid w:val="00681D8A"/>
    <w:rsid w:val="0068659A"/>
    <w:rsid w:val="00694025"/>
    <w:rsid w:val="006940AC"/>
    <w:rsid w:val="0069687E"/>
    <w:rsid w:val="006A200E"/>
    <w:rsid w:val="006A706B"/>
    <w:rsid w:val="006A7081"/>
    <w:rsid w:val="006A7B44"/>
    <w:rsid w:val="006B7C41"/>
    <w:rsid w:val="006C09C2"/>
    <w:rsid w:val="006C11AF"/>
    <w:rsid w:val="006C7E2F"/>
    <w:rsid w:val="006D44FB"/>
    <w:rsid w:val="006D70CC"/>
    <w:rsid w:val="006E52A7"/>
    <w:rsid w:val="006F0971"/>
    <w:rsid w:val="00701208"/>
    <w:rsid w:val="007232CD"/>
    <w:rsid w:val="0072528D"/>
    <w:rsid w:val="00746DC3"/>
    <w:rsid w:val="007535E6"/>
    <w:rsid w:val="0076366C"/>
    <w:rsid w:val="007822A9"/>
    <w:rsid w:val="00791CF6"/>
    <w:rsid w:val="00791D3C"/>
    <w:rsid w:val="007A1847"/>
    <w:rsid w:val="007B4D8C"/>
    <w:rsid w:val="007C53C7"/>
    <w:rsid w:val="007E4A99"/>
    <w:rsid w:val="007F208A"/>
    <w:rsid w:val="007F2433"/>
    <w:rsid w:val="007F2A02"/>
    <w:rsid w:val="007F3B01"/>
    <w:rsid w:val="008017CE"/>
    <w:rsid w:val="008054EB"/>
    <w:rsid w:val="00812226"/>
    <w:rsid w:val="00813966"/>
    <w:rsid w:val="0081656E"/>
    <w:rsid w:val="00816F44"/>
    <w:rsid w:val="00835C9A"/>
    <w:rsid w:val="0084006B"/>
    <w:rsid w:val="008403A0"/>
    <w:rsid w:val="0084564F"/>
    <w:rsid w:val="00847BB7"/>
    <w:rsid w:val="00852DD0"/>
    <w:rsid w:val="00853022"/>
    <w:rsid w:val="0085332F"/>
    <w:rsid w:val="00860413"/>
    <w:rsid w:val="00863767"/>
    <w:rsid w:val="00866AD1"/>
    <w:rsid w:val="008A3B9A"/>
    <w:rsid w:val="008B0473"/>
    <w:rsid w:val="008C6B79"/>
    <w:rsid w:val="008C78FF"/>
    <w:rsid w:val="008D4124"/>
    <w:rsid w:val="008D7FE6"/>
    <w:rsid w:val="008E5268"/>
    <w:rsid w:val="008F2C92"/>
    <w:rsid w:val="008F536D"/>
    <w:rsid w:val="00905F94"/>
    <w:rsid w:val="00906E4F"/>
    <w:rsid w:val="00910519"/>
    <w:rsid w:val="00914EAE"/>
    <w:rsid w:val="0091733F"/>
    <w:rsid w:val="00922461"/>
    <w:rsid w:val="0092599B"/>
    <w:rsid w:val="00926468"/>
    <w:rsid w:val="00942CF2"/>
    <w:rsid w:val="0094350C"/>
    <w:rsid w:val="0094578B"/>
    <w:rsid w:val="0094748A"/>
    <w:rsid w:val="0094790B"/>
    <w:rsid w:val="0095614F"/>
    <w:rsid w:val="009671AB"/>
    <w:rsid w:val="009757CD"/>
    <w:rsid w:val="009910BF"/>
    <w:rsid w:val="00993BE2"/>
    <w:rsid w:val="009A1587"/>
    <w:rsid w:val="009B28E8"/>
    <w:rsid w:val="009C406A"/>
    <w:rsid w:val="009C54BF"/>
    <w:rsid w:val="009D7878"/>
    <w:rsid w:val="009E5BC4"/>
    <w:rsid w:val="009E66F9"/>
    <w:rsid w:val="009E6729"/>
    <w:rsid w:val="009F3D18"/>
    <w:rsid w:val="00A00762"/>
    <w:rsid w:val="00A0364A"/>
    <w:rsid w:val="00A05119"/>
    <w:rsid w:val="00A125C1"/>
    <w:rsid w:val="00A138BD"/>
    <w:rsid w:val="00A20E67"/>
    <w:rsid w:val="00A27360"/>
    <w:rsid w:val="00A34471"/>
    <w:rsid w:val="00A34E12"/>
    <w:rsid w:val="00A43E28"/>
    <w:rsid w:val="00A4757C"/>
    <w:rsid w:val="00A51A88"/>
    <w:rsid w:val="00A55DA5"/>
    <w:rsid w:val="00A613B3"/>
    <w:rsid w:val="00A6553C"/>
    <w:rsid w:val="00A670FB"/>
    <w:rsid w:val="00A748BA"/>
    <w:rsid w:val="00A76C00"/>
    <w:rsid w:val="00A80C7E"/>
    <w:rsid w:val="00A82A6F"/>
    <w:rsid w:val="00A873EE"/>
    <w:rsid w:val="00A92330"/>
    <w:rsid w:val="00A9276A"/>
    <w:rsid w:val="00A94C54"/>
    <w:rsid w:val="00A97E87"/>
    <w:rsid w:val="00AA4B88"/>
    <w:rsid w:val="00AA62F8"/>
    <w:rsid w:val="00AB42B1"/>
    <w:rsid w:val="00AC1BB5"/>
    <w:rsid w:val="00AC2C30"/>
    <w:rsid w:val="00AC33E0"/>
    <w:rsid w:val="00AC60F4"/>
    <w:rsid w:val="00AC6C03"/>
    <w:rsid w:val="00AD568B"/>
    <w:rsid w:val="00AD5976"/>
    <w:rsid w:val="00AE2BD4"/>
    <w:rsid w:val="00AE4518"/>
    <w:rsid w:val="00AE5342"/>
    <w:rsid w:val="00AF479A"/>
    <w:rsid w:val="00B102AE"/>
    <w:rsid w:val="00B230DA"/>
    <w:rsid w:val="00B244CC"/>
    <w:rsid w:val="00B37046"/>
    <w:rsid w:val="00B41094"/>
    <w:rsid w:val="00B46D30"/>
    <w:rsid w:val="00B506D9"/>
    <w:rsid w:val="00B550C7"/>
    <w:rsid w:val="00B563C4"/>
    <w:rsid w:val="00B57188"/>
    <w:rsid w:val="00B6219B"/>
    <w:rsid w:val="00B86946"/>
    <w:rsid w:val="00B97484"/>
    <w:rsid w:val="00BA4844"/>
    <w:rsid w:val="00BA5F4B"/>
    <w:rsid w:val="00BB0403"/>
    <w:rsid w:val="00BC08F2"/>
    <w:rsid w:val="00BD380B"/>
    <w:rsid w:val="00BD5BD9"/>
    <w:rsid w:val="00C01DBB"/>
    <w:rsid w:val="00C0277D"/>
    <w:rsid w:val="00C13910"/>
    <w:rsid w:val="00C13A49"/>
    <w:rsid w:val="00C20789"/>
    <w:rsid w:val="00C4180A"/>
    <w:rsid w:val="00C4689C"/>
    <w:rsid w:val="00C52A14"/>
    <w:rsid w:val="00C56D6A"/>
    <w:rsid w:val="00C57B3F"/>
    <w:rsid w:val="00C6669A"/>
    <w:rsid w:val="00C72349"/>
    <w:rsid w:val="00C72F25"/>
    <w:rsid w:val="00C75BB8"/>
    <w:rsid w:val="00C90963"/>
    <w:rsid w:val="00C91040"/>
    <w:rsid w:val="00C91E61"/>
    <w:rsid w:val="00C95CD5"/>
    <w:rsid w:val="00C961A7"/>
    <w:rsid w:val="00C97B15"/>
    <w:rsid w:val="00CA0673"/>
    <w:rsid w:val="00CA34C8"/>
    <w:rsid w:val="00CB4F44"/>
    <w:rsid w:val="00CD1A87"/>
    <w:rsid w:val="00CD4A2E"/>
    <w:rsid w:val="00CE0887"/>
    <w:rsid w:val="00CE4492"/>
    <w:rsid w:val="00CF2B98"/>
    <w:rsid w:val="00D1066E"/>
    <w:rsid w:val="00D10D9A"/>
    <w:rsid w:val="00D22E4F"/>
    <w:rsid w:val="00D44E6A"/>
    <w:rsid w:val="00D6408A"/>
    <w:rsid w:val="00D7778B"/>
    <w:rsid w:val="00D911EC"/>
    <w:rsid w:val="00D933B7"/>
    <w:rsid w:val="00DA1FE1"/>
    <w:rsid w:val="00DB0ED8"/>
    <w:rsid w:val="00DB705E"/>
    <w:rsid w:val="00DE379E"/>
    <w:rsid w:val="00DE6C46"/>
    <w:rsid w:val="00DF2D27"/>
    <w:rsid w:val="00E0240F"/>
    <w:rsid w:val="00E05DED"/>
    <w:rsid w:val="00E1072D"/>
    <w:rsid w:val="00E20140"/>
    <w:rsid w:val="00E20286"/>
    <w:rsid w:val="00E278F8"/>
    <w:rsid w:val="00E3214D"/>
    <w:rsid w:val="00E362C8"/>
    <w:rsid w:val="00E423F9"/>
    <w:rsid w:val="00E42638"/>
    <w:rsid w:val="00E6146A"/>
    <w:rsid w:val="00E72E13"/>
    <w:rsid w:val="00E739A6"/>
    <w:rsid w:val="00E76391"/>
    <w:rsid w:val="00E8241F"/>
    <w:rsid w:val="00E8709A"/>
    <w:rsid w:val="00EA5F9F"/>
    <w:rsid w:val="00EA72F2"/>
    <w:rsid w:val="00ED0471"/>
    <w:rsid w:val="00ED2C23"/>
    <w:rsid w:val="00ED3447"/>
    <w:rsid w:val="00ED660B"/>
    <w:rsid w:val="00ED68B7"/>
    <w:rsid w:val="00EE1BA2"/>
    <w:rsid w:val="00EF78F2"/>
    <w:rsid w:val="00F069F5"/>
    <w:rsid w:val="00F14F52"/>
    <w:rsid w:val="00F15CDD"/>
    <w:rsid w:val="00F227BF"/>
    <w:rsid w:val="00F377CA"/>
    <w:rsid w:val="00F406DE"/>
    <w:rsid w:val="00F41435"/>
    <w:rsid w:val="00F475B0"/>
    <w:rsid w:val="00F506FB"/>
    <w:rsid w:val="00F661F9"/>
    <w:rsid w:val="00F84851"/>
    <w:rsid w:val="00FA2212"/>
    <w:rsid w:val="00FA4900"/>
    <w:rsid w:val="00FB36C5"/>
    <w:rsid w:val="00FC39A4"/>
    <w:rsid w:val="00FD4919"/>
    <w:rsid w:val="00FE7383"/>
    <w:rsid w:val="05646D74"/>
    <w:rsid w:val="05AA77E0"/>
    <w:rsid w:val="0A916591"/>
    <w:rsid w:val="0CF24E74"/>
    <w:rsid w:val="11D43D99"/>
    <w:rsid w:val="1A40250E"/>
    <w:rsid w:val="1E0E5882"/>
    <w:rsid w:val="1FC24C1D"/>
    <w:rsid w:val="20384C8C"/>
    <w:rsid w:val="235B3418"/>
    <w:rsid w:val="28A55418"/>
    <w:rsid w:val="29076624"/>
    <w:rsid w:val="29B63DDC"/>
    <w:rsid w:val="3CD41B38"/>
    <w:rsid w:val="3CE130A1"/>
    <w:rsid w:val="3D0F2537"/>
    <w:rsid w:val="3FC80B46"/>
    <w:rsid w:val="3FEA3831"/>
    <w:rsid w:val="4A306377"/>
    <w:rsid w:val="4A540DBC"/>
    <w:rsid w:val="4DE85968"/>
    <w:rsid w:val="56C3432B"/>
    <w:rsid w:val="578945C0"/>
    <w:rsid w:val="5BE77375"/>
    <w:rsid w:val="62304B1C"/>
    <w:rsid w:val="63052E8C"/>
    <w:rsid w:val="706702F4"/>
    <w:rsid w:val="74350A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6385" fillcolor="white">
      <v:fill color="white"/>
    </o:shapedefaults>
    <o:shapelayout v:ext="edit">
      <o:idmap v:ext="edit" data="1"/>
    </o:shapelayout>
  </w:shapeDefaults>
  <w:decimalSymbol w:val="."/>
  <w:listSeparator w:val=","/>
  <w14:docId w14:val="529757ED"/>
  <w15:docId w15:val="{90FADD64-70A6-44E0-9FF2-67BE5F4C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3" w:qFormat="1"/>
    <w:lsdException w:name="heading 3" w:uiPriority="4" w:qFormat="1"/>
    <w:lsdException w:name="heading 4" w:uiPriority="5" w:qFormat="1"/>
    <w:lsdException w:name="heading 5" w:uiPriority="9" w:unhideWhenUsed="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qFormat="1"/>
    <w:lsdException w:name="List Bullet 3" w:semiHidden="1" w:unhideWhenUsed="1" w:qFormat="1"/>
    <w:lsdException w:name="List Bullet 4" w:semiHidden="1" w:unhideWhenUsed="1"/>
    <w:lsdException w:name="List Bullet 5" w:semiHidden="1" w:unhideWhenUsed="1"/>
    <w:lsdException w:name="List Number 2" w:semiHidden="1" w:uiPriority="10" w:qFormat="1"/>
    <w:lsdException w:name="List Number 3" w:semiHidden="1" w:uiPriority="1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uiPriority="18"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Calibri" w:eastAsia="Calibri" w:hAnsi="Calibri"/>
      <w:sz w:val="22"/>
      <w:szCs w:val="22"/>
      <w:lang w:val="en-AU" w:eastAsia="en-US"/>
    </w:rPr>
  </w:style>
  <w:style w:type="paragraph" w:styleId="Heading1">
    <w:name w:val="heading 1"/>
    <w:basedOn w:val="Normal"/>
    <w:next w:val="Normal"/>
    <w:link w:val="Heading1Char"/>
    <w:uiPriority w:val="1"/>
    <w:qFormat/>
    <w:pPr>
      <w:spacing w:before="0"/>
      <w:jc w:val="center"/>
      <w:outlineLvl w:val="0"/>
    </w:pPr>
    <w:rPr>
      <w:rFonts w:eastAsia="Times New Roman"/>
      <w:b/>
      <w:color w:val="244061"/>
      <w:spacing w:val="4"/>
      <w:w w:val="105"/>
      <w:kern w:val="28"/>
      <w:sz w:val="52"/>
      <w:szCs w:val="52"/>
    </w:rPr>
  </w:style>
  <w:style w:type="paragraph" w:styleId="Heading2">
    <w:name w:val="heading 2"/>
    <w:basedOn w:val="Normal"/>
    <w:next w:val="Normal"/>
    <w:link w:val="Heading2Char"/>
    <w:uiPriority w:val="3"/>
    <w:qFormat/>
    <w:pPr>
      <w:numPr>
        <w:numId w:val="1"/>
      </w:numPr>
      <w:spacing w:before="240" w:after="120"/>
      <w:outlineLvl w:val="1"/>
    </w:pPr>
    <w:rPr>
      <w:rFonts w:eastAsia="Times New Roman"/>
      <w:b/>
      <w:bCs/>
      <w:color w:val="000000"/>
      <w:sz w:val="36"/>
      <w:szCs w:val="28"/>
      <w:lang w:eastAsia="ja-JP"/>
    </w:rPr>
  </w:style>
  <w:style w:type="paragraph" w:styleId="Heading3">
    <w:name w:val="heading 3"/>
    <w:next w:val="Normal"/>
    <w:link w:val="Heading3Char"/>
    <w:uiPriority w:val="4"/>
    <w:qFormat/>
    <w:pPr>
      <w:keepNext/>
      <w:keepLines/>
      <w:numPr>
        <w:ilvl w:val="1"/>
        <w:numId w:val="1"/>
      </w:numPr>
      <w:spacing w:before="360" w:after="120"/>
      <w:outlineLvl w:val="2"/>
    </w:pPr>
    <w:rPr>
      <w:rFonts w:asciiTheme="minorHAnsi" w:eastAsia="Times New Roman" w:hAnsiTheme="minorHAnsi"/>
      <w:b/>
      <w:bCs/>
      <w:sz w:val="32"/>
      <w:szCs w:val="24"/>
      <w:lang w:val="en-AU" w:eastAsia="en-US"/>
    </w:rPr>
  </w:style>
  <w:style w:type="paragraph" w:styleId="Heading4">
    <w:name w:val="heading 4"/>
    <w:basedOn w:val="Heading5"/>
    <w:next w:val="Normal"/>
    <w:link w:val="Heading4Char"/>
    <w:uiPriority w:val="5"/>
    <w:qFormat/>
    <w:pPr>
      <w:spacing w:before="120"/>
      <w:outlineLvl w:val="3"/>
    </w:pPr>
    <w:rPr>
      <w:rFonts w:eastAsiaTheme="minorEastAsia" w:cstheme="minorBidi"/>
      <w:sz w:val="26"/>
      <w:lang w:eastAsia="ja-JP"/>
    </w:rPr>
  </w:style>
  <w:style w:type="paragraph" w:styleId="Heading5">
    <w:name w:val="heading 5"/>
    <w:basedOn w:val="Normal"/>
    <w:next w:val="Normal"/>
    <w:link w:val="Heading5Char"/>
    <w:uiPriority w:val="9"/>
    <w:unhideWhenUsed/>
    <w:pPr>
      <w:keepNext/>
      <w:keepLines/>
      <w:spacing w:before="200"/>
      <w:outlineLvl w:val="4"/>
    </w:pPr>
    <w:rPr>
      <w:rFonts w:eastAsiaTheme="majorEastAsia" w:cstheme="majorBidi"/>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qFormat/>
    <w:pPr>
      <w:tabs>
        <w:tab w:val="right" w:leader="dot" w:pos="9072"/>
      </w:tabs>
      <w:spacing w:after="120"/>
      <w:ind w:firstLine="851"/>
    </w:pPr>
  </w:style>
  <w:style w:type="paragraph" w:styleId="FootnoteText">
    <w:name w:val="footnote text"/>
    <w:basedOn w:val="Normal"/>
    <w:link w:val="FootnoteTextChar"/>
    <w:uiPriority w:val="99"/>
    <w:semiHidden/>
    <w:unhideWhenUsed/>
    <w:pPr>
      <w:spacing w:before="0"/>
    </w:pPr>
    <w:rPr>
      <w:sz w:val="20"/>
      <w:szCs w:val="20"/>
    </w:rPr>
  </w:style>
  <w:style w:type="paragraph" w:styleId="Caption">
    <w:name w:val="caption"/>
    <w:basedOn w:val="Normal"/>
    <w:next w:val="Normal"/>
    <w:uiPriority w:val="35"/>
    <w:qFormat/>
    <w:pPr>
      <w:keepNext/>
      <w:spacing w:before="360" w:after="120"/>
    </w:pPr>
    <w:rPr>
      <w:b/>
      <w:bCs/>
      <w:sz w:val="24"/>
      <w:szCs w:val="18"/>
    </w:rPr>
  </w:style>
  <w:style w:type="paragraph" w:styleId="TOC1">
    <w:name w:val="toc 1"/>
    <w:basedOn w:val="Normal"/>
    <w:next w:val="Normal"/>
    <w:uiPriority w:val="39"/>
    <w:unhideWhenUsed/>
    <w:qFormat/>
    <w:pPr>
      <w:tabs>
        <w:tab w:val="left" w:pos="426"/>
        <w:tab w:val="right" w:leader="dot" w:pos="9072"/>
      </w:tabs>
      <w:spacing w:after="120"/>
    </w:pPr>
    <w:rPr>
      <w:b/>
    </w:rPr>
  </w:style>
  <w:style w:type="paragraph" w:styleId="TOC2">
    <w:name w:val="toc 2"/>
    <w:basedOn w:val="Normal"/>
    <w:next w:val="Normal"/>
    <w:uiPriority w:val="39"/>
    <w:unhideWhenUsed/>
    <w:qFormat/>
    <w:pPr>
      <w:tabs>
        <w:tab w:val="right" w:leader="dot" w:pos="9060"/>
      </w:tabs>
      <w:spacing w:after="120"/>
      <w:ind w:firstLine="425"/>
    </w:pPr>
  </w:style>
  <w:style w:type="paragraph" w:styleId="EndnoteText">
    <w:name w:val="endnote text"/>
    <w:basedOn w:val="Normal"/>
    <w:link w:val="EndnoteTextChar"/>
    <w:uiPriority w:val="99"/>
    <w:semiHidden/>
    <w:unhideWhenUsed/>
    <w:pPr>
      <w:spacing w:before="0"/>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CommentText">
    <w:name w:val="annotation text"/>
    <w:basedOn w:val="Normal"/>
    <w:link w:val="CommentTextChar"/>
    <w:uiPriority w:val="99"/>
    <w:unhideWhenUsed/>
    <w:qFormat/>
    <w:rPr>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TableofFigures">
    <w:name w:val="table of figures"/>
    <w:basedOn w:val="Normal"/>
    <w:next w:val="Normal"/>
    <w:uiPriority w:val="99"/>
    <w:unhideWhenUsed/>
  </w:style>
  <w:style w:type="paragraph" w:styleId="ListNumber2">
    <w:name w:val="List Number 2"/>
    <w:uiPriority w:val="10"/>
    <w:qFormat/>
    <w:pPr>
      <w:numPr>
        <w:ilvl w:val="1"/>
        <w:numId w:val="2"/>
      </w:numPr>
      <w:spacing w:before="120" w:after="120" w:line="264" w:lineRule="auto"/>
    </w:pPr>
    <w:rPr>
      <w:rFonts w:ascii="Cambria" w:eastAsia="Times New Roman" w:hAnsi="Cambria"/>
      <w:sz w:val="22"/>
      <w:szCs w:val="24"/>
      <w:lang w:val="en-AU" w:eastAsia="en-US"/>
    </w:rPr>
  </w:style>
  <w:style w:type="paragraph" w:styleId="Header">
    <w:name w:val="header"/>
    <w:link w:val="HeaderChar"/>
    <w:unhideWhenUsed/>
    <w:qFormat/>
    <w:pPr>
      <w:tabs>
        <w:tab w:val="right" w:pos="9026"/>
      </w:tabs>
    </w:pPr>
    <w:rPr>
      <w:rFonts w:ascii="Calibri" w:eastAsiaTheme="minorHAnsi" w:hAnsi="Calibri"/>
      <w:lang w:val="en-AU" w:eastAsia="en-AU"/>
    </w:rPr>
  </w:style>
  <w:style w:type="paragraph" w:styleId="ListNumber3">
    <w:name w:val="List Number 3"/>
    <w:uiPriority w:val="11"/>
    <w:qFormat/>
    <w:pPr>
      <w:numPr>
        <w:ilvl w:val="2"/>
        <w:numId w:val="2"/>
      </w:numPr>
      <w:spacing w:before="120" w:after="120" w:line="264" w:lineRule="auto"/>
    </w:pPr>
    <w:rPr>
      <w:rFonts w:ascii="Cambria" w:eastAsia="Times New Roman" w:hAnsi="Cambria"/>
      <w:sz w:val="22"/>
      <w:szCs w:val="24"/>
      <w:lang w:val="en-AU" w:eastAsia="en-US"/>
    </w:rPr>
  </w:style>
  <w:style w:type="paragraph" w:styleId="ListNumber">
    <w:name w:val="List Number"/>
    <w:basedOn w:val="Normal"/>
    <w:uiPriority w:val="9"/>
    <w:qFormat/>
    <w:pPr>
      <w:numPr>
        <w:numId w:val="2"/>
      </w:numPr>
      <w:spacing w:after="120"/>
    </w:pPr>
  </w:style>
  <w:style w:type="paragraph" w:styleId="ListBullet3">
    <w:name w:val="List Bullet 3"/>
    <w:basedOn w:val="Normal"/>
    <w:uiPriority w:val="99"/>
    <w:unhideWhenUsed/>
    <w:qFormat/>
    <w:pPr>
      <w:numPr>
        <w:ilvl w:val="2"/>
        <w:numId w:val="3"/>
      </w:numPr>
      <w:contextualSpacing/>
    </w:pPr>
  </w:style>
  <w:style w:type="paragraph" w:styleId="Date">
    <w:name w:val="Date"/>
    <w:basedOn w:val="Normal"/>
    <w:next w:val="Normal"/>
    <w:link w:val="DateChar"/>
    <w:uiPriority w:val="99"/>
    <w:unhideWhenUsed/>
    <w:qFormat/>
    <w:pPr>
      <w:pBdr>
        <w:top w:val="single" w:sz="4" w:space="1" w:color="auto"/>
      </w:pBdr>
      <w:ind w:left="1701"/>
      <w:jc w:val="right"/>
    </w:pPr>
    <w:rPr>
      <w:sz w:val="28"/>
      <w:szCs w:val="28"/>
    </w:rPr>
  </w:style>
  <w:style w:type="paragraph" w:styleId="ListBullet">
    <w:name w:val="List Bullet"/>
    <w:basedOn w:val="Normal"/>
    <w:uiPriority w:val="7"/>
    <w:qFormat/>
    <w:pPr>
      <w:numPr>
        <w:numId w:val="3"/>
      </w:numPr>
      <w:spacing w:after="120"/>
    </w:pPr>
  </w:style>
  <w:style w:type="paragraph" w:styleId="ListBullet2">
    <w:name w:val="List Bullet 2"/>
    <w:basedOn w:val="Normal"/>
    <w:uiPriority w:val="8"/>
    <w:qFormat/>
    <w:pPr>
      <w:numPr>
        <w:ilvl w:val="1"/>
        <w:numId w:val="3"/>
      </w:numPr>
      <w:spacing w:after="120"/>
      <w:contextualSpacing/>
    </w:pPr>
  </w:style>
  <w:style w:type="paragraph" w:styleId="ListBullet4">
    <w:name w:val="List Bullet 4"/>
    <w:basedOn w:val="Normal"/>
    <w:uiPriority w:val="99"/>
    <w:unhideWhenUsed/>
    <w:pPr>
      <w:numPr>
        <w:numId w:val="4"/>
      </w:numPr>
      <w:contextualSpacing/>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sz w:val="24"/>
      <w:szCs w:val="24"/>
      <w:lang w:eastAsia="en-AU"/>
    </w:rPr>
  </w:style>
  <w:style w:type="paragraph" w:styleId="Footer">
    <w:name w:val="footer"/>
    <w:next w:val="Footeraddress"/>
    <w:link w:val="FooterChar"/>
    <w:uiPriority w:val="99"/>
    <w:unhideWhenUsed/>
    <w:pPr>
      <w:tabs>
        <w:tab w:val="right" w:pos="9026"/>
      </w:tabs>
    </w:pPr>
    <w:rPr>
      <w:rFonts w:ascii="Calibri" w:eastAsiaTheme="minorHAnsi" w:hAnsi="Calibri"/>
      <w:lang w:val="en-AU" w:eastAsia="en-AU"/>
    </w:rPr>
  </w:style>
  <w:style w:type="paragraph" w:customStyle="1" w:styleId="Footeraddress">
    <w:name w:val="Footer address"/>
    <w:basedOn w:val="Normal"/>
    <w:next w:val="ListBullet2"/>
    <w:semiHidden/>
    <w:qFormat/>
    <w:pPr>
      <w:tabs>
        <w:tab w:val="center" w:pos="4536"/>
      </w:tabs>
      <w:spacing w:after="120"/>
      <w:jc w:val="center"/>
    </w:pPr>
    <w:rPr>
      <w:sz w:val="16"/>
    </w:rPr>
  </w:style>
  <w:style w:type="paragraph" w:styleId="Subtitle">
    <w:name w:val="Subtitle"/>
    <w:basedOn w:val="Normal"/>
    <w:next w:val="Normal"/>
    <w:link w:val="SubtitleChar"/>
    <w:uiPriority w:val="23"/>
    <w:qFormat/>
    <w:pPr>
      <w:ind w:left="1701"/>
    </w:pPr>
    <w:rPr>
      <w:sz w:val="40"/>
      <w:szCs w:val="40"/>
      <w:lang w:eastAsia="ja-JP"/>
    </w:rPr>
  </w:style>
  <w:style w:type="paragraph" w:styleId="BodyText">
    <w:name w:val="Body Text"/>
    <w:basedOn w:val="Normal"/>
    <w:link w:val="BodyTextChar"/>
    <w:uiPriority w:val="1"/>
    <w:qFormat/>
    <w:pPr>
      <w:overflowPunct w:val="0"/>
      <w:autoSpaceDE w:val="0"/>
      <w:autoSpaceDN w:val="0"/>
      <w:adjustRightInd w:val="0"/>
      <w:spacing w:before="0" w:after="240"/>
      <w:jc w:val="both"/>
      <w:textAlignment w:val="baseline"/>
    </w:pPr>
    <w:rPr>
      <w:rFonts w:ascii="Cambria" w:eastAsia="Times New Roman" w:hAnsi="Cambria"/>
      <w:sz w:val="24"/>
      <w:szCs w:val="20"/>
    </w:rPr>
  </w:style>
  <w:style w:type="character" w:styleId="EndnoteReference">
    <w:name w:val="endnote reference"/>
    <w:basedOn w:val="DefaultParagraphFont"/>
    <w:uiPriority w:val="99"/>
    <w:semiHidden/>
    <w:unhideWhenUsed/>
    <w:qFormat/>
    <w:rPr>
      <w:vertAlign w:val="superscript"/>
    </w:rPr>
  </w:style>
  <w:style w:type="character" w:styleId="CommentReference">
    <w:name w:val="annotation reference"/>
    <w:basedOn w:val="DefaultParagraphFont"/>
    <w:uiPriority w:val="99"/>
    <w:semiHidden/>
    <w:unhideWhenUsed/>
    <w:qFormat/>
    <w:rPr>
      <w:sz w:val="16"/>
      <w:szCs w:val="16"/>
    </w:rPr>
  </w:style>
  <w:style w:type="character" w:styleId="FootnoteReference">
    <w:name w:val="footnote reference"/>
    <w:basedOn w:val="DefaultParagraphFont"/>
    <w:uiPriority w:val="99"/>
    <w:semiHidden/>
    <w:unhideWhenUsed/>
    <w:qFormat/>
    <w:rPr>
      <w:vertAlign w:val="superscript"/>
    </w:rPr>
  </w:style>
  <w:style w:type="character" w:styleId="Emphasis">
    <w:name w:val="Emphasis"/>
    <w:basedOn w:val="DefaultParagraphFont"/>
    <w:uiPriority w:val="20"/>
    <w:qFormat/>
    <w:rPr>
      <w:i/>
      <w:iCs/>
    </w:rPr>
  </w:style>
  <w:style w:type="character" w:styleId="Hyperlink">
    <w:name w:val="Hyperlink"/>
    <w:basedOn w:val="DefaultParagraphFont"/>
    <w:uiPriority w:val="99"/>
    <w:qFormat/>
    <w:rPr>
      <w:color w:val="165788"/>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styleId="Strong">
    <w:name w:val="Strong"/>
    <w:basedOn w:val="DefaultParagraphFont"/>
    <w:uiPriority w:val="99"/>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eastAsia="Times New Roman"/>
      <w:b/>
      <w:color w:val="244061"/>
      <w:spacing w:val="4"/>
      <w:w w:val="105"/>
      <w:kern w:val="28"/>
      <w:sz w:val="52"/>
      <w:szCs w:val="52"/>
      <w:lang w:eastAsia="en-US"/>
    </w:rPr>
  </w:style>
  <w:style w:type="character" w:customStyle="1" w:styleId="Heading2Char">
    <w:name w:val="Heading 2 Char"/>
    <w:basedOn w:val="DefaultParagraphFont"/>
    <w:link w:val="Heading2"/>
    <w:uiPriority w:val="3"/>
    <w:qFormat/>
    <w:rPr>
      <w:rFonts w:ascii="Calibri" w:eastAsia="Times New Roman" w:hAnsi="Calibri"/>
      <w:b/>
      <w:bCs/>
      <w:color w:val="000000"/>
      <w:sz w:val="36"/>
      <w:szCs w:val="28"/>
      <w:lang w:eastAsia="ja-JP"/>
    </w:rPr>
  </w:style>
  <w:style w:type="character" w:customStyle="1" w:styleId="Heading3Char">
    <w:name w:val="Heading 3 Char"/>
    <w:basedOn w:val="DefaultParagraphFont"/>
    <w:link w:val="Heading3"/>
    <w:uiPriority w:val="4"/>
    <w:qFormat/>
    <w:rPr>
      <w:rFonts w:asciiTheme="minorHAnsi" w:eastAsia="Times New Roman" w:hAnsiTheme="minorHAnsi"/>
      <w:b/>
      <w:bCs/>
      <w:sz w:val="32"/>
      <w:szCs w:val="24"/>
      <w:lang w:eastAsia="en-US"/>
    </w:rPr>
  </w:style>
  <w:style w:type="character" w:customStyle="1" w:styleId="Heading4Char">
    <w:name w:val="Heading 4 Char"/>
    <w:basedOn w:val="DefaultParagraphFont"/>
    <w:link w:val="Heading4"/>
    <w:uiPriority w:val="5"/>
    <w:rPr>
      <w:rFonts w:ascii="Calibri" w:eastAsiaTheme="minorEastAsia" w:hAnsi="Calibri" w:cstheme="minorBidi"/>
      <w:b/>
      <w:i/>
      <w:sz w:val="26"/>
      <w:szCs w:val="22"/>
      <w:lang w:eastAsia="ja-JP"/>
    </w:rPr>
  </w:style>
  <w:style w:type="character" w:customStyle="1" w:styleId="Heading5Char">
    <w:name w:val="Heading 5 Char"/>
    <w:basedOn w:val="DefaultParagraphFont"/>
    <w:link w:val="Heading5"/>
    <w:uiPriority w:val="9"/>
    <w:qFormat/>
    <w:rPr>
      <w:rFonts w:eastAsiaTheme="majorEastAsia" w:cstheme="majorBidi"/>
      <w:b/>
      <w:i/>
      <w:sz w:val="24"/>
      <w:szCs w:val="22"/>
      <w:lang w:eastAsia="en-US"/>
    </w:rPr>
  </w:style>
  <w:style w:type="paragraph" w:customStyle="1" w:styleId="DisseminationLimitingMarker">
    <w:name w:val="Dissemination Limiting Marker"/>
    <w:next w:val="Normal"/>
    <w:uiPriority w:val="27"/>
    <w:pPr>
      <w:tabs>
        <w:tab w:val="center" w:pos="4820"/>
      </w:tabs>
      <w:jc w:val="center"/>
    </w:pPr>
    <w:rPr>
      <w:rFonts w:ascii="Calibri" w:eastAsia="Calibri" w:hAnsi="Calibri"/>
      <w:b/>
      <w:color w:val="FF0000"/>
      <w:sz w:val="36"/>
      <w:szCs w:val="36"/>
      <w:lang w:val="en-AU" w:eastAsia="en-US"/>
    </w:rPr>
  </w:style>
  <w:style w:type="paragraph" w:styleId="Quote">
    <w:name w:val="Quote"/>
    <w:basedOn w:val="Normal"/>
    <w:next w:val="Normal"/>
    <w:link w:val="QuoteChar"/>
    <w:uiPriority w:val="18"/>
    <w:qFormat/>
    <w:pPr>
      <w:ind w:left="709" w:right="567"/>
    </w:pPr>
    <w:rPr>
      <w:rFonts w:eastAsia="Times New Roman"/>
      <w:iCs/>
      <w:color w:val="000000"/>
      <w:sz w:val="20"/>
      <w:szCs w:val="24"/>
    </w:rPr>
  </w:style>
  <w:style w:type="character" w:customStyle="1" w:styleId="QuoteChar">
    <w:name w:val="Quote Char"/>
    <w:basedOn w:val="DefaultParagraphFont"/>
    <w:link w:val="Quote"/>
    <w:uiPriority w:val="18"/>
    <w:rPr>
      <w:rFonts w:eastAsia="Times New Roman"/>
      <w:iCs/>
      <w:color w:val="000000"/>
      <w:szCs w:val="24"/>
      <w:lang w:eastAsia="en-US"/>
    </w:rPr>
  </w:style>
  <w:style w:type="paragraph" w:customStyle="1" w:styleId="TtulodeTDC1">
    <w:name w:val="Título de TDC1"/>
    <w:next w:val="Normal"/>
    <w:uiPriority w:val="39"/>
    <w:qFormat/>
    <w:pPr>
      <w:pageBreakBefore/>
      <w:spacing w:before="480"/>
    </w:pPr>
    <w:rPr>
      <w:rFonts w:ascii="Calibri" w:eastAsiaTheme="minorEastAsia" w:hAnsi="Calibri" w:cstheme="minorBidi"/>
      <w:bCs/>
      <w:color w:val="000000"/>
      <w:sz w:val="56"/>
      <w:szCs w:val="28"/>
      <w:lang w:val="en-AU" w:eastAsia="ja-JP"/>
    </w:rPr>
  </w:style>
  <w:style w:type="character" w:customStyle="1" w:styleId="FooterChar">
    <w:name w:val="Footer Char"/>
    <w:basedOn w:val="DefaultParagraphFont"/>
    <w:link w:val="Footer"/>
    <w:uiPriority w:val="99"/>
    <w:qFormat/>
    <w:rPr>
      <w:rFonts w:ascii="Calibri" w:hAnsi="Calibri"/>
    </w:rPr>
  </w:style>
  <w:style w:type="paragraph" w:customStyle="1" w:styleId="BoxText">
    <w:name w:val="Box Text"/>
    <w:basedOn w:val="Normal"/>
    <w:uiPriority w:val="19"/>
    <w:qFormat/>
    <w:pPr>
      <w:pBdr>
        <w:top w:val="single" w:sz="4" w:space="10" w:color="auto"/>
        <w:left w:val="single" w:sz="4" w:space="10" w:color="auto"/>
        <w:bottom w:val="single" w:sz="4" w:space="10" w:color="auto"/>
        <w:right w:val="single" w:sz="4" w:space="10" w:color="auto"/>
      </w:pBdr>
      <w:spacing w:after="120"/>
    </w:pPr>
    <w:rPr>
      <w:sz w:val="20"/>
    </w:rPr>
  </w:style>
  <w:style w:type="paragraph" w:customStyle="1" w:styleId="FigureTableNoteSource">
    <w:name w:val="Figure/Table Note/Source"/>
    <w:basedOn w:val="Normal"/>
    <w:next w:val="Normal"/>
    <w:uiPriority w:val="16"/>
    <w:qFormat/>
    <w:pPr>
      <w:spacing w:line="264" w:lineRule="auto"/>
      <w:contextualSpacing/>
    </w:pPr>
    <w:rPr>
      <w:sz w:val="18"/>
    </w:rPr>
  </w:style>
  <w:style w:type="paragraph" w:customStyle="1" w:styleId="BasicParagraph">
    <w:name w:val="[Basic Paragraph]"/>
    <w:basedOn w:val="Normal"/>
    <w:uiPriority w:val="99"/>
    <w:pPr>
      <w:widowControl w:val="0"/>
      <w:autoSpaceDE w:val="0"/>
      <w:autoSpaceDN w:val="0"/>
      <w:adjustRightInd w:val="0"/>
      <w:spacing w:before="0" w:line="288" w:lineRule="auto"/>
      <w:textAlignment w:val="center"/>
    </w:pPr>
    <w:rPr>
      <w:rFonts w:ascii="MinionPro-Regular" w:eastAsiaTheme="minorEastAsia" w:hAnsi="MinionPro-Regular" w:cs="MinionPro-Regular"/>
      <w:color w:val="000000"/>
      <w:sz w:val="24"/>
      <w:szCs w:val="24"/>
      <w:lang w:val="en-US"/>
    </w:rPr>
  </w:style>
  <w:style w:type="paragraph" w:customStyle="1" w:styleId="TableText">
    <w:name w:val="Table Text"/>
    <w:basedOn w:val="Normal"/>
    <w:uiPriority w:val="13"/>
    <w:qFormat/>
    <w:pPr>
      <w:spacing w:before="60" w:after="60"/>
    </w:pPr>
    <w:rPr>
      <w:sz w:val="18"/>
    </w:rPr>
  </w:style>
  <w:style w:type="paragraph" w:customStyle="1" w:styleId="TableHeading">
    <w:name w:val="Table Heading"/>
    <w:basedOn w:val="TableText"/>
    <w:uiPriority w:val="14"/>
    <w:qFormat/>
    <w:pPr>
      <w:keepNext/>
    </w:pPr>
    <w:rPr>
      <w:b/>
    </w:rPr>
  </w:style>
  <w:style w:type="paragraph" w:customStyle="1" w:styleId="Preliminarycontentheading">
    <w:name w:val="Preliminary content heading"/>
    <w:link w:val="PreliminarycontentheadingChar"/>
    <w:uiPriority w:val="28"/>
    <w:qFormat/>
    <w:pPr>
      <w:pageBreakBefore/>
    </w:pPr>
    <w:rPr>
      <w:rFonts w:ascii="Calibri" w:eastAsia="Times New Roman" w:hAnsi="Calibri"/>
      <w:bCs/>
      <w:color w:val="000000"/>
      <w:sz w:val="56"/>
      <w:szCs w:val="28"/>
      <w:lang w:val="en-AU" w:eastAsia="ja-JP"/>
    </w:rPr>
  </w:style>
  <w:style w:type="character" w:customStyle="1" w:styleId="PreliminarycontentheadingChar">
    <w:name w:val="Preliminary content heading Char"/>
    <w:basedOn w:val="DefaultParagraphFont"/>
    <w:link w:val="Preliminarycontentheading"/>
    <w:uiPriority w:val="28"/>
    <w:rPr>
      <w:rFonts w:ascii="Calibri" w:eastAsia="Times New Roman" w:hAnsi="Calibri"/>
      <w:bCs/>
      <w:color w:val="000000"/>
      <w:sz w:val="56"/>
      <w:szCs w:val="28"/>
      <w:lang w:eastAsia="ja-JP"/>
    </w:rPr>
  </w:style>
  <w:style w:type="paragraph" w:customStyle="1" w:styleId="BoxTextBullet">
    <w:name w:val="Box Text Bullet"/>
    <w:basedOn w:val="BoxText"/>
    <w:uiPriority w:val="21"/>
    <w:qFormat/>
    <w:pPr>
      <w:numPr>
        <w:numId w:val="5"/>
      </w:numPr>
      <w:tabs>
        <w:tab w:val="left" w:pos="227"/>
      </w:tabs>
      <w:ind w:left="0" w:firstLine="0"/>
    </w:pPr>
  </w:style>
  <w:style w:type="paragraph" w:customStyle="1" w:styleId="TableBullet">
    <w:name w:val="Table Bullet"/>
    <w:basedOn w:val="TableText"/>
    <w:uiPriority w:val="15"/>
    <w:qFormat/>
    <w:pPr>
      <w:numPr>
        <w:numId w:val="6"/>
      </w:numPr>
    </w:pPr>
  </w:style>
  <w:style w:type="paragraph" w:customStyle="1" w:styleId="BoxHeading">
    <w:name w:val="Box Heading"/>
    <w:basedOn w:val="BoxText"/>
    <w:uiPriority w:val="20"/>
    <w:qFormat/>
    <w:rPr>
      <w:b/>
    </w:rPr>
  </w:style>
  <w:style w:type="paragraph" w:customStyle="1" w:styleId="Securityclassification">
    <w:name w:val="Security classification"/>
    <w:basedOn w:val="Normal"/>
    <w:uiPriority w:val="26"/>
    <w:qFormat/>
    <w:pPr>
      <w:tabs>
        <w:tab w:val="center" w:pos="4820"/>
      </w:tabs>
      <w:jc w:val="center"/>
    </w:pPr>
    <w:rPr>
      <w:b/>
      <w:caps/>
      <w:color w:val="FF0000"/>
      <w:sz w:val="36"/>
      <w:szCs w:val="36"/>
    </w:rPr>
  </w:style>
  <w:style w:type="character" w:customStyle="1" w:styleId="HeaderChar">
    <w:name w:val="Header Char"/>
    <w:basedOn w:val="DefaultParagraphFont"/>
    <w:link w:val="Header"/>
    <w:rPr>
      <w:rFonts w:ascii="Calibri" w:hAnsi="Calibri"/>
    </w:rPr>
  </w:style>
  <w:style w:type="paragraph" w:customStyle="1" w:styleId="BoxSource">
    <w:name w:val="Box Source"/>
    <w:basedOn w:val="FigureTableNoteSource"/>
    <w:uiPriority w:val="22"/>
    <w:qFormat/>
    <w:pPr>
      <w:pBdr>
        <w:top w:val="single" w:sz="4" w:space="10" w:color="auto"/>
        <w:left w:val="single" w:sz="4" w:space="10" w:color="auto"/>
        <w:bottom w:val="single" w:sz="4" w:space="10" w:color="auto"/>
        <w:right w:val="single" w:sz="4" w:space="10" w:color="auto"/>
      </w:pBdr>
    </w:pPr>
  </w:style>
  <w:style w:type="paragraph" w:customStyle="1" w:styleId="AppendixHeading1">
    <w:name w:val="Appendix Heading 1"/>
    <w:qFormat/>
    <w:pPr>
      <w:pageBreakBefore/>
      <w:numPr>
        <w:numId w:val="7"/>
      </w:numPr>
      <w:spacing w:after="240"/>
    </w:pPr>
    <w:rPr>
      <w:rFonts w:asciiTheme="minorHAnsi" w:eastAsia="Times New Roman" w:hAnsiTheme="minorHAnsi"/>
      <w:b/>
      <w:bCs/>
      <w:sz w:val="56"/>
      <w:szCs w:val="24"/>
      <w:lang w:val="en-AU" w:eastAsia="en-US"/>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eastAsia="en-US"/>
    </w:rPr>
  </w:style>
  <w:style w:type="character" w:customStyle="1" w:styleId="CommentTextChar">
    <w:name w:val="Comment Text Char"/>
    <w:basedOn w:val="DefaultParagraphFont"/>
    <w:link w:val="CommentText"/>
    <w:uiPriority w:val="99"/>
    <w:rPr>
      <w:rFonts w:eastAsia="Calibri"/>
      <w:lang w:eastAsia="en-US"/>
    </w:rPr>
  </w:style>
  <w:style w:type="character" w:customStyle="1" w:styleId="CommentSubjectChar">
    <w:name w:val="Comment Subject Char"/>
    <w:basedOn w:val="CommentTextChar"/>
    <w:link w:val="CommentSubject"/>
    <w:uiPriority w:val="99"/>
    <w:semiHidden/>
    <w:rPr>
      <w:rFonts w:eastAsia="Calibri"/>
      <w:b/>
      <w:bCs/>
      <w:lang w:eastAsia="en-US"/>
    </w:rPr>
  </w:style>
  <w:style w:type="paragraph" w:customStyle="1" w:styleId="Picture">
    <w:name w:val="Picture"/>
    <w:qFormat/>
    <w:rPr>
      <w:rFonts w:ascii="Calibri" w:eastAsiaTheme="minorEastAsia" w:hAnsi="Calibri" w:cstheme="minorBidi"/>
      <w:bCs/>
      <w:color w:val="000000"/>
      <w:sz w:val="22"/>
      <w:szCs w:val="28"/>
      <w:lang w:val="en-AU" w:eastAsia="ja-JP"/>
    </w:rPr>
  </w:style>
  <w:style w:type="character" w:customStyle="1" w:styleId="SubtitleChar">
    <w:name w:val="Subtitle Char"/>
    <w:basedOn w:val="DefaultParagraphFont"/>
    <w:link w:val="Subtitle"/>
    <w:uiPriority w:val="23"/>
    <w:rPr>
      <w:rFonts w:eastAsia="Calibri"/>
      <w:sz w:val="40"/>
      <w:szCs w:val="40"/>
      <w:lang w:eastAsia="ja-JP"/>
    </w:rPr>
  </w:style>
  <w:style w:type="character" w:customStyle="1" w:styleId="DateChar">
    <w:name w:val="Date Char"/>
    <w:basedOn w:val="DefaultParagraphFont"/>
    <w:link w:val="Date"/>
    <w:uiPriority w:val="99"/>
    <w:rPr>
      <w:rFonts w:eastAsia="Calibri"/>
      <w:sz w:val="28"/>
      <w:szCs w:val="28"/>
      <w:lang w:eastAsia="en-US"/>
    </w:rPr>
  </w:style>
  <w:style w:type="paragraph" w:customStyle="1" w:styleId="AppendixHeading2">
    <w:name w:val="Appendix Heading 2"/>
    <w:basedOn w:val="Heading2"/>
    <w:qFormat/>
    <w:pPr>
      <w:numPr>
        <w:numId w:val="0"/>
      </w:numPr>
    </w:pPr>
    <w:rPr>
      <w:rFonts w:asciiTheme="minorHAnsi" w:hAnsiTheme="minorHAnsi"/>
      <w:bCs w:val="0"/>
      <w:sz w:val="32"/>
      <w:szCs w:val="24"/>
    </w:rPr>
  </w:style>
  <w:style w:type="paragraph" w:customStyle="1" w:styleId="AppendixHeading3">
    <w:name w:val="Appendix Heading 3"/>
    <w:qFormat/>
    <w:pPr>
      <w:keepNext/>
      <w:tabs>
        <w:tab w:val="left" w:pos="1077"/>
      </w:tabs>
      <w:spacing w:before="240"/>
      <w:ind w:left="1077" w:hanging="1077"/>
    </w:pPr>
    <w:rPr>
      <w:rFonts w:ascii="Cambria" w:eastAsia="Times New Roman" w:hAnsi="Cambria"/>
      <w:b/>
      <w:sz w:val="24"/>
      <w:szCs w:val="24"/>
      <w:lang w:val="en-US" w:eastAsia="en-US" w:bidi="en-US"/>
    </w:rPr>
  </w:style>
  <w:style w:type="paragraph" w:customStyle="1" w:styleId="AppendixHeading4">
    <w:name w:val="Appendix Heading 4"/>
    <w:qFormat/>
    <w:pPr>
      <w:keepNext/>
      <w:tabs>
        <w:tab w:val="left" w:pos="1077"/>
      </w:tabs>
      <w:spacing w:after="120"/>
      <w:ind w:left="1077" w:hanging="1077"/>
    </w:pPr>
    <w:rPr>
      <w:rFonts w:ascii="Calibri" w:eastAsia="Times New Roman" w:hAnsi="Calibri"/>
      <w:b/>
      <w:sz w:val="22"/>
      <w:szCs w:val="24"/>
      <w:lang w:val="en-US" w:eastAsia="en-US" w:bidi="en-US"/>
    </w:rPr>
  </w:style>
  <w:style w:type="paragraph" w:customStyle="1" w:styleId="Endmattercontentheading">
    <w:name w:val="Endmatter content heading"/>
    <w:basedOn w:val="Preliminarycontentheading"/>
    <w:qFormat/>
  </w:style>
  <w:style w:type="paragraph" w:customStyle="1" w:styleId="Revisin1">
    <w:name w:val="Revisión1"/>
    <w:hidden/>
    <w:uiPriority w:val="99"/>
    <w:semiHidden/>
    <w:rPr>
      <w:rFonts w:ascii="Cambria" w:eastAsia="Calibri" w:hAnsi="Cambria"/>
      <w:sz w:val="22"/>
      <w:szCs w:val="22"/>
      <w:lang w:val="en-AU" w:eastAsia="en-US"/>
    </w:rPr>
  </w:style>
  <w:style w:type="character" w:customStyle="1" w:styleId="BodyTextChar">
    <w:name w:val="Body Text Char"/>
    <w:basedOn w:val="DefaultParagraphFont"/>
    <w:link w:val="BodyText"/>
    <w:uiPriority w:val="1"/>
    <w:rPr>
      <w:rFonts w:eastAsia="Times New Roman"/>
      <w:sz w:val="24"/>
      <w:lang w:eastAsia="en-US"/>
    </w:rPr>
  </w:style>
  <w:style w:type="character" w:customStyle="1" w:styleId="EndnoteTextChar">
    <w:name w:val="Endnote Text Char"/>
    <w:basedOn w:val="DefaultParagraphFont"/>
    <w:link w:val="EndnoteText"/>
    <w:uiPriority w:val="99"/>
    <w:semiHidden/>
    <w:rPr>
      <w:rFonts w:ascii="Calibri" w:hAnsi="Calibri"/>
      <w:lang w:eastAsia="en-US"/>
    </w:rPr>
  </w:style>
  <w:style w:type="character" w:customStyle="1" w:styleId="FootnoteTextChar">
    <w:name w:val="Footnote Text Char"/>
    <w:basedOn w:val="DefaultParagraphFont"/>
    <w:link w:val="FootnoteText"/>
    <w:uiPriority w:val="99"/>
    <w:semiHidden/>
    <w:rPr>
      <w:rFonts w:ascii="Calibri" w:hAnsi="Calibri"/>
      <w:lang w:eastAsia="en-US"/>
    </w:rPr>
  </w:style>
  <w:style w:type="paragraph" w:styleId="ListParagraph">
    <w:name w:val="List Paragraph"/>
    <w:basedOn w:val="Normal"/>
    <w:uiPriority w:val="99"/>
    <w:qFormat/>
    <w:pPr>
      <w:ind w:left="720"/>
      <w:contextualSpacing/>
    </w:pPr>
  </w:style>
  <w:style w:type="paragraph" w:customStyle="1" w:styleId="MS">
    <w:name w:val="MS바탕글"/>
    <w:pPr>
      <w:pBdr>
        <w:top w:val="none" w:sz="0" w:space="0" w:color="000000"/>
        <w:left w:val="none" w:sz="0" w:space="0" w:color="000000"/>
        <w:bottom w:val="none" w:sz="0" w:space="0" w:color="000000"/>
        <w:right w:val="none" w:sz="0" w:space="0" w:color="000000"/>
      </w:pBdr>
      <w:autoSpaceDE w:val="0"/>
      <w:autoSpaceDN w:val="0"/>
      <w:textAlignment w:val="baseline"/>
    </w:pPr>
    <w:rPr>
      <w:rFonts w:eastAsia="Times New Roman" w:hAnsi="Malgun Gothic"/>
      <w:color w:val="000000"/>
      <w:kern w:val="2"/>
      <w:sz w:val="24"/>
      <w:szCs w:val="2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778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ites.org/eng/app/appendices.php" TargetMode="External"/><Relationship Id="rId18" Type="http://schemas.openxmlformats.org/officeDocument/2006/relationships/hyperlink" Target="http://www.agriculture.gov.au/forestry/policies/illegal-logging/importers/due-diligence"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www.agriculture.gov.au/illegal-logging" TargetMode="External"/><Relationship Id="rId7" Type="http://schemas.openxmlformats.org/officeDocument/2006/relationships/footnotes" Target="footnotes.xml"/><Relationship Id="rId12" Type="http://schemas.openxmlformats.org/officeDocument/2006/relationships/hyperlink" Target="https://www.infor.cl/" TargetMode="External"/><Relationship Id="rId17" Type="http://schemas.openxmlformats.org/officeDocument/2006/relationships/hyperlink" Target="https://ic.fsc.org/en"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certfor.org/"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af.cl/"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conaf.cl"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http://www.agriculture.gov.au/illegallogging)" TargetMode="External"/><Relationship Id="rId14" Type="http://schemas.openxmlformats.org/officeDocument/2006/relationships/hyperlink" Target="http://seia.sea.gob.cl/busqueda/buscarProyecto.php" TargetMode="External"/><Relationship Id="rId22" Type="http://schemas.openxmlformats.org/officeDocument/2006/relationships/hyperlink" Target="mailto:illegallogging@agriculture.gov.au"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262330-5472-4219-9F44-4431AA6D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5063</Words>
  <Characters>28861</Characters>
  <Application>Microsoft Office Word</Application>
  <DocSecurity>0</DocSecurity>
  <Lines>240</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Default Word template</vt:lpstr>
      <vt:lpstr>Default Word template</vt:lpstr>
    </vt:vector>
  </TitlesOfParts>
  <Company>Department of Agriculture</Company>
  <LinksUpToDate>false</LinksUpToDate>
  <CharactersWithSpaces>33857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Chile Country Specific Guideline</dc:title>
  <dc:creator>Australian Department of Agriculture Water and the Environment</dc:creator>
  <cp:lastModifiedBy>Wallis, Claire</cp:lastModifiedBy>
  <cp:revision>4</cp:revision>
  <cp:lastPrinted>2020-02-19T02:14:00Z</cp:lastPrinted>
  <dcterms:created xsi:type="dcterms:W3CDTF">2020-07-10T03:30:00Z</dcterms:created>
  <dcterms:modified xsi:type="dcterms:W3CDTF">2020-07-10T03:58:00Z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2058-10.2.0.7646</vt:lpwstr>
  </property>
</Properties>
</file>