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31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2B29B2" w:rsidTr="00B00337">
        <w:trPr>
          <w:trHeight w:val="706"/>
        </w:trPr>
        <w:tc>
          <w:tcPr>
            <w:tcW w:w="8720" w:type="dxa"/>
          </w:tcPr>
          <w:p w:rsidR="00F401EF" w:rsidRPr="00CB73C5" w:rsidRDefault="007A0401" w:rsidP="00AB60C1">
            <w:pPr>
              <w:pStyle w:val="Title"/>
            </w:pPr>
            <w:bookmarkStart w:id="0" w:name="_GoBack"/>
            <w:bookmarkEnd w:id="0"/>
            <w:r w:rsidRPr="00AB60C1">
              <w:t xml:space="preserve">Codeine use in </w:t>
            </w:r>
            <w:r w:rsidR="00AB60C1">
              <w:t>children and</w:t>
            </w:r>
            <w:r w:rsidR="00AB60C1">
              <w:br/>
            </w:r>
            <w:r w:rsidR="00AF3B95" w:rsidRPr="00AB60C1">
              <w:t>ultra-</w:t>
            </w:r>
            <w:r w:rsidR="0046168D" w:rsidRPr="00AB60C1">
              <w:t>rapid metabolisers</w:t>
            </w:r>
          </w:p>
        </w:tc>
      </w:tr>
      <w:tr w:rsidR="002B29B2" w:rsidTr="002B29B2">
        <w:trPr>
          <w:trHeight w:val="1916"/>
        </w:trPr>
        <w:tc>
          <w:tcPr>
            <w:tcW w:w="8720" w:type="dxa"/>
          </w:tcPr>
          <w:p w:rsidR="00B00337" w:rsidRPr="00AB60C1" w:rsidRDefault="00E86072" w:rsidP="00AB60C1">
            <w:pPr>
              <w:pStyle w:val="Subtitle"/>
              <w:ind w:left="0"/>
            </w:pPr>
            <w:r w:rsidRPr="00AB60C1">
              <w:t>P</w:t>
            </w:r>
            <w:r w:rsidR="00AB60C1">
              <w:t xml:space="preserve">harmacovigilance and Special </w:t>
            </w:r>
            <w:r w:rsidRPr="00AB60C1">
              <w:t>A</w:t>
            </w:r>
            <w:r w:rsidR="00AB60C1">
              <w:t xml:space="preserve">ccess </w:t>
            </w:r>
            <w:r w:rsidRPr="00AB60C1">
              <w:t>B</w:t>
            </w:r>
            <w:r w:rsidR="00AB60C1">
              <w:t xml:space="preserve">ranch </w:t>
            </w:r>
            <w:r w:rsidR="00887826" w:rsidRPr="00AB60C1">
              <w:t>S</w:t>
            </w:r>
            <w:r w:rsidR="00AB60C1">
              <w:t xml:space="preserve">afety </w:t>
            </w:r>
            <w:r w:rsidR="00887826" w:rsidRPr="00AB60C1">
              <w:t>R</w:t>
            </w:r>
            <w:r w:rsidR="00AB60C1">
              <w:t>eview</w:t>
            </w:r>
          </w:p>
        </w:tc>
      </w:tr>
      <w:tr w:rsidR="002B29B2" w:rsidTr="002B29B2">
        <w:tc>
          <w:tcPr>
            <w:tcW w:w="8720" w:type="dxa"/>
          </w:tcPr>
          <w:p w:rsidR="002B29B2" w:rsidRPr="00816164" w:rsidRDefault="007640FE" w:rsidP="0000062F">
            <w:pPr>
              <w:pStyle w:val="Date"/>
            </w:pPr>
            <w:r>
              <w:t xml:space="preserve">Version 1.0, </w:t>
            </w:r>
            <w:r w:rsidR="0000062F">
              <w:t>October</w:t>
            </w:r>
            <w:r w:rsidR="00E86072">
              <w:t xml:space="preserve"> 2015</w:t>
            </w:r>
          </w:p>
        </w:tc>
      </w:tr>
    </w:tbl>
    <w:p w:rsidR="00B24FF5" w:rsidRDefault="00B24FF5" w:rsidP="00B24FF5">
      <w:pPr>
        <w:pStyle w:val="ListBullet"/>
        <w:sectPr w:rsidR="00B24FF5" w:rsidSect="0036000A">
          <w:headerReference w:type="default" r:id="rId9"/>
          <w:footerReference w:type="default" r:id="rId10"/>
          <w:headerReference w:type="first" r:id="rId11"/>
          <w:footerReference w:type="first" r:id="rId12"/>
          <w:endnotePr>
            <w:numFmt w:val="decimal"/>
          </w:endnotePr>
          <w:type w:val="continuous"/>
          <w:pgSz w:w="11906" w:h="16838" w:code="9"/>
          <w:pgMar w:top="6486" w:right="1418" w:bottom="0" w:left="1418" w:header="992" w:footer="335" w:gutter="0"/>
          <w:cols w:space="708"/>
          <w:titlePg/>
          <w:docGrid w:linePitch="360"/>
        </w:sectPr>
      </w:pPr>
    </w:p>
    <w:p w:rsidR="00B21FC5" w:rsidRPr="00F3529E" w:rsidRDefault="00B21FC5" w:rsidP="00AB60C1">
      <w:pPr>
        <w:pStyle w:val="NonTOCheading2"/>
      </w:pPr>
      <w:r w:rsidRPr="00AB60C1">
        <w:lastRenderedPageBreak/>
        <w:t>About</w:t>
      </w:r>
      <w:r w:rsidRPr="00B21FC5">
        <w:t xml:space="preserve"> the Therapeutic Goods Administration (TGA)</w:t>
      </w:r>
    </w:p>
    <w:p w:rsidR="00B21FC5" w:rsidRPr="00B21FC5" w:rsidRDefault="00494CA4" w:rsidP="00B21FC5">
      <w:pPr>
        <w:pStyle w:val="ListBullet"/>
      </w:pPr>
      <w:r>
        <w:t xml:space="preserve">The Therapeutic Goods Administration (TGA) </w:t>
      </w:r>
      <w:r w:rsidR="00B21FC5" w:rsidRPr="00B21FC5">
        <w:t xml:space="preserve">is </w:t>
      </w:r>
      <w:r>
        <w:t xml:space="preserve">part </w:t>
      </w:r>
      <w:r w:rsidR="00B21FC5" w:rsidRPr="00B21FC5">
        <w:t>of the Australian Government Department of Health, and is</w:t>
      </w:r>
      <w:r w:rsidR="00B21FC5">
        <w:t xml:space="preserve"> </w:t>
      </w:r>
      <w:r w:rsidR="00B21FC5" w:rsidRPr="00B21FC5">
        <w:t>responsible for regulating medicines and medical devices.</w:t>
      </w:r>
    </w:p>
    <w:p w:rsidR="00B21FC5" w:rsidRPr="00B21FC5" w:rsidRDefault="0075524A" w:rsidP="00B21FC5">
      <w:pPr>
        <w:pStyle w:val="ListBullet"/>
      </w:pPr>
      <w:r>
        <w:t>The</w:t>
      </w:r>
      <w:r w:rsidR="00B21FC5" w:rsidRPr="00B21FC5">
        <w:t xml:space="preserve"> TGA administers the </w:t>
      </w:r>
      <w:r w:rsidR="00B21FC5" w:rsidRPr="00B21FC5">
        <w:rPr>
          <w:i/>
          <w:iCs/>
        </w:rPr>
        <w:t xml:space="preserve">Therapeutic Goods Act </w:t>
      </w:r>
      <w:r w:rsidR="00B21FC5" w:rsidRPr="00473864">
        <w:rPr>
          <w:i/>
        </w:rPr>
        <w:t>1989</w:t>
      </w:r>
      <w:r w:rsidR="00B21FC5" w:rsidRPr="00B21FC5">
        <w:t xml:space="preserve"> (the Act), applying a risk management</w:t>
      </w:r>
      <w:r w:rsidR="00B21FC5">
        <w:t xml:space="preserve"> </w:t>
      </w:r>
      <w:r w:rsidR="00B21FC5" w:rsidRPr="00B21FC5">
        <w:t>approach designed to ensure therapeutic goods supplied in Australia meet acceptable standards</w:t>
      </w:r>
      <w:r w:rsidR="00B21FC5">
        <w:t xml:space="preserve"> </w:t>
      </w:r>
      <w:r w:rsidR="00B21FC5" w:rsidRPr="00B21FC5">
        <w:t>of quality, safety and efficacy (performance), when necessary.</w:t>
      </w:r>
    </w:p>
    <w:p w:rsidR="00B21FC5" w:rsidRPr="00B21FC5" w:rsidRDefault="00B21FC5" w:rsidP="00B21FC5">
      <w:pPr>
        <w:pStyle w:val="ListBullet"/>
      </w:pPr>
      <w:r w:rsidRPr="00B21FC5">
        <w:t>The work of the TGA is based on applying scientific and clinical expertise to decision-making, to</w:t>
      </w:r>
      <w:r>
        <w:t xml:space="preserve"> </w:t>
      </w:r>
      <w:r w:rsidRPr="00B21FC5">
        <w:t>ensure that the benefits to consumers outweigh any risks associated with the use of medicines</w:t>
      </w:r>
      <w:r>
        <w:t xml:space="preserve"> </w:t>
      </w:r>
      <w:r w:rsidRPr="00B21FC5">
        <w:t>and medical devices.</w:t>
      </w:r>
    </w:p>
    <w:p w:rsidR="00B21FC5" w:rsidRPr="00B21FC5" w:rsidRDefault="00B21FC5" w:rsidP="00B21FC5">
      <w:pPr>
        <w:pStyle w:val="ListBullet"/>
      </w:pPr>
      <w:r w:rsidRPr="00B21FC5">
        <w:t>The TGA relies on the public, healthcare professionals and industry to report problems</w:t>
      </w:r>
      <w:r>
        <w:t xml:space="preserve"> </w:t>
      </w:r>
      <w:r w:rsidRPr="00B21FC5">
        <w:t>with medicines or medical devices. TGA investigates reports received by it to determine any</w:t>
      </w:r>
      <w:r>
        <w:t xml:space="preserve"> </w:t>
      </w:r>
      <w:r w:rsidRPr="00B21FC5">
        <w:t>necessary regulatory action.</w:t>
      </w:r>
    </w:p>
    <w:p w:rsidR="005D1689" w:rsidRDefault="00B21FC5" w:rsidP="00DD76DE">
      <w:pPr>
        <w:pStyle w:val="ListBullet"/>
      </w:pPr>
      <w:r w:rsidRPr="00B21FC5">
        <w:t>To report a problem with a medicine or medical device, please see the information on the TGA</w:t>
      </w:r>
      <w:r>
        <w:t xml:space="preserve"> w</w:t>
      </w:r>
      <w:r w:rsidRPr="00B21FC5">
        <w:t>ebsite</w:t>
      </w:r>
      <w:r w:rsidR="00753A56">
        <w:t xml:space="preserve"> </w:t>
      </w:r>
      <w:r w:rsidR="00753A56">
        <w:rPr>
          <w:rFonts w:cs="Arial"/>
          <w:lang w:val="en-GB"/>
        </w:rPr>
        <w:t>&lt;</w:t>
      </w:r>
      <w:hyperlink r:id="rId13" w:history="1">
        <w:r w:rsidR="00AB60C1" w:rsidRPr="005346ED">
          <w:rPr>
            <w:rStyle w:val="Hyperlink"/>
          </w:rPr>
          <w:t>https://www.tga.gov.au</w:t>
        </w:r>
      </w:hyperlink>
      <w:r w:rsidR="00753A56">
        <w:rPr>
          <w:rFonts w:cs="Arial"/>
          <w:lang w:val="en-GB"/>
        </w:rPr>
        <w:t>&gt;.</w:t>
      </w:r>
    </w:p>
    <w:p w:rsidR="005D1689" w:rsidRPr="00DF1D7F" w:rsidRDefault="005D1689" w:rsidP="00D55652">
      <w:pPr>
        <w:pStyle w:val="LegalSubheading"/>
        <w:spacing w:before="7080"/>
      </w:pPr>
      <w:r w:rsidRPr="00DF1D7F">
        <w:t>Copyright</w:t>
      </w:r>
    </w:p>
    <w:p w:rsidR="00E177F4" w:rsidRDefault="005D1689" w:rsidP="00E177F4">
      <w:pPr>
        <w:pStyle w:val="LegalCopy"/>
        <w:rPr>
          <w:rFonts w:cs="Arial"/>
        </w:rPr>
      </w:pPr>
      <w:r w:rsidRPr="00191B3B">
        <w:rPr>
          <w:rFonts w:cs="Arial"/>
          <w:lang w:val="en-GB"/>
        </w:rPr>
        <w:t>© Comm</w:t>
      </w:r>
      <w:r>
        <w:rPr>
          <w:rFonts w:cs="Arial"/>
          <w:lang w:val="en-GB"/>
        </w:rPr>
        <w:t>onwealth of Australia 201</w:t>
      </w:r>
      <w:r w:rsidR="004F1240">
        <w:rPr>
          <w:rFonts w:cs="Arial"/>
          <w:lang w:val="en-GB"/>
        </w:rPr>
        <w:t>5</w:t>
      </w:r>
      <w:r w:rsidRPr="00191B3B">
        <w:rPr>
          <w:rFonts w:cs="Arial"/>
          <w:lang w:val="en-GB"/>
        </w:rPr>
        <w:br/>
        <w:t xml:space="preserve">This work is copyright. You may reproduce the whole or part of this work in unaltered form for your own personal use or, if you are part of an organisation, for internal use within your organisation, but only if you or your organisation do not use the reproduction for any commercial purpose and retain this copyright notice and all disclaimer notices as part of that reproduction. Apart from rights to use as permitted by the </w:t>
      </w:r>
      <w:r w:rsidRPr="00191B3B">
        <w:rPr>
          <w:rFonts w:cs="Arial"/>
          <w:i/>
          <w:lang w:val="en-GB"/>
        </w:rPr>
        <w:t>Copyright Act 1968</w:t>
      </w:r>
      <w:r w:rsidRPr="00191B3B">
        <w:rPr>
          <w:rFonts w:cs="Arial"/>
          <w:lang w:val="en-GB"/>
        </w:rPr>
        <w:t xml:space="preserve"> or allowed by this copyright notice, all other rights are reserved and you are not allowed to reproduce the whole or any part of this work in any way (electronic or otherwise) without first being given specific written permission from the Commonwealth to do so. Requests and inquiries concerning reproduction and rights are to be sent to the TGA Copyright Officer, Therapeutic Goods Administration, PO Box 100, </w:t>
      </w:r>
      <w:proofErr w:type="spellStart"/>
      <w:r w:rsidRPr="00191B3B">
        <w:rPr>
          <w:rFonts w:cs="Arial"/>
          <w:lang w:val="en-GB"/>
        </w:rPr>
        <w:t>Woden</w:t>
      </w:r>
      <w:proofErr w:type="spellEnd"/>
      <w:r w:rsidRPr="00191B3B">
        <w:rPr>
          <w:rFonts w:cs="Arial"/>
          <w:lang w:val="en-GB"/>
        </w:rPr>
        <w:t xml:space="preserve"> ACT 2606 or emailed to &lt;</w:t>
      </w:r>
      <w:hyperlink r:id="rId14" w:history="1">
        <w:r w:rsidRPr="00191B3B">
          <w:rPr>
            <w:rStyle w:val="Hyperlink"/>
            <w:rFonts w:cs="Arial"/>
            <w:lang w:val="en-GB"/>
          </w:rPr>
          <w:t>tga.copyright@tga.gov.au</w:t>
        </w:r>
      </w:hyperlink>
      <w:r w:rsidRPr="00191B3B">
        <w:rPr>
          <w:rFonts w:cs="Arial"/>
        </w:rPr>
        <w:t>&gt;.</w:t>
      </w:r>
    </w:p>
    <w:p w:rsidR="004D404D" w:rsidRPr="004D404D" w:rsidRDefault="004D404D" w:rsidP="004D404D">
      <w:pPr>
        <w:keepNext/>
        <w:keepLines/>
        <w:spacing w:before="360"/>
        <w:rPr>
          <w:rFonts w:ascii="Arial" w:hAnsi="Arial"/>
          <w:b/>
          <w:sz w:val="38"/>
        </w:rPr>
      </w:pPr>
      <w:r w:rsidRPr="004D404D">
        <w:rPr>
          <w:rFonts w:ascii="Arial" w:hAnsi="Arial"/>
          <w:b/>
          <w:sz w:val="38"/>
        </w:rPr>
        <w:lastRenderedPageBreak/>
        <w:t>Version history</w:t>
      </w:r>
    </w:p>
    <w:tbl>
      <w:tblPr>
        <w:tblStyle w:val="TableTGAblack1"/>
        <w:tblW w:w="9038" w:type="dxa"/>
        <w:tblLayout w:type="fixed"/>
        <w:tblLook w:val="04A0" w:firstRow="1" w:lastRow="0" w:firstColumn="1" w:lastColumn="0" w:noHBand="0" w:noVBand="1"/>
      </w:tblPr>
      <w:tblGrid>
        <w:gridCol w:w="1276"/>
        <w:gridCol w:w="2518"/>
        <w:gridCol w:w="3436"/>
        <w:gridCol w:w="1808"/>
      </w:tblGrid>
      <w:tr w:rsidR="004D404D" w:rsidRPr="004D404D" w:rsidTr="00E44E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rsidR="004D404D" w:rsidRPr="004D404D" w:rsidRDefault="004D404D" w:rsidP="004D404D">
            <w:pPr>
              <w:keepNext w:val="0"/>
              <w:rPr>
                <w:b w:val="0"/>
                <w:color w:val="auto"/>
                <w:szCs w:val="20"/>
              </w:rPr>
            </w:pPr>
            <w:r w:rsidRPr="004D404D">
              <w:rPr>
                <w:b w:val="0"/>
                <w:color w:val="auto"/>
                <w:szCs w:val="20"/>
              </w:rPr>
              <w:t>Version</w:t>
            </w:r>
          </w:p>
        </w:tc>
        <w:tc>
          <w:tcPr>
            <w:tcW w:w="2518" w:type="dxa"/>
          </w:tcPr>
          <w:p w:rsidR="004D404D" w:rsidRPr="004D404D" w:rsidRDefault="004D404D" w:rsidP="004D404D">
            <w:pPr>
              <w:keepNext w:val="0"/>
              <w:cnfStyle w:val="100000000000" w:firstRow="1" w:lastRow="0" w:firstColumn="0" w:lastColumn="0" w:oddVBand="0" w:evenVBand="0" w:oddHBand="0" w:evenHBand="0" w:firstRowFirstColumn="0" w:firstRowLastColumn="0" w:lastRowFirstColumn="0" w:lastRowLastColumn="0"/>
              <w:rPr>
                <w:b w:val="0"/>
                <w:color w:val="auto"/>
                <w:szCs w:val="20"/>
              </w:rPr>
            </w:pPr>
            <w:r w:rsidRPr="004D404D">
              <w:rPr>
                <w:b w:val="0"/>
                <w:color w:val="auto"/>
                <w:szCs w:val="20"/>
              </w:rPr>
              <w:t>Description of change</w:t>
            </w:r>
          </w:p>
        </w:tc>
        <w:tc>
          <w:tcPr>
            <w:tcW w:w="3436" w:type="dxa"/>
          </w:tcPr>
          <w:p w:rsidR="004D404D" w:rsidRPr="004D404D" w:rsidRDefault="004D404D" w:rsidP="004D404D">
            <w:pPr>
              <w:keepNext w:val="0"/>
              <w:cnfStyle w:val="100000000000" w:firstRow="1" w:lastRow="0" w:firstColumn="0" w:lastColumn="0" w:oddVBand="0" w:evenVBand="0" w:oddHBand="0" w:evenHBand="0" w:firstRowFirstColumn="0" w:firstRowLastColumn="0" w:lastRowFirstColumn="0" w:lastRowLastColumn="0"/>
              <w:rPr>
                <w:b w:val="0"/>
                <w:color w:val="auto"/>
                <w:szCs w:val="20"/>
              </w:rPr>
            </w:pPr>
            <w:r w:rsidRPr="004D404D">
              <w:rPr>
                <w:b w:val="0"/>
                <w:color w:val="auto"/>
                <w:szCs w:val="20"/>
              </w:rPr>
              <w:t>Author</w:t>
            </w:r>
          </w:p>
        </w:tc>
        <w:tc>
          <w:tcPr>
            <w:tcW w:w="1808" w:type="dxa"/>
          </w:tcPr>
          <w:p w:rsidR="004D404D" w:rsidRPr="004D404D" w:rsidRDefault="004D404D" w:rsidP="004D404D">
            <w:pPr>
              <w:keepNext w:val="0"/>
              <w:cnfStyle w:val="100000000000" w:firstRow="1" w:lastRow="0" w:firstColumn="0" w:lastColumn="0" w:oddVBand="0" w:evenVBand="0" w:oddHBand="0" w:evenHBand="0" w:firstRowFirstColumn="0" w:firstRowLastColumn="0" w:lastRowFirstColumn="0" w:lastRowLastColumn="0"/>
              <w:rPr>
                <w:b w:val="0"/>
                <w:color w:val="auto"/>
                <w:szCs w:val="20"/>
              </w:rPr>
            </w:pPr>
            <w:r w:rsidRPr="004D404D">
              <w:rPr>
                <w:b w:val="0"/>
                <w:color w:val="auto"/>
                <w:szCs w:val="20"/>
              </w:rPr>
              <w:t>Effective date</w:t>
            </w:r>
          </w:p>
        </w:tc>
      </w:tr>
      <w:tr w:rsidR="004D404D" w:rsidRPr="004D404D" w:rsidTr="00E44E46">
        <w:trPr>
          <w:trHeight w:val="1418"/>
        </w:trPr>
        <w:tc>
          <w:tcPr>
            <w:cnfStyle w:val="001000000000" w:firstRow="0" w:lastRow="0" w:firstColumn="1" w:lastColumn="0" w:oddVBand="0" w:evenVBand="0" w:oddHBand="0" w:evenHBand="0" w:firstRowFirstColumn="0" w:firstRowLastColumn="0" w:lastRowFirstColumn="0" w:lastRowLastColumn="0"/>
            <w:tcW w:w="1276" w:type="dxa"/>
          </w:tcPr>
          <w:p w:rsidR="004D404D" w:rsidRPr="004D404D" w:rsidRDefault="004D404D" w:rsidP="004D404D">
            <w:pPr>
              <w:rPr>
                <w:color w:val="auto"/>
                <w:szCs w:val="20"/>
              </w:rPr>
            </w:pPr>
            <w:r w:rsidRPr="004D404D">
              <w:rPr>
                <w:color w:val="auto"/>
                <w:szCs w:val="20"/>
              </w:rPr>
              <w:t>V1.0</w:t>
            </w:r>
          </w:p>
        </w:tc>
        <w:tc>
          <w:tcPr>
            <w:tcW w:w="2518" w:type="dxa"/>
          </w:tcPr>
          <w:p w:rsidR="004D404D" w:rsidRPr="004D404D" w:rsidRDefault="004D404D" w:rsidP="004D404D">
            <w:pPr>
              <w:cnfStyle w:val="000000000000" w:firstRow="0" w:lastRow="0" w:firstColumn="0" w:lastColumn="0" w:oddVBand="0" w:evenVBand="0" w:oddHBand="0" w:evenHBand="0" w:firstRowFirstColumn="0" w:firstRowLastColumn="0" w:lastRowFirstColumn="0" w:lastRowLastColumn="0"/>
              <w:rPr>
                <w:color w:val="auto"/>
                <w:szCs w:val="20"/>
              </w:rPr>
            </w:pPr>
            <w:r w:rsidRPr="004D404D">
              <w:rPr>
                <w:color w:val="auto"/>
                <w:szCs w:val="20"/>
              </w:rPr>
              <w:t>Original publication</w:t>
            </w:r>
          </w:p>
        </w:tc>
        <w:tc>
          <w:tcPr>
            <w:tcW w:w="3436" w:type="dxa"/>
          </w:tcPr>
          <w:p w:rsidR="004D404D" w:rsidRPr="004D404D" w:rsidRDefault="004D404D" w:rsidP="004D404D">
            <w:pPr>
              <w:spacing w:before="60" w:after="60" w:line="240" w:lineRule="auto"/>
              <w:cnfStyle w:val="000000000000" w:firstRow="0" w:lastRow="0" w:firstColumn="0" w:lastColumn="0" w:oddVBand="0" w:evenVBand="0" w:oddHBand="0" w:evenHBand="0" w:firstRowFirstColumn="0" w:firstRowLastColumn="0" w:lastRowFirstColumn="0" w:lastRowLastColumn="0"/>
              <w:rPr>
                <w:color w:val="auto"/>
                <w:szCs w:val="20"/>
              </w:rPr>
            </w:pPr>
            <w:r w:rsidRPr="004D404D">
              <w:rPr>
                <w:color w:val="auto"/>
                <w:szCs w:val="20"/>
              </w:rPr>
              <w:t>Signal Investigation Unit</w:t>
            </w:r>
            <w:r w:rsidR="00C164F9">
              <w:rPr>
                <w:color w:val="auto"/>
                <w:szCs w:val="20"/>
              </w:rPr>
              <w:t>,</w:t>
            </w:r>
          </w:p>
          <w:p w:rsidR="004D404D" w:rsidRPr="004D404D" w:rsidRDefault="00C164F9" w:rsidP="004D404D">
            <w:pPr>
              <w:spacing w:before="60" w:after="60" w:line="276" w:lineRule="auto"/>
              <w:cnfStyle w:val="000000000000" w:firstRow="0" w:lastRow="0" w:firstColumn="0" w:lastColumn="0" w:oddVBand="0" w:evenVBand="0" w:oddHBand="0" w:evenHBand="0" w:firstRowFirstColumn="0" w:firstRowLastColumn="0" w:lastRowFirstColumn="0" w:lastRowLastColumn="0"/>
              <w:rPr>
                <w:color w:val="auto"/>
                <w:szCs w:val="20"/>
              </w:rPr>
            </w:pPr>
            <w:r>
              <w:rPr>
                <w:color w:val="auto"/>
                <w:szCs w:val="20"/>
              </w:rPr>
              <w:t>Pharmacovigilance and Special Access Branch</w:t>
            </w:r>
          </w:p>
        </w:tc>
        <w:tc>
          <w:tcPr>
            <w:tcW w:w="1808" w:type="dxa"/>
          </w:tcPr>
          <w:p w:rsidR="004D404D" w:rsidRPr="004D404D" w:rsidRDefault="0000062F" w:rsidP="000D5840">
            <w:pPr>
              <w:cnfStyle w:val="000000000000" w:firstRow="0" w:lastRow="0" w:firstColumn="0" w:lastColumn="0" w:oddVBand="0" w:evenVBand="0" w:oddHBand="0" w:evenHBand="0" w:firstRowFirstColumn="0" w:firstRowLastColumn="0" w:lastRowFirstColumn="0" w:lastRowLastColumn="0"/>
              <w:rPr>
                <w:color w:val="auto"/>
                <w:szCs w:val="20"/>
              </w:rPr>
            </w:pPr>
            <w:r>
              <w:rPr>
                <w:color w:val="auto"/>
                <w:szCs w:val="20"/>
              </w:rPr>
              <w:t>01/10</w:t>
            </w:r>
            <w:r w:rsidR="000D5840">
              <w:rPr>
                <w:color w:val="auto"/>
                <w:szCs w:val="20"/>
              </w:rPr>
              <w:t>/2015</w:t>
            </w:r>
          </w:p>
        </w:tc>
      </w:tr>
    </w:tbl>
    <w:p w:rsidR="004D404D" w:rsidRDefault="004D404D">
      <w:pPr>
        <w:spacing w:before="0" w:after="0" w:line="240" w:lineRule="auto"/>
      </w:pPr>
      <w:r>
        <w:rPr>
          <w:b/>
        </w:rPr>
        <w:br w:type="page"/>
      </w:r>
    </w:p>
    <w:p w:rsidR="003800B4" w:rsidRPr="00241577" w:rsidRDefault="003800B4" w:rsidP="00241577">
      <w:pPr>
        <w:pStyle w:val="NonTOCheading2"/>
        <w:sectPr w:rsidR="003800B4" w:rsidRPr="00241577" w:rsidSect="0036000A">
          <w:headerReference w:type="default" r:id="rId15"/>
          <w:footerReference w:type="default" r:id="rId16"/>
          <w:headerReference w:type="first" r:id="rId17"/>
          <w:footerReference w:type="first" r:id="rId18"/>
          <w:endnotePr>
            <w:numFmt w:val="decimal"/>
          </w:endnotePr>
          <w:type w:val="continuous"/>
          <w:pgSz w:w="11906" w:h="16838" w:code="9"/>
          <w:pgMar w:top="1134" w:right="1418" w:bottom="1134" w:left="1418" w:header="573" w:footer="567" w:gutter="0"/>
          <w:cols w:space="708"/>
          <w:titlePg/>
          <w:docGrid w:linePitch="360"/>
        </w:sectPr>
      </w:pPr>
      <w:bookmarkStart w:id="1" w:name="_Toc323739590"/>
      <w:bookmarkStart w:id="2" w:name="_Toc356305217"/>
    </w:p>
    <w:bookmarkStart w:id="3" w:name="_Toc416959620" w:displacedByCustomXml="next"/>
    <w:bookmarkStart w:id="4" w:name="_Toc431378920" w:displacedByCustomXml="next"/>
    <w:sdt>
      <w:sdtPr>
        <w:rPr>
          <w:rFonts w:ascii="Cambria" w:hAnsi="Cambria"/>
          <w:b w:val="0"/>
          <w:sz w:val="22"/>
        </w:rPr>
        <w:id w:val="-74973172"/>
        <w:docPartObj>
          <w:docPartGallery w:val="Table of Contents"/>
          <w:docPartUnique/>
        </w:docPartObj>
      </w:sdtPr>
      <w:sdtEndPr>
        <w:rPr>
          <w:sz w:val="28"/>
        </w:rPr>
      </w:sdtEndPr>
      <w:sdtContent>
        <w:p w:rsidR="004E0C24" w:rsidRDefault="004E0C24" w:rsidP="009D7C7D">
          <w:pPr>
            <w:pStyle w:val="NonTOCheading2"/>
          </w:pPr>
          <w:r w:rsidRPr="008F69E8">
            <w:t>Contents</w:t>
          </w:r>
        </w:p>
        <w:p w:rsidR="000631DB" w:rsidRDefault="004E0C24">
          <w:pPr>
            <w:pStyle w:val="TOC1"/>
            <w:rPr>
              <w:rFonts w:asciiTheme="minorHAnsi" w:eastAsiaTheme="minorEastAsia" w:hAnsiTheme="minorHAnsi" w:cstheme="minorBidi"/>
              <w:b w:val="0"/>
              <w:noProof/>
              <w:sz w:val="22"/>
              <w:szCs w:val="22"/>
              <w:lang w:eastAsia="en-AU"/>
            </w:rPr>
          </w:pPr>
          <w:r>
            <w:rPr>
              <w:rFonts w:cstheme="minorBidi"/>
              <w:b w:val="0"/>
              <w:sz w:val="28"/>
              <w:szCs w:val="22"/>
            </w:rPr>
            <w:fldChar w:fldCharType="begin"/>
          </w:r>
          <w:r>
            <w:rPr>
              <w:b w:val="0"/>
              <w:sz w:val="28"/>
            </w:rPr>
            <w:instrText xml:space="preserve"> TOC \h \z \u \t "Heading 2,1,Heading 3,2,Heading 4,3,Heading 5,4" </w:instrText>
          </w:r>
          <w:r>
            <w:rPr>
              <w:rFonts w:cstheme="minorBidi"/>
              <w:b w:val="0"/>
              <w:sz w:val="28"/>
              <w:szCs w:val="22"/>
            </w:rPr>
            <w:fldChar w:fldCharType="separate"/>
          </w:r>
          <w:hyperlink w:anchor="_Toc431407221" w:history="1">
            <w:r w:rsidR="000631DB" w:rsidRPr="00E95BD3">
              <w:rPr>
                <w:rStyle w:val="Hyperlink"/>
                <w:noProof/>
              </w:rPr>
              <w:t>Executive summary</w:t>
            </w:r>
            <w:r w:rsidR="000631DB">
              <w:rPr>
                <w:noProof/>
                <w:webHidden/>
              </w:rPr>
              <w:tab/>
            </w:r>
            <w:r w:rsidR="000631DB">
              <w:rPr>
                <w:noProof/>
                <w:webHidden/>
              </w:rPr>
              <w:fldChar w:fldCharType="begin"/>
            </w:r>
            <w:r w:rsidR="000631DB">
              <w:rPr>
                <w:noProof/>
                <w:webHidden/>
              </w:rPr>
              <w:instrText xml:space="preserve"> PAGEREF _Toc431407221 \h </w:instrText>
            </w:r>
            <w:r w:rsidR="000631DB">
              <w:rPr>
                <w:noProof/>
                <w:webHidden/>
              </w:rPr>
            </w:r>
            <w:r w:rsidR="000631DB">
              <w:rPr>
                <w:noProof/>
                <w:webHidden/>
              </w:rPr>
              <w:fldChar w:fldCharType="separate"/>
            </w:r>
            <w:r w:rsidR="000631DB">
              <w:rPr>
                <w:noProof/>
                <w:webHidden/>
              </w:rPr>
              <w:t>6</w:t>
            </w:r>
            <w:r w:rsidR="000631DB">
              <w:rPr>
                <w:noProof/>
                <w:webHidden/>
              </w:rPr>
              <w:fldChar w:fldCharType="end"/>
            </w:r>
          </w:hyperlink>
        </w:p>
        <w:p w:rsidR="000631DB" w:rsidRDefault="00E844E6">
          <w:pPr>
            <w:pStyle w:val="TOC2"/>
            <w:rPr>
              <w:rFonts w:asciiTheme="minorHAnsi" w:eastAsiaTheme="minorEastAsia" w:hAnsiTheme="minorHAnsi" w:cstheme="minorBidi"/>
              <w:b w:val="0"/>
              <w:noProof/>
              <w:sz w:val="22"/>
              <w:szCs w:val="22"/>
              <w:lang w:eastAsia="en-AU"/>
            </w:rPr>
          </w:pPr>
          <w:hyperlink w:anchor="_Toc431407222" w:history="1">
            <w:r w:rsidR="000631DB" w:rsidRPr="00E95BD3">
              <w:rPr>
                <w:rStyle w:val="Hyperlink"/>
                <w:noProof/>
              </w:rPr>
              <w:t>TGA recommendations</w:t>
            </w:r>
            <w:r w:rsidR="000631DB">
              <w:rPr>
                <w:noProof/>
                <w:webHidden/>
              </w:rPr>
              <w:tab/>
            </w:r>
            <w:r w:rsidR="000631DB">
              <w:rPr>
                <w:noProof/>
                <w:webHidden/>
              </w:rPr>
              <w:fldChar w:fldCharType="begin"/>
            </w:r>
            <w:r w:rsidR="000631DB">
              <w:rPr>
                <w:noProof/>
                <w:webHidden/>
              </w:rPr>
              <w:instrText xml:space="preserve"> PAGEREF _Toc431407222 \h </w:instrText>
            </w:r>
            <w:r w:rsidR="000631DB">
              <w:rPr>
                <w:noProof/>
                <w:webHidden/>
              </w:rPr>
            </w:r>
            <w:r w:rsidR="000631DB">
              <w:rPr>
                <w:noProof/>
                <w:webHidden/>
              </w:rPr>
              <w:fldChar w:fldCharType="separate"/>
            </w:r>
            <w:r w:rsidR="000631DB">
              <w:rPr>
                <w:noProof/>
                <w:webHidden/>
              </w:rPr>
              <w:t>6</w:t>
            </w:r>
            <w:r w:rsidR="000631DB">
              <w:rPr>
                <w:noProof/>
                <w:webHidden/>
              </w:rPr>
              <w:fldChar w:fldCharType="end"/>
            </w:r>
          </w:hyperlink>
        </w:p>
        <w:p w:rsidR="000631DB" w:rsidRDefault="00E844E6">
          <w:pPr>
            <w:pStyle w:val="TOC1"/>
            <w:tabs>
              <w:tab w:val="left" w:pos="425"/>
            </w:tabs>
            <w:rPr>
              <w:rFonts w:asciiTheme="minorHAnsi" w:eastAsiaTheme="minorEastAsia" w:hAnsiTheme="minorHAnsi" w:cstheme="minorBidi"/>
              <w:b w:val="0"/>
              <w:noProof/>
              <w:sz w:val="22"/>
              <w:szCs w:val="22"/>
              <w:lang w:eastAsia="en-AU"/>
            </w:rPr>
          </w:pPr>
          <w:hyperlink w:anchor="_Toc431407223" w:history="1">
            <w:r w:rsidR="000631DB" w:rsidRPr="00E95BD3">
              <w:rPr>
                <w:rStyle w:val="Hyperlink"/>
                <w:rFonts w:asciiTheme="majorHAnsi" w:hAnsiTheme="majorHAnsi" w:cstheme="majorHAnsi"/>
                <w:noProof/>
              </w:rPr>
              <w:t>1</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Introduction</w:t>
            </w:r>
            <w:r w:rsidR="000631DB">
              <w:rPr>
                <w:noProof/>
                <w:webHidden/>
              </w:rPr>
              <w:tab/>
            </w:r>
            <w:r w:rsidR="000631DB">
              <w:rPr>
                <w:noProof/>
                <w:webHidden/>
              </w:rPr>
              <w:fldChar w:fldCharType="begin"/>
            </w:r>
            <w:r w:rsidR="000631DB">
              <w:rPr>
                <w:noProof/>
                <w:webHidden/>
              </w:rPr>
              <w:instrText xml:space="preserve"> PAGEREF _Toc431407223 \h </w:instrText>
            </w:r>
            <w:r w:rsidR="000631DB">
              <w:rPr>
                <w:noProof/>
                <w:webHidden/>
              </w:rPr>
            </w:r>
            <w:r w:rsidR="000631DB">
              <w:rPr>
                <w:noProof/>
                <w:webHidden/>
              </w:rPr>
              <w:fldChar w:fldCharType="separate"/>
            </w:r>
            <w:r w:rsidR="000631DB">
              <w:rPr>
                <w:noProof/>
                <w:webHidden/>
              </w:rPr>
              <w:t>7</w:t>
            </w:r>
            <w:r w:rsidR="000631DB">
              <w:rPr>
                <w:noProof/>
                <w:webHidden/>
              </w:rPr>
              <w:fldChar w:fldCharType="end"/>
            </w:r>
          </w:hyperlink>
        </w:p>
        <w:p w:rsidR="000631DB" w:rsidRDefault="00E844E6">
          <w:pPr>
            <w:pStyle w:val="TOC1"/>
            <w:tabs>
              <w:tab w:val="left" w:pos="425"/>
            </w:tabs>
            <w:rPr>
              <w:rFonts w:asciiTheme="minorHAnsi" w:eastAsiaTheme="minorEastAsia" w:hAnsiTheme="minorHAnsi" w:cstheme="minorBidi"/>
              <w:b w:val="0"/>
              <w:noProof/>
              <w:sz w:val="22"/>
              <w:szCs w:val="22"/>
              <w:lang w:eastAsia="en-AU"/>
            </w:rPr>
          </w:pPr>
          <w:hyperlink w:anchor="_Toc431407224" w:history="1">
            <w:r w:rsidR="000631DB" w:rsidRPr="00E95BD3">
              <w:rPr>
                <w:rStyle w:val="Hyperlink"/>
                <w:rFonts w:asciiTheme="majorHAnsi" w:hAnsiTheme="majorHAnsi" w:cstheme="majorHAnsi"/>
                <w:noProof/>
              </w:rPr>
              <w:t>2</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Background</w:t>
            </w:r>
            <w:r w:rsidR="000631DB">
              <w:rPr>
                <w:noProof/>
                <w:webHidden/>
              </w:rPr>
              <w:tab/>
            </w:r>
            <w:r w:rsidR="000631DB">
              <w:rPr>
                <w:noProof/>
                <w:webHidden/>
              </w:rPr>
              <w:fldChar w:fldCharType="begin"/>
            </w:r>
            <w:r w:rsidR="000631DB">
              <w:rPr>
                <w:noProof/>
                <w:webHidden/>
              </w:rPr>
              <w:instrText xml:space="preserve"> PAGEREF _Toc431407224 \h </w:instrText>
            </w:r>
            <w:r w:rsidR="000631DB">
              <w:rPr>
                <w:noProof/>
                <w:webHidden/>
              </w:rPr>
            </w:r>
            <w:r w:rsidR="000631DB">
              <w:rPr>
                <w:noProof/>
                <w:webHidden/>
              </w:rPr>
              <w:fldChar w:fldCharType="separate"/>
            </w:r>
            <w:r w:rsidR="000631DB">
              <w:rPr>
                <w:noProof/>
                <w:webHidden/>
              </w:rPr>
              <w:t>7</w:t>
            </w:r>
            <w:r w:rsidR="000631DB">
              <w:rPr>
                <w:noProof/>
                <w:webHidden/>
              </w:rPr>
              <w:fldChar w:fldCharType="end"/>
            </w:r>
          </w:hyperlink>
        </w:p>
        <w:p w:rsidR="000631DB" w:rsidRDefault="00E844E6">
          <w:pPr>
            <w:pStyle w:val="TOC2"/>
            <w:tabs>
              <w:tab w:val="left" w:pos="1276"/>
            </w:tabs>
            <w:rPr>
              <w:rFonts w:asciiTheme="minorHAnsi" w:eastAsiaTheme="minorEastAsia" w:hAnsiTheme="minorHAnsi" w:cstheme="minorBidi"/>
              <w:b w:val="0"/>
              <w:noProof/>
              <w:sz w:val="22"/>
              <w:szCs w:val="22"/>
              <w:lang w:eastAsia="en-AU"/>
            </w:rPr>
          </w:pPr>
          <w:hyperlink w:anchor="_Toc431407225" w:history="1">
            <w:r w:rsidR="000631DB" w:rsidRPr="00E95BD3">
              <w:rPr>
                <w:rStyle w:val="Hyperlink"/>
                <w:rFonts w:asciiTheme="majorHAnsi" w:hAnsiTheme="majorHAnsi" w:cstheme="majorHAnsi"/>
                <w:noProof/>
              </w:rPr>
              <w:t>2.1</w:t>
            </w:r>
            <w:r w:rsidR="000631DB">
              <w:rPr>
                <w:rFonts w:asciiTheme="minorHAnsi" w:eastAsiaTheme="minorEastAsia" w:hAnsiTheme="minorHAnsi" w:cstheme="minorBidi"/>
                <w:b w:val="0"/>
                <w:noProof/>
                <w:sz w:val="22"/>
                <w:szCs w:val="22"/>
                <w:lang w:eastAsia="en-AU"/>
              </w:rPr>
              <w:tab/>
            </w:r>
            <w:r w:rsidR="000631DB" w:rsidRPr="00E95BD3">
              <w:rPr>
                <w:rStyle w:val="Hyperlink"/>
                <w:rFonts w:asciiTheme="majorHAnsi" w:hAnsiTheme="majorHAnsi" w:cstheme="majorHAnsi"/>
                <w:noProof/>
              </w:rPr>
              <w:t>Codeine metabolism and CYP2D6 genotype</w:t>
            </w:r>
            <w:r w:rsidR="000631DB">
              <w:rPr>
                <w:noProof/>
                <w:webHidden/>
              </w:rPr>
              <w:tab/>
            </w:r>
            <w:r w:rsidR="000631DB">
              <w:rPr>
                <w:noProof/>
                <w:webHidden/>
              </w:rPr>
              <w:fldChar w:fldCharType="begin"/>
            </w:r>
            <w:r w:rsidR="000631DB">
              <w:rPr>
                <w:noProof/>
                <w:webHidden/>
              </w:rPr>
              <w:instrText xml:space="preserve"> PAGEREF _Toc431407225 \h </w:instrText>
            </w:r>
            <w:r w:rsidR="000631DB">
              <w:rPr>
                <w:noProof/>
                <w:webHidden/>
              </w:rPr>
            </w:r>
            <w:r w:rsidR="000631DB">
              <w:rPr>
                <w:noProof/>
                <w:webHidden/>
              </w:rPr>
              <w:fldChar w:fldCharType="separate"/>
            </w:r>
            <w:r w:rsidR="000631DB">
              <w:rPr>
                <w:noProof/>
                <w:webHidden/>
              </w:rPr>
              <w:t>7</w:t>
            </w:r>
            <w:r w:rsidR="000631DB">
              <w:rPr>
                <w:noProof/>
                <w:webHidden/>
              </w:rPr>
              <w:fldChar w:fldCharType="end"/>
            </w:r>
          </w:hyperlink>
        </w:p>
        <w:p w:rsidR="000631DB" w:rsidRDefault="00E844E6">
          <w:pPr>
            <w:pStyle w:val="TOC2"/>
            <w:tabs>
              <w:tab w:val="left" w:pos="1276"/>
            </w:tabs>
            <w:rPr>
              <w:rFonts w:asciiTheme="minorHAnsi" w:eastAsiaTheme="minorEastAsia" w:hAnsiTheme="minorHAnsi" w:cstheme="minorBidi"/>
              <w:b w:val="0"/>
              <w:noProof/>
              <w:sz w:val="22"/>
              <w:szCs w:val="22"/>
              <w:lang w:eastAsia="en-AU"/>
            </w:rPr>
          </w:pPr>
          <w:hyperlink w:anchor="_Toc431407226" w:history="1">
            <w:r w:rsidR="000631DB" w:rsidRPr="00E95BD3">
              <w:rPr>
                <w:rStyle w:val="Hyperlink"/>
                <w:rFonts w:asciiTheme="majorHAnsi" w:hAnsiTheme="majorHAnsi" w:cstheme="majorHAnsi"/>
                <w:noProof/>
              </w:rPr>
              <w:t>2.2</w:t>
            </w:r>
            <w:r w:rsidR="000631DB">
              <w:rPr>
                <w:rFonts w:asciiTheme="minorHAnsi" w:eastAsiaTheme="minorEastAsia" w:hAnsiTheme="minorHAnsi" w:cstheme="minorBidi"/>
                <w:b w:val="0"/>
                <w:noProof/>
                <w:sz w:val="22"/>
                <w:szCs w:val="22"/>
                <w:lang w:eastAsia="en-AU"/>
              </w:rPr>
              <w:tab/>
            </w:r>
            <w:r w:rsidR="000631DB" w:rsidRPr="00E95BD3">
              <w:rPr>
                <w:rStyle w:val="Hyperlink"/>
                <w:rFonts w:asciiTheme="majorHAnsi" w:hAnsiTheme="majorHAnsi" w:cstheme="majorHAnsi"/>
                <w:noProof/>
              </w:rPr>
              <w:t>Adenotonsillectomy for obstructive sleep apnoea in paediatrics</w:t>
            </w:r>
            <w:r w:rsidR="000631DB">
              <w:rPr>
                <w:noProof/>
                <w:webHidden/>
              </w:rPr>
              <w:tab/>
            </w:r>
            <w:r w:rsidR="000631DB">
              <w:rPr>
                <w:noProof/>
                <w:webHidden/>
              </w:rPr>
              <w:fldChar w:fldCharType="begin"/>
            </w:r>
            <w:r w:rsidR="000631DB">
              <w:rPr>
                <w:noProof/>
                <w:webHidden/>
              </w:rPr>
              <w:instrText xml:space="preserve"> PAGEREF _Toc431407226 \h </w:instrText>
            </w:r>
            <w:r w:rsidR="000631DB">
              <w:rPr>
                <w:noProof/>
                <w:webHidden/>
              </w:rPr>
            </w:r>
            <w:r w:rsidR="000631DB">
              <w:rPr>
                <w:noProof/>
                <w:webHidden/>
              </w:rPr>
              <w:fldChar w:fldCharType="separate"/>
            </w:r>
            <w:r w:rsidR="000631DB">
              <w:rPr>
                <w:noProof/>
                <w:webHidden/>
              </w:rPr>
              <w:t>9</w:t>
            </w:r>
            <w:r w:rsidR="000631DB">
              <w:rPr>
                <w:noProof/>
                <w:webHidden/>
              </w:rPr>
              <w:fldChar w:fldCharType="end"/>
            </w:r>
          </w:hyperlink>
        </w:p>
        <w:p w:rsidR="000631DB" w:rsidRDefault="00E844E6">
          <w:pPr>
            <w:pStyle w:val="TOC1"/>
            <w:tabs>
              <w:tab w:val="left" w:pos="425"/>
            </w:tabs>
            <w:rPr>
              <w:rFonts w:asciiTheme="minorHAnsi" w:eastAsiaTheme="minorEastAsia" w:hAnsiTheme="minorHAnsi" w:cstheme="minorBidi"/>
              <w:b w:val="0"/>
              <w:noProof/>
              <w:sz w:val="22"/>
              <w:szCs w:val="22"/>
              <w:lang w:eastAsia="en-AU"/>
            </w:rPr>
          </w:pPr>
          <w:hyperlink w:anchor="_Toc431407227" w:history="1">
            <w:r w:rsidR="000631DB" w:rsidRPr="00E95BD3">
              <w:rPr>
                <w:rStyle w:val="Hyperlink"/>
                <w:rFonts w:asciiTheme="majorHAnsi" w:hAnsiTheme="majorHAnsi" w:cstheme="majorHAnsi"/>
                <w:noProof/>
              </w:rPr>
              <w:t>3</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International regulatory action</w:t>
            </w:r>
            <w:r w:rsidR="000631DB">
              <w:rPr>
                <w:noProof/>
                <w:webHidden/>
              </w:rPr>
              <w:tab/>
            </w:r>
            <w:r w:rsidR="000631DB">
              <w:rPr>
                <w:noProof/>
                <w:webHidden/>
              </w:rPr>
              <w:fldChar w:fldCharType="begin"/>
            </w:r>
            <w:r w:rsidR="000631DB">
              <w:rPr>
                <w:noProof/>
                <w:webHidden/>
              </w:rPr>
              <w:instrText xml:space="preserve"> PAGEREF _Toc431407227 \h </w:instrText>
            </w:r>
            <w:r w:rsidR="000631DB">
              <w:rPr>
                <w:noProof/>
                <w:webHidden/>
              </w:rPr>
            </w:r>
            <w:r w:rsidR="000631DB">
              <w:rPr>
                <w:noProof/>
                <w:webHidden/>
              </w:rPr>
              <w:fldChar w:fldCharType="separate"/>
            </w:r>
            <w:r w:rsidR="000631DB">
              <w:rPr>
                <w:noProof/>
                <w:webHidden/>
              </w:rPr>
              <w:t>9</w:t>
            </w:r>
            <w:r w:rsidR="000631DB">
              <w:rPr>
                <w:noProof/>
                <w:webHidden/>
              </w:rPr>
              <w:fldChar w:fldCharType="end"/>
            </w:r>
          </w:hyperlink>
        </w:p>
        <w:p w:rsidR="000631DB" w:rsidRDefault="00E844E6">
          <w:pPr>
            <w:pStyle w:val="TOC2"/>
            <w:tabs>
              <w:tab w:val="left" w:pos="1276"/>
            </w:tabs>
            <w:rPr>
              <w:rFonts w:asciiTheme="minorHAnsi" w:eastAsiaTheme="minorEastAsia" w:hAnsiTheme="minorHAnsi" w:cstheme="minorBidi"/>
              <w:b w:val="0"/>
              <w:noProof/>
              <w:sz w:val="22"/>
              <w:szCs w:val="22"/>
              <w:lang w:eastAsia="en-AU"/>
            </w:rPr>
          </w:pPr>
          <w:hyperlink w:anchor="_Toc431407228" w:history="1">
            <w:r w:rsidR="000631DB" w:rsidRPr="00E95BD3">
              <w:rPr>
                <w:rStyle w:val="Hyperlink"/>
                <w:noProof/>
              </w:rPr>
              <w:t>3.1</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FDA</w:t>
            </w:r>
            <w:r w:rsidR="000631DB">
              <w:rPr>
                <w:noProof/>
                <w:webHidden/>
              </w:rPr>
              <w:tab/>
            </w:r>
            <w:r w:rsidR="000631DB">
              <w:rPr>
                <w:noProof/>
                <w:webHidden/>
              </w:rPr>
              <w:fldChar w:fldCharType="begin"/>
            </w:r>
            <w:r w:rsidR="000631DB">
              <w:rPr>
                <w:noProof/>
                <w:webHidden/>
              </w:rPr>
              <w:instrText xml:space="preserve"> PAGEREF _Toc431407228 \h </w:instrText>
            </w:r>
            <w:r w:rsidR="000631DB">
              <w:rPr>
                <w:noProof/>
                <w:webHidden/>
              </w:rPr>
            </w:r>
            <w:r w:rsidR="000631DB">
              <w:rPr>
                <w:noProof/>
                <w:webHidden/>
              </w:rPr>
              <w:fldChar w:fldCharType="separate"/>
            </w:r>
            <w:r w:rsidR="000631DB">
              <w:rPr>
                <w:noProof/>
                <w:webHidden/>
              </w:rPr>
              <w:t>9</w:t>
            </w:r>
            <w:r w:rsidR="000631DB">
              <w:rPr>
                <w:noProof/>
                <w:webHidden/>
              </w:rPr>
              <w:fldChar w:fldCharType="end"/>
            </w:r>
          </w:hyperlink>
        </w:p>
        <w:p w:rsidR="000631DB" w:rsidRDefault="00E844E6">
          <w:pPr>
            <w:pStyle w:val="TOC3"/>
            <w:tabs>
              <w:tab w:val="left" w:pos="1701"/>
            </w:tabs>
            <w:rPr>
              <w:rFonts w:asciiTheme="minorHAnsi" w:eastAsiaTheme="minorEastAsia" w:hAnsiTheme="minorHAnsi" w:cstheme="minorBidi"/>
              <w:b w:val="0"/>
              <w:noProof/>
              <w:szCs w:val="22"/>
              <w:lang w:eastAsia="en-AU"/>
            </w:rPr>
          </w:pPr>
          <w:hyperlink w:anchor="_Toc431407229" w:history="1">
            <w:r w:rsidR="000631DB" w:rsidRPr="00E95BD3">
              <w:rPr>
                <w:rStyle w:val="Hyperlink"/>
                <w:noProof/>
              </w:rPr>
              <w:t>3.1.1</w:t>
            </w:r>
            <w:r w:rsidR="000631DB">
              <w:rPr>
                <w:rFonts w:asciiTheme="minorHAnsi" w:eastAsiaTheme="minorEastAsia" w:hAnsiTheme="minorHAnsi" w:cstheme="minorBidi"/>
                <w:b w:val="0"/>
                <w:noProof/>
                <w:szCs w:val="22"/>
                <w:lang w:eastAsia="en-AU"/>
              </w:rPr>
              <w:tab/>
            </w:r>
            <w:r w:rsidR="000631DB" w:rsidRPr="00E95BD3">
              <w:rPr>
                <w:rStyle w:val="Hyperlink"/>
                <w:noProof/>
              </w:rPr>
              <w:t>FDA actions relating to ultra-rapid metabolism of codeine in the context of breast feeding</w:t>
            </w:r>
            <w:r w:rsidR="000631DB">
              <w:rPr>
                <w:noProof/>
                <w:webHidden/>
              </w:rPr>
              <w:tab/>
            </w:r>
            <w:r w:rsidR="000631DB">
              <w:rPr>
                <w:noProof/>
                <w:webHidden/>
              </w:rPr>
              <w:fldChar w:fldCharType="begin"/>
            </w:r>
            <w:r w:rsidR="000631DB">
              <w:rPr>
                <w:noProof/>
                <w:webHidden/>
              </w:rPr>
              <w:instrText xml:space="preserve"> PAGEREF _Toc431407229 \h </w:instrText>
            </w:r>
            <w:r w:rsidR="000631DB">
              <w:rPr>
                <w:noProof/>
                <w:webHidden/>
              </w:rPr>
            </w:r>
            <w:r w:rsidR="000631DB">
              <w:rPr>
                <w:noProof/>
                <w:webHidden/>
              </w:rPr>
              <w:fldChar w:fldCharType="separate"/>
            </w:r>
            <w:r w:rsidR="000631DB">
              <w:rPr>
                <w:noProof/>
                <w:webHidden/>
              </w:rPr>
              <w:t>9</w:t>
            </w:r>
            <w:r w:rsidR="000631DB">
              <w:rPr>
                <w:noProof/>
                <w:webHidden/>
              </w:rPr>
              <w:fldChar w:fldCharType="end"/>
            </w:r>
          </w:hyperlink>
        </w:p>
        <w:p w:rsidR="000631DB" w:rsidRDefault="00E844E6">
          <w:pPr>
            <w:pStyle w:val="TOC3"/>
            <w:tabs>
              <w:tab w:val="left" w:pos="1701"/>
            </w:tabs>
            <w:rPr>
              <w:rFonts w:asciiTheme="minorHAnsi" w:eastAsiaTheme="minorEastAsia" w:hAnsiTheme="minorHAnsi" w:cstheme="minorBidi"/>
              <w:b w:val="0"/>
              <w:noProof/>
              <w:szCs w:val="22"/>
              <w:lang w:eastAsia="en-AU"/>
            </w:rPr>
          </w:pPr>
          <w:hyperlink w:anchor="_Toc431407230" w:history="1">
            <w:r w:rsidR="000631DB" w:rsidRPr="00E95BD3">
              <w:rPr>
                <w:rStyle w:val="Hyperlink"/>
                <w:noProof/>
              </w:rPr>
              <w:t>3.1.2</w:t>
            </w:r>
            <w:r w:rsidR="000631DB">
              <w:rPr>
                <w:rFonts w:asciiTheme="minorHAnsi" w:eastAsiaTheme="minorEastAsia" w:hAnsiTheme="minorHAnsi" w:cstheme="minorBidi"/>
                <w:b w:val="0"/>
                <w:noProof/>
                <w:szCs w:val="22"/>
                <w:lang w:eastAsia="en-AU"/>
              </w:rPr>
              <w:tab/>
            </w:r>
            <w:r w:rsidR="000631DB" w:rsidRPr="00E95BD3">
              <w:rPr>
                <w:rStyle w:val="Hyperlink"/>
                <w:noProof/>
              </w:rPr>
              <w:t>FDA safety review of the use of codeine in children post-adenotonsillectomy</w:t>
            </w:r>
            <w:r w:rsidR="000631DB">
              <w:rPr>
                <w:noProof/>
                <w:webHidden/>
              </w:rPr>
              <w:tab/>
            </w:r>
            <w:r w:rsidR="000631DB">
              <w:rPr>
                <w:noProof/>
                <w:webHidden/>
              </w:rPr>
              <w:fldChar w:fldCharType="begin"/>
            </w:r>
            <w:r w:rsidR="000631DB">
              <w:rPr>
                <w:noProof/>
                <w:webHidden/>
              </w:rPr>
              <w:instrText xml:space="preserve"> PAGEREF _Toc431407230 \h </w:instrText>
            </w:r>
            <w:r w:rsidR="000631DB">
              <w:rPr>
                <w:noProof/>
                <w:webHidden/>
              </w:rPr>
            </w:r>
            <w:r w:rsidR="000631DB">
              <w:rPr>
                <w:noProof/>
                <w:webHidden/>
              </w:rPr>
              <w:fldChar w:fldCharType="separate"/>
            </w:r>
            <w:r w:rsidR="000631DB">
              <w:rPr>
                <w:noProof/>
                <w:webHidden/>
              </w:rPr>
              <w:t>10</w:t>
            </w:r>
            <w:r w:rsidR="000631DB">
              <w:rPr>
                <w:noProof/>
                <w:webHidden/>
              </w:rPr>
              <w:fldChar w:fldCharType="end"/>
            </w:r>
          </w:hyperlink>
        </w:p>
        <w:p w:rsidR="000631DB" w:rsidRDefault="00E844E6">
          <w:pPr>
            <w:pStyle w:val="TOC3"/>
            <w:tabs>
              <w:tab w:val="left" w:pos="1701"/>
            </w:tabs>
            <w:rPr>
              <w:rFonts w:asciiTheme="minorHAnsi" w:eastAsiaTheme="minorEastAsia" w:hAnsiTheme="minorHAnsi" w:cstheme="minorBidi"/>
              <w:b w:val="0"/>
              <w:noProof/>
              <w:szCs w:val="22"/>
              <w:lang w:eastAsia="en-AU"/>
            </w:rPr>
          </w:pPr>
          <w:hyperlink w:anchor="_Toc431407231" w:history="1">
            <w:r w:rsidR="000631DB" w:rsidRPr="00E95BD3">
              <w:rPr>
                <w:rStyle w:val="Hyperlink"/>
                <w:noProof/>
              </w:rPr>
              <w:t>3.1.3</w:t>
            </w:r>
            <w:r w:rsidR="000631DB">
              <w:rPr>
                <w:rFonts w:asciiTheme="minorHAnsi" w:eastAsiaTheme="minorEastAsia" w:hAnsiTheme="minorHAnsi" w:cstheme="minorBidi"/>
                <w:b w:val="0"/>
                <w:noProof/>
                <w:szCs w:val="22"/>
                <w:lang w:eastAsia="en-AU"/>
              </w:rPr>
              <w:tab/>
            </w:r>
            <w:r w:rsidR="000631DB" w:rsidRPr="00E95BD3">
              <w:rPr>
                <w:rStyle w:val="Hyperlink"/>
                <w:noProof/>
              </w:rPr>
              <w:t>FDA decision and regulatory action</w:t>
            </w:r>
            <w:r w:rsidR="000631DB">
              <w:rPr>
                <w:noProof/>
                <w:webHidden/>
              </w:rPr>
              <w:tab/>
            </w:r>
            <w:r w:rsidR="000631DB">
              <w:rPr>
                <w:noProof/>
                <w:webHidden/>
              </w:rPr>
              <w:fldChar w:fldCharType="begin"/>
            </w:r>
            <w:r w:rsidR="000631DB">
              <w:rPr>
                <w:noProof/>
                <w:webHidden/>
              </w:rPr>
              <w:instrText xml:space="preserve"> PAGEREF _Toc431407231 \h </w:instrText>
            </w:r>
            <w:r w:rsidR="000631DB">
              <w:rPr>
                <w:noProof/>
                <w:webHidden/>
              </w:rPr>
            </w:r>
            <w:r w:rsidR="000631DB">
              <w:rPr>
                <w:noProof/>
                <w:webHidden/>
              </w:rPr>
              <w:fldChar w:fldCharType="separate"/>
            </w:r>
            <w:r w:rsidR="000631DB">
              <w:rPr>
                <w:noProof/>
                <w:webHidden/>
              </w:rPr>
              <w:t>11</w:t>
            </w:r>
            <w:r w:rsidR="000631DB">
              <w:rPr>
                <w:noProof/>
                <w:webHidden/>
              </w:rPr>
              <w:fldChar w:fldCharType="end"/>
            </w:r>
          </w:hyperlink>
        </w:p>
        <w:p w:rsidR="000631DB" w:rsidRDefault="00E844E6">
          <w:pPr>
            <w:pStyle w:val="TOC2"/>
            <w:tabs>
              <w:tab w:val="left" w:pos="1276"/>
            </w:tabs>
            <w:rPr>
              <w:rFonts w:asciiTheme="minorHAnsi" w:eastAsiaTheme="minorEastAsia" w:hAnsiTheme="minorHAnsi" w:cstheme="minorBidi"/>
              <w:b w:val="0"/>
              <w:noProof/>
              <w:sz w:val="22"/>
              <w:szCs w:val="22"/>
              <w:lang w:eastAsia="en-AU"/>
            </w:rPr>
          </w:pPr>
          <w:hyperlink w:anchor="_Toc431407232" w:history="1">
            <w:r w:rsidR="000631DB" w:rsidRPr="00E95BD3">
              <w:rPr>
                <w:rStyle w:val="Hyperlink"/>
                <w:noProof/>
              </w:rPr>
              <w:t>3.2</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European Medicines Agency</w:t>
            </w:r>
            <w:r w:rsidR="000631DB">
              <w:rPr>
                <w:noProof/>
                <w:webHidden/>
              </w:rPr>
              <w:tab/>
            </w:r>
            <w:r w:rsidR="000631DB">
              <w:rPr>
                <w:noProof/>
                <w:webHidden/>
              </w:rPr>
              <w:fldChar w:fldCharType="begin"/>
            </w:r>
            <w:r w:rsidR="000631DB">
              <w:rPr>
                <w:noProof/>
                <w:webHidden/>
              </w:rPr>
              <w:instrText xml:space="preserve"> PAGEREF _Toc431407232 \h </w:instrText>
            </w:r>
            <w:r w:rsidR="000631DB">
              <w:rPr>
                <w:noProof/>
                <w:webHidden/>
              </w:rPr>
            </w:r>
            <w:r w:rsidR="000631DB">
              <w:rPr>
                <w:noProof/>
                <w:webHidden/>
              </w:rPr>
              <w:fldChar w:fldCharType="separate"/>
            </w:r>
            <w:r w:rsidR="000631DB">
              <w:rPr>
                <w:noProof/>
                <w:webHidden/>
              </w:rPr>
              <w:t>12</w:t>
            </w:r>
            <w:r w:rsidR="000631DB">
              <w:rPr>
                <w:noProof/>
                <w:webHidden/>
              </w:rPr>
              <w:fldChar w:fldCharType="end"/>
            </w:r>
          </w:hyperlink>
        </w:p>
        <w:p w:rsidR="000631DB" w:rsidRDefault="00E844E6">
          <w:pPr>
            <w:pStyle w:val="TOC3"/>
            <w:tabs>
              <w:tab w:val="left" w:pos="1701"/>
            </w:tabs>
            <w:rPr>
              <w:rFonts w:asciiTheme="minorHAnsi" w:eastAsiaTheme="minorEastAsia" w:hAnsiTheme="minorHAnsi" w:cstheme="minorBidi"/>
              <w:b w:val="0"/>
              <w:noProof/>
              <w:szCs w:val="22"/>
              <w:lang w:eastAsia="en-AU"/>
            </w:rPr>
          </w:pPr>
          <w:hyperlink w:anchor="_Toc431407233" w:history="1">
            <w:r w:rsidR="000631DB" w:rsidRPr="00E95BD3">
              <w:rPr>
                <w:rStyle w:val="Hyperlink"/>
                <w:noProof/>
              </w:rPr>
              <w:t>3.2.1</w:t>
            </w:r>
            <w:r w:rsidR="000631DB">
              <w:rPr>
                <w:rFonts w:asciiTheme="minorHAnsi" w:eastAsiaTheme="minorEastAsia" w:hAnsiTheme="minorHAnsi" w:cstheme="minorBidi"/>
                <w:b w:val="0"/>
                <w:noProof/>
                <w:szCs w:val="22"/>
                <w:lang w:eastAsia="en-AU"/>
              </w:rPr>
              <w:tab/>
            </w:r>
            <w:r w:rsidR="000631DB" w:rsidRPr="00E95BD3">
              <w:rPr>
                <w:rStyle w:val="Hyperlink"/>
                <w:noProof/>
              </w:rPr>
              <w:t>PRAC safety review</w:t>
            </w:r>
            <w:r w:rsidR="000631DB">
              <w:rPr>
                <w:noProof/>
                <w:webHidden/>
              </w:rPr>
              <w:tab/>
            </w:r>
            <w:r w:rsidR="000631DB">
              <w:rPr>
                <w:noProof/>
                <w:webHidden/>
              </w:rPr>
              <w:fldChar w:fldCharType="begin"/>
            </w:r>
            <w:r w:rsidR="000631DB">
              <w:rPr>
                <w:noProof/>
                <w:webHidden/>
              </w:rPr>
              <w:instrText xml:space="preserve"> PAGEREF _Toc431407233 \h </w:instrText>
            </w:r>
            <w:r w:rsidR="000631DB">
              <w:rPr>
                <w:noProof/>
                <w:webHidden/>
              </w:rPr>
            </w:r>
            <w:r w:rsidR="000631DB">
              <w:rPr>
                <w:noProof/>
                <w:webHidden/>
              </w:rPr>
              <w:fldChar w:fldCharType="separate"/>
            </w:r>
            <w:r w:rsidR="000631DB">
              <w:rPr>
                <w:noProof/>
                <w:webHidden/>
              </w:rPr>
              <w:t>12</w:t>
            </w:r>
            <w:r w:rsidR="000631DB">
              <w:rPr>
                <w:noProof/>
                <w:webHidden/>
              </w:rPr>
              <w:fldChar w:fldCharType="end"/>
            </w:r>
          </w:hyperlink>
        </w:p>
        <w:p w:rsidR="000631DB" w:rsidRDefault="00E844E6">
          <w:pPr>
            <w:pStyle w:val="TOC3"/>
            <w:tabs>
              <w:tab w:val="left" w:pos="1701"/>
            </w:tabs>
            <w:rPr>
              <w:rFonts w:asciiTheme="minorHAnsi" w:eastAsiaTheme="minorEastAsia" w:hAnsiTheme="minorHAnsi" w:cstheme="minorBidi"/>
              <w:b w:val="0"/>
              <w:noProof/>
              <w:szCs w:val="22"/>
              <w:lang w:eastAsia="en-AU"/>
            </w:rPr>
          </w:pPr>
          <w:hyperlink w:anchor="_Toc431407234" w:history="1">
            <w:r w:rsidR="000631DB" w:rsidRPr="00E95BD3">
              <w:rPr>
                <w:rStyle w:val="Hyperlink"/>
                <w:noProof/>
              </w:rPr>
              <w:t>3.2.2</w:t>
            </w:r>
            <w:r w:rsidR="000631DB">
              <w:rPr>
                <w:rFonts w:asciiTheme="minorHAnsi" w:eastAsiaTheme="minorEastAsia" w:hAnsiTheme="minorHAnsi" w:cstheme="minorBidi"/>
                <w:b w:val="0"/>
                <w:noProof/>
                <w:szCs w:val="22"/>
                <w:lang w:eastAsia="en-AU"/>
              </w:rPr>
              <w:tab/>
            </w:r>
            <w:r w:rsidR="000631DB" w:rsidRPr="00E95BD3">
              <w:rPr>
                <w:rStyle w:val="Hyperlink"/>
                <w:noProof/>
              </w:rPr>
              <w:t>PRAC decision and regulatory action</w:t>
            </w:r>
            <w:r w:rsidR="000631DB">
              <w:rPr>
                <w:noProof/>
                <w:webHidden/>
              </w:rPr>
              <w:tab/>
            </w:r>
            <w:r w:rsidR="000631DB">
              <w:rPr>
                <w:noProof/>
                <w:webHidden/>
              </w:rPr>
              <w:fldChar w:fldCharType="begin"/>
            </w:r>
            <w:r w:rsidR="000631DB">
              <w:rPr>
                <w:noProof/>
                <w:webHidden/>
              </w:rPr>
              <w:instrText xml:space="preserve"> PAGEREF _Toc431407234 \h </w:instrText>
            </w:r>
            <w:r w:rsidR="000631DB">
              <w:rPr>
                <w:noProof/>
                <w:webHidden/>
              </w:rPr>
            </w:r>
            <w:r w:rsidR="000631DB">
              <w:rPr>
                <w:noProof/>
                <w:webHidden/>
              </w:rPr>
              <w:fldChar w:fldCharType="separate"/>
            </w:r>
            <w:r w:rsidR="000631DB">
              <w:rPr>
                <w:noProof/>
                <w:webHidden/>
              </w:rPr>
              <w:t>14</w:t>
            </w:r>
            <w:r w:rsidR="000631DB">
              <w:rPr>
                <w:noProof/>
                <w:webHidden/>
              </w:rPr>
              <w:fldChar w:fldCharType="end"/>
            </w:r>
          </w:hyperlink>
        </w:p>
        <w:p w:rsidR="000631DB" w:rsidRDefault="00E844E6">
          <w:pPr>
            <w:pStyle w:val="TOC2"/>
            <w:tabs>
              <w:tab w:val="left" w:pos="1276"/>
            </w:tabs>
            <w:rPr>
              <w:rFonts w:asciiTheme="minorHAnsi" w:eastAsiaTheme="minorEastAsia" w:hAnsiTheme="minorHAnsi" w:cstheme="minorBidi"/>
              <w:b w:val="0"/>
              <w:noProof/>
              <w:sz w:val="22"/>
              <w:szCs w:val="22"/>
              <w:lang w:eastAsia="en-AU"/>
            </w:rPr>
          </w:pPr>
          <w:hyperlink w:anchor="_Toc431407235" w:history="1">
            <w:r w:rsidR="000631DB" w:rsidRPr="00E95BD3">
              <w:rPr>
                <w:rStyle w:val="Hyperlink"/>
                <w:noProof/>
              </w:rPr>
              <w:t>3.3</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Health Canada</w:t>
            </w:r>
            <w:r w:rsidR="000631DB">
              <w:rPr>
                <w:noProof/>
                <w:webHidden/>
              </w:rPr>
              <w:tab/>
            </w:r>
            <w:r w:rsidR="000631DB">
              <w:rPr>
                <w:noProof/>
                <w:webHidden/>
              </w:rPr>
              <w:fldChar w:fldCharType="begin"/>
            </w:r>
            <w:r w:rsidR="000631DB">
              <w:rPr>
                <w:noProof/>
                <w:webHidden/>
              </w:rPr>
              <w:instrText xml:space="preserve"> PAGEREF _Toc431407235 \h </w:instrText>
            </w:r>
            <w:r w:rsidR="000631DB">
              <w:rPr>
                <w:noProof/>
                <w:webHidden/>
              </w:rPr>
            </w:r>
            <w:r w:rsidR="000631DB">
              <w:rPr>
                <w:noProof/>
                <w:webHidden/>
              </w:rPr>
              <w:fldChar w:fldCharType="separate"/>
            </w:r>
            <w:r w:rsidR="000631DB">
              <w:rPr>
                <w:noProof/>
                <w:webHidden/>
              </w:rPr>
              <w:t>15</w:t>
            </w:r>
            <w:r w:rsidR="000631DB">
              <w:rPr>
                <w:noProof/>
                <w:webHidden/>
              </w:rPr>
              <w:fldChar w:fldCharType="end"/>
            </w:r>
          </w:hyperlink>
        </w:p>
        <w:p w:rsidR="000631DB" w:rsidRDefault="00E844E6">
          <w:pPr>
            <w:pStyle w:val="TOC2"/>
            <w:tabs>
              <w:tab w:val="left" w:pos="1276"/>
            </w:tabs>
            <w:rPr>
              <w:rFonts w:asciiTheme="minorHAnsi" w:eastAsiaTheme="minorEastAsia" w:hAnsiTheme="minorHAnsi" w:cstheme="minorBidi"/>
              <w:b w:val="0"/>
              <w:noProof/>
              <w:sz w:val="22"/>
              <w:szCs w:val="22"/>
              <w:lang w:eastAsia="en-AU"/>
            </w:rPr>
          </w:pPr>
          <w:hyperlink w:anchor="_Toc431407236" w:history="1">
            <w:r w:rsidR="000631DB" w:rsidRPr="00E95BD3">
              <w:rPr>
                <w:rStyle w:val="Hyperlink"/>
                <w:noProof/>
              </w:rPr>
              <w:t>3.4</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Medsafe (New Zealand)</w:t>
            </w:r>
            <w:r w:rsidR="000631DB">
              <w:rPr>
                <w:noProof/>
                <w:webHidden/>
              </w:rPr>
              <w:tab/>
            </w:r>
            <w:r w:rsidR="000631DB">
              <w:rPr>
                <w:noProof/>
                <w:webHidden/>
              </w:rPr>
              <w:fldChar w:fldCharType="begin"/>
            </w:r>
            <w:r w:rsidR="000631DB">
              <w:rPr>
                <w:noProof/>
                <w:webHidden/>
              </w:rPr>
              <w:instrText xml:space="preserve"> PAGEREF _Toc431407236 \h </w:instrText>
            </w:r>
            <w:r w:rsidR="000631DB">
              <w:rPr>
                <w:noProof/>
                <w:webHidden/>
              </w:rPr>
            </w:r>
            <w:r w:rsidR="000631DB">
              <w:rPr>
                <w:noProof/>
                <w:webHidden/>
              </w:rPr>
              <w:fldChar w:fldCharType="separate"/>
            </w:r>
            <w:r w:rsidR="000631DB">
              <w:rPr>
                <w:noProof/>
                <w:webHidden/>
              </w:rPr>
              <w:t>15</w:t>
            </w:r>
            <w:r w:rsidR="000631DB">
              <w:rPr>
                <w:noProof/>
                <w:webHidden/>
              </w:rPr>
              <w:fldChar w:fldCharType="end"/>
            </w:r>
          </w:hyperlink>
        </w:p>
        <w:p w:rsidR="000631DB" w:rsidRDefault="00E844E6">
          <w:pPr>
            <w:pStyle w:val="TOC1"/>
            <w:tabs>
              <w:tab w:val="left" w:pos="425"/>
            </w:tabs>
            <w:rPr>
              <w:rFonts w:asciiTheme="minorHAnsi" w:eastAsiaTheme="minorEastAsia" w:hAnsiTheme="minorHAnsi" w:cstheme="minorBidi"/>
              <w:b w:val="0"/>
              <w:noProof/>
              <w:sz w:val="22"/>
              <w:szCs w:val="22"/>
              <w:lang w:eastAsia="en-AU"/>
            </w:rPr>
          </w:pPr>
          <w:hyperlink w:anchor="_Toc431407237" w:history="1">
            <w:r w:rsidR="000631DB" w:rsidRPr="00E95BD3">
              <w:rPr>
                <w:rStyle w:val="Hyperlink"/>
                <w:rFonts w:asciiTheme="majorHAnsi" w:hAnsiTheme="majorHAnsi" w:cstheme="majorHAnsi"/>
                <w:noProof/>
              </w:rPr>
              <w:t>4</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Codeine in Australia</w:t>
            </w:r>
            <w:r w:rsidR="000631DB">
              <w:rPr>
                <w:noProof/>
                <w:webHidden/>
              </w:rPr>
              <w:tab/>
            </w:r>
            <w:r w:rsidR="000631DB">
              <w:rPr>
                <w:noProof/>
                <w:webHidden/>
              </w:rPr>
              <w:fldChar w:fldCharType="begin"/>
            </w:r>
            <w:r w:rsidR="000631DB">
              <w:rPr>
                <w:noProof/>
                <w:webHidden/>
              </w:rPr>
              <w:instrText xml:space="preserve"> PAGEREF _Toc431407237 \h </w:instrText>
            </w:r>
            <w:r w:rsidR="000631DB">
              <w:rPr>
                <w:noProof/>
                <w:webHidden/>
              </w:rPr>
            </w:r>
            <w:r w:rsidR="000631DB">
              <w:rPr>
                <w:noProof/>
                <w:webHidden/>
              </w:rPr>
              <w:fldChar w:fldCharType="separate"/>
            </w:r>
            <w:r w:rsidR="000631DB">
              <w:rPr>
                <w:noProof/>
                <w:webHidden/>
              </w:rPr>
              <w:t>15</w:t>
            </w:r>
            <w:r w:rsidR="000631DB">
              <w:rPr>
                <w:noProof/>
                <w:webHidden/>
              </w:rPr>
              <w:fldChar w:fldCharType="end"/>
            </w:r>
          </w:hyperlink>
        </w:p>
        <w:p w:rsidR="000631DB" w:rsidRDefault="00E844E6">
          <w:pPr>
            <w:pStyle w:val="TOC2"/>
            <w:tabs>
              <w:tab w:val="left" w:pos="1276"/>
            </w:tabs>
            <w:rPr>
              <w:rFonts w:asciiTheme="minorHAnsi" w:eastAsiaTheme="minorEastAsia" w:hAnsiTheme="minorHAnsi" w:cstheme="minorBidi"/>
              <w:b w:val="0"/>
              <w:noProof/>
              <w:sz w:val="22"/>
              <w:szCs w:val="22"/>
              <w:lang w:eastAsia="en-AU"/>
            </w:rPr>
          </w:pPr>
          <w:hyperlink w:anchor="_Toc431407238" w:history="1">
            <w:r w:rsidR="000631DB" w:rsidRPr="00E95BD3">
              <w:rPr>
                <w:rStyle w:val="Hyperlink"/>
                <w:noProof/>
              </w:rPr>
              <w:t>4.1</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Regulation under the Poisons Standard 2015</w:t>
            </w:r>
            <w:r w:rsidR="000631DB">
              <w:rPr>
                <w:noProof/>
                <w:webHidden/>
              </w:rPr>
              <w:tab/>
            </w:r>
            <w:r w:rsidR="000631DB">
              <w:rPr>
                <w:noProof/>
                <w:webHidden/>
              </w:rPr>
              <w:fldChar w:fldCharType="begin"/>
            </w:r>
            <w:r w:rsidR="000631DB">
              <w:rPr>
                <w:noProof/>
                <w:webHidden/>
              </w:rPr>
              <w:instrText xml:space="preserve"> PAGEREF _Toc431407238 \h </w:instrText>
            </w:r>
            <w:r w:rsidR="000631DB">
              <w:rPr>
                <w:noProof/>
                <w:webHidden/>
              </w:rPr>
            </w:r>
            <w:r w:rsidR="000631DB">
              <w:rPr>
                <w:noProof/>
                <w:webHidden/>
              </w:rPr>
              <w:fldChar w:fldCharType="separate"/>
            </w:r>
            <w:r w:rsidR="000631DB">
              <w:rPr>
                <w:noProof/>
                <w:webHidden/>
              </w:rPr>
              <w:t>15</w:t>
            </w:r>
            <w:r w:rsidR="000631DB">
              <w:rPr>
                <w:noProof/>
                <w:webHidden/>
              </w:rPr>
              <w:fldChar w:fldCharType="end"/>
            </w:r>
          </w:hyperlink>
        </w:p>
        <w:p w:rsidR="000631DB" w:rsidRDefault="00E844E6">
          <w:pPr>
            <w:pStyle w:val="TOC3"/>
            <w:tabs>
              <w:tab w:val="left" w:pos="1701"/>
            </w:tabs>
            <w:rPr>
              <w:rFonts w:asciiTheme="minorHAnsi" w:eastAsiaTheme="minorEastAsia" w:hAnsiTheme="minorHAnsi" w:cstheme="minorBidi"/>
              <w:b w:val="0"/>
              <w:noProof/>
              <w:szCs w:val="22"/>
              <w:lang w:eastAsia="en-AU"/>
            </w:rPr>
          </w:pPr>
          <w:hyperlink w:anchor="_Toc431407239" w:history="1">
            <w:r w:rsidR="000631DB" w:rsidRPr="00E95BD3">
              <w:rPr>
                <w:rStyle w:val="Hyperlink"/>
                <w:noProof/>
              </w:rPr>
              <w:t>4.1.1</w:t>
            </w:r>
            <w:r w:rsidR="000631DB">
              <w:rPr>
                <w:rFonts w:asciiTheme="minorHAnsi" w:eastAsiaTheme="minorEastAsia" w:hAnsiTheme="minorHAnsi" w:cstheme="minorBidi"/>
                <w:b w:val="0"/>
                <w:noProof/>
                <w:szCs w:val="22"/>
                <w:lang w:eastAsia="en-AU"/>
              </w:rPr>
              <w:tab/>
            </w:r>
            <w:r w:rsidR="000631DB" w:rsidRPr="00E95BD3">
              <w:rPr>
                <w:rStyle w:val="Hyperlink"/>
                <w:noProof/>
              </w:rPr>
              <w:t>Scheduling of codeine</w:t>
            </w:r>
            <w:r w:rsidR="000631DB">
              <w:rPr>
                <w:noProof/>
                <w:webHidden/>
              </w:rPr>
              <w:tab/>
            </w:r>
            <w:r w:rsidR="000631DB">
              <w:rPr>
                <w:noProof/>
                <w:webHidden/>
              </w:rPr>
              <w:fldChar w:fldCharType="begin"/>
            </w:r>
            <w:r w:rsidR="000631DB">
              <w:rPr>
                <w:noProof/>
                <w:webHidden/>
              </w:rPr>
              <w:instrText xml:space="preserve"> PAGEREF _Toc431407239 \h </w:instrText>
            </w:r>
            <w:r w:rsidR="000631DB">
              <w:rPr>
                <w:noProof/>
                <w:webHidden/>
              </w:rPr>
            </w:r>
            <w:r w:rsidR="000631DB">
              <w:rPr>
                <w:noProof/>
                <w:webHidden/>
              </w:rPr>
              <w:fldChar w:fldCharType="separate"/>
            </w:r>
            <w:r w:rsidR="000631DB">
              <w:rPr>
                <w:noProof/>
                <w:webHidden/>
              </w:rPr>
              <w:t>15</w:t>
            </w:r>
            <w:r w:rsidR="000631DB">
              <w:rPr>
                <w:noProof/>
                <w:webHidden/>
              </w:rPr>
              <w:fldChar w:fldCharType="end"/>
            </w:r>
          </w:hyperlink>
        </w:p>
        <w:p w:rsidR="000631DB" w:rsidRDefault="00E844E6">
          <w:pPr>
            <w:pStyle w:val="TOC4"/>
            <w:rPr>
              <w:rFonts w:asciiTheme="minorHAnsi" w:eastAsiaTheme="minorEastAsia" w:hAnsiTheme="minorHAnsi" w:cstheme="minorBidi"/>
              <w:noProof/>
              <w:szCs w:val="22"/>
              <w:lang w:eastAsia="en-AU"/>
            </w:rPr>
          </w:pPr>
          <w:hyperlink w:anchor="_Toc431407240" w:history="1">
            <w:r w:rsidR="000631DB" w:rsidRPr="00E95BD3">
              <w:rPr>
                <w:rStyle w:val="Hyperlink"/>
                <w:rFonts w:eastAsia="Calibri"/>
                <w:noProof/>
              </w:rPr>
              <w:t>Schedule 2</w:t>
            </w:r>
            <w:r w:rsidR="000631DB">
              <w:rPr>
                <w:noProof/>
                <w:webHidden/>
              </w:rPr>
              <w:tab/>
            </w:r>
            <w:r w:rsidR="000631DB">
              <w:rPr>
                <w:noProof/>
                <w:webHidden/>
              </w:rPr>
              <w:fldChar w:fldCharType="begin"/>
            </w:r>
            <w:r w:rsidR="000631DB">
              <w:rPr>
                <w:noProof/>
                <w:webHidden/>
              </w:rPr>
              <w:instrText xml:space="preserve"> PAGEREF _Toc431407240 \h </w:instrText>
            </w:r>
            <w:r w:rsidR="000631DB">
              <w:rPr>
                <w:noProof/>
                <w:webHidden/>
              </w:rPr>
            </w:r>
            <w:r w:rsidR="000631DB">
              <w:rPr>
                <w:noProof/>
                <w:webHidden/>
              </w:rPr>
              <w:fldChar w:fldCharType="separate"/>
            </w:r>
            <w:r w:rsidR="000631DB">
              <w:rPr>
                <w:noProof/>
                <w:webHidden/>
              </w:rPr>
              <w:t>15</w:t>
            </w:r>
            <w:r w:rsidR="000631DB">
              <w:rPr>
                <w:noProof/>
                <w:webHidden/>
              </w:rPr>
              <w:fldChar w:fldCharType="end"/>
            </w:r>
          </w:hyperlink>
        </w:p>
        <w:p w:rsidR="000631DB" w:rsidRDefault="00E844E6">
          <w:pPr>
            <w:pStyle w:val="TOC4"/>
            <w:rPr>
              <w:rFonts w:asciiTheme="minorHAnsi" w:eastAsiaTheme="minorEastAsia" w:hAnsiTheme="minorHAnsi" w:cstheme="minorBidi"/>
              <w:noProof/>
              <w:szCs w:val="22"/>
              <w:lang w:eastAsia="en-AU"/>
            </w:rPr>
          </w:pPr>
          <w:hyperlink w:anchor="_Toc431407241" w:history="1">
            <w:r w:rsidR="000631DB" w:rsidRPr="00E95BD3">
              <w:rPr>
                <w:rStyle w:val="Hyperlink"/>
                <w:rFonts w:eastAsia="Calibri"/>
                <w:noProof/>
              </w:rPr>
              <w:t>Schedule 3</w:t>
            </w:r>
            <w:r w:rsidR="000631DB">
              <w:rPr>
                <w:noProof/>
                <w:webHidden/>
              </w:rPr>
              <w:tab/>
            </w:r>
            <w:r w:rsidR="000631DB">
              <w:rPr>
                <w:noProof/>
                <w:webHidden/>
              </w:rPr>
              <w:fldChar w:fldCharType="begin"/>
            </w:r>
            <w:r w:rsidR="000631DB">
              <w:rPr>
                <w:noProof/>
                <w:webHidden/>
              </w:rPr>
              <w:instrText xml:space="preserve"> PAGEREF _Toc431407241 \h </w:instrText>
            </w:r>
            <w:r w:rsidR="000631DB">
              <w:rPr>
                <w:noProof/>
                <w:webHidden/>
              </w:rPr>
            </w:r>
            <w:r w:rsidR="000631DB">
              <w:rPr>
                <w:noProof/>
                <w:webHidden/>
              </w:rPr>
              <w:fldChar w:fldCharType="separate"/>
            </w:r>
            <w:r w:rsidR="000631DB">
              <w:rPr>
                <w:noProof/>
                <w:webHidden/>
              </w:rPr>
              <w:t>16</w:t>
            </w:r>
            <w:r w:rsidR="000631DB">
              <w:rPr>
                <w:noProof/>
                <w:webHidden/>
              </w:rPr>
              <w:fldChar w:fldCharType="end"/>
            </w:r>
          </w:hyperlink>
        </w:p>
        <w:p w:rsidR="000631DB" w:rsidRDefault="00E844E6">
          <w:pPr>
            <w:pStyle w:val="TOC4"/>
            <w:rPr>
              <w:rFonts w:asciiTheme="minorHAnsi" w:eastAsiaTheme="minorEastAsia" w:hAnsiTheme="minorHAnsi" w:cstheme="minorBidi"/>
              <w:noProof/>
              <w:szCs w:val="22"/>
              <w:lang w:eastAsia="en-AU"/>
            </w:rPr>
          </w:pPr>
          <w:hyperlink w:anchor="_Toc431407242" w:history="1">
            <w:r w:rsidR="000631DB" w:rsidRPr="00E95BD3">
              <w:rPr>
                <w:rStyle w:val="Hyperlink"/>
                <w:rFonts w:eastAsia="Calibri"/>
                <w:noProof/>
              </w:rPr>
              <w:t>Schedule 4</w:t>
            </w:r>
            <w:r w:rsidR="000631DB">
              <w:rPr>
                <w:noProof/>
                <w:webHidden/>
              </w:rPr>
              <w:tab/>
            </w:r>
            <w:r w:rsidR="000631DB">
              <w:rPr>
                <w:noProof/>
                <w:webHidden/>
              </w:rPr>
              <w:fldChar w:fldCharType="begin"/>
            </w:r>
            <w:r w:rsidR="000631DB">
              <w:rPr>
                <w:noProof/>
                <w:webHidden/>
              </w:rPr>
              <w:instrText xml:space="preserve"> PAGEREF _Toc431407242 \h </w:instrText>
            </w:r>
            <w:r w:rsidR="000631DB">
              <w:rPr>
                <w:noProof/>
                <w:webHidden/>
              </w:rPr>
            </w:r>
            <w:r w:rsidR="000631DB">
              <w:rPr>
                <w:noProof/>
                <w:webHidden/>
              </w:rPr>
              <w:fldChar w:fldCharType="separate"/>
            </w:r>
            <w:r w:rsidR="000631DB">
              <w:rPr>
                <w:noProof/>
                <w:webHidden/>
              </w:rPr>
              <w:t>16</w:t>
            </w:r>
            <w:r w:rsidR="000631DB">
              <w:rPr>
                <w:noProof/>
                <w:webHidden/>
              </w:rPr>
              <w:fldChar w:fldCharType="end"/>
            </w:r>
          </w:hyperlink>
        </w:p>
        <w:p w:rsidR="000631DB" w:rsidRDefault="00E844E6">
          <w:pPr>
            <w:pStyle w:val="TOC4"/>
            <w:rPr>
              <w:rFonts w:asciiTheme="minorHAnsi" w:eastAsiaTheme="minorEastAsia" w:hAnsiTheme="minorHAnsi" w:cstheme="minorBidi"/>
              <w:noProof/>
              <w:szCs w:val="22"/>
              <w:lang w:eastAsia="en-AU"/>
            </w:rPr>
          </w:pPr>
          <w:hyperlink w:anchor="_Toc431407243" w:history="1">
            <w:r w:rsidR="000631DB" w:rsidRPr="00E95BD3">
              <w:rPr>
                <w:rStyle w:val="Hyperlink"/>
                <w:rFonts w:eastAsia="Calibri"/>
                <w:noProof/>
              </w:rPr>
              <w:t>Schedule 8</w:t>
            </w:r>
            <w:r w:rsidR="000631DB">
              <w:rPr>
                <w:noProof/>
                <w:webHidden/>
              </w:rPr>
              <w:tab/>
            </w:r>
            <w:r w:rsidR="000631DB">
              <w:rPr>
                <w:noProof/>
                <w:webHidden/>
              </w:rPr>
              <w:fldChar w:fldCharType="begin"/>
            </w:r>
            <w:r w:rsidR="000631DB">
              <w:rPr>
                <w:noProof/>
                <w:webHidden/>
              </w:rPr>
              <w:instrText xml:space="preserve"> PAGEREF _Toc431407243 \h </w:instrText>
            </w:r>
            <w:r w:rsidR="000631DB">
              <w:rPr>
                <w:noProof/>
                <w:webHidden/>
              </w:rPr>
            </w:r>
            <w:r w:rsidR="000631DB">
              <w:rPr>
                <w:noProof/>
                <w:webHidden/>
              </w:rPr>
              <w:fldChar w:fldCharType="separate"/>
            </w:r>
            <w:r w:rsidR="000631DB">
              <w:rPr>
                <w:noProof/>
                <w:webHidden/>
              </w:rPr>
              <w:t>16</w:t>
            </w:r>
            <w:r w:rsidR="000631DB">
              <w:rPr>
                <w:noProof/>
                <w:webHidden/>
              </w:rPr>
              <w:fldChar w:fldCharType="end"/>
            </w:r>
          </w:hyperlink>
        </w:p>
        <w:p w:rsidR="000631DB" w:rsidRDefault="00E844E6">
          <w:pPr>
            <w:pStyle w:val="TOC3"/>
            <w:tabs>
              <w:tab w:val="left" w:pos="1701"/>
            </w:tabs>
            <w:rPr>
              <w:rFonts w:asciiTheme="minorHAnsi" w:eastAsiaTheme="minorEastAsia" w:hAnsiTheme="minorHAnsi" w:cstheme="minorBidi"/>
              <w:b w:val="0"/>
              <w:noProof/>
              <w:szCs w:val="22"/>
              <w:lang w:eastAsia="en-AU"/>
            </w:rPr>
          </w:pPr>
          <w:hyperlink w:anchor="_Toc431407244" w:history="1">
            <w:r w:rsidR="000631DB" w:rsidRPr="00E95BD3">
              <w:rPr>
                <w:rStyle w:val="Hyperlink"/>
                <w:noProof/>
              </w:rPr>
              <w:t>4.1.2</w:t>
            </w:r>
            <w:r w:rsidR="000631DB">
              <w:rPr>
                <w:rFonts w:asciiTheme="minorHAnsi" w:eastAsiaTheme="minorEastAsia" w:hAnsiTheme="minorHAnsi" w:cstheme="minorBidi"/>
                <w:b w:val="0"/>
                <w:noProof/>
                <w:szCs w:val="22"/>
                <w:lang w:eastAsia="en-AU"/>
              </w:rPr>
              <w:tab/>
            </w:r>
            <w:r w:rsidR="000631DB" w:rsidRPr="00E95BD3">
              <w:rPr>
                <w:rStyle w:val="Hyperlink"/>
                <w:noProof/>
              </w:rPr>
              <w:t>Mandatory label sedation warning</w:t>
            </w:r>
            <w:r w:rsidR="000631DB">
              <w:rPr>
                <w:noProof/>
                <w:webHidden/>
              </w:rPr>
              <w:tab/>
            </w:r>
            <w:r w:rsidR="000631DB">
              <w:rPr>
                <w:noProof/>
                <w:webHidden/>
              </w:rPr>
              <w:fldChar w:fldCharType="begin"/>
            </w:r>
            <w:r w:rsidR="000631DB">
              <w:rPr>
                <w:noProof/>
                <w:webHidden/>
              </w:rPr>
              <w:instrText xml:space="preserve"> PAGEREF _Toc431407244 \h </w:instrText>
            </w:r>
            <w:r w:rsidR="000631DB">
              <w:rPr>
                <w:noProof/>
                <w:webHidden/>
              </w:rPr>
            </w:r>
            <w:r w:rsidR="000631DB">
              <w:rPr>
                <w:noProof/>
                <w:webHidden/>
              </w:rPr>
              <w:fldChar w:fldCharType="separate"/>
            </w:r>
            <w:r w:rsidR="000631DB">
              <w:rPr>
                <w:noProof/>
                <w:webHidden/>
              </w:rPr>
              <w:t>16</w:t>
            </w:r>
            <w:r w:rsidR="000631DB">
              <w:rPr>
                <w:noProof/>
                <w:webHidden/>
              </w:rPr>
              <w:fldChar w:fldCharType="end"/>
            </w:r>
          </w:hyperlink>
        </w:p>
        <w:p w:rsidR="000631DB" w:rsidRDefault="00E844E6">
          <w:pPr>
            <w:pStyle w:val="TOC2"/>
            <w:tabs>
              <w:tab w:val="left" w:pos="1276"/>
            </w:tabs>
            <w:rPr>
              <w:rFonts w:asciiTheme="minorHAnsi" w:eastAsiaTheme="minorEastAsia" w:hAnsiTheme="minorHAnsi" w:cstheme="minorBidi"/>
              <w:b w:val="0"/>
              <w:noProof/>
              <w:sz w:val="22"/>
              <w:szCs w:val="22"/>
              <w:lang w:eastAsia="en-AU"/>
            </w:rPr>
          </w:pPr>
          <w:hyperlink w:anchor="_Toc431407245" w:history="1">
            <w:r w:rsidR="000631DB" w:rsidRPr="00E95BD3">
              <w:rPr>
                <w:rStyle w:val="Hyperlink"/>
                <w:noProof/>
              </w:rPr>
              <w:t>4.2</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Over the counter (S2 and S3) codeine-containing products</w:t>
            </w:r>
            <w:r w:rsidR="000631DB">
              <w:rPr>
                <w:noProof/>
                <w:webHidden/>
              </w:rPr>
              <w:tab/>
            </w:r>
            <w:r w:rsidR="000631DB">
              <w:rPr>
                <w:noProof/>
                <w:webHidden/>
              </w:rPr>
              <w:fldChar w:fldCharType="begin"/>
            </w:r>
            <w:r w:rsidR="000631DB">
              <w:rPr>
                <w:noProof/>
                <w:webHidden/>
              </w:rPr>
              <w:instrText xml:space="preserve"> PAGEREF _Toc431407245 \h </w:instrText>
            </w:r>
            <w:r w:rsidR="000631DB">
              <w:rPr>
                <w:noProof/>
                <w:webHidden/>
              </w:rPr>
            </w:r>
            <w:r w:rsidR="000631DB">
              <w:rPr>
                <w:noProof/>
                <w:webHidden/>
              </w:rPr>
              <w:fldChar w:fldCharType="separate"/>
            </w:r>
            <w:r w:rsidR="000631DB">
              <w:rPr>
                <w:noProof/>
                <w:webHidden/>
              </w:rPr>
              <w:t>17</w:t>
            </w:r>
            <w:r w:rsidR="000631DB">
              <w:rPr>
                <w:noProof/>
                <w:webHidden/>
              </w:rPr>
              <w:fldChar w:fldCharType="end"/>
            </w:r>
          </w:hyperlink>
        </w:p>
        <w:p w:rsidR="000631DB" w:rsidRDefault="00E844E6">
          <w:pPr>
            <w:pStyle w:val="TOC3"/>
            <w:tabs>
              <w:tab w:val="left" w:pos="1701"/>
            </w:tabs>
            <w:rPr>
              <w:rFonts w:asciiTheme="minorHAnsi" w:eastAsiaTheme="minorEastAsia" w:hAnsiTheme="minorHAnsi" w:cstheme="minorBidi"/>
              <w:b w:val="0"/>
              <w:noProof/>
              <w:szCs w:val="22"/>
              <w:lang w:eastAsia="en-AU"/>
            </w:rPr>
          </w:pPr>
          <w:hyperlink w:anchor="_Toc431407246" w:history="1">
            <w:r w:rsidR="000631DB" w:rsidRPr="00E95BD3">
              <w:rPr>
                <w:rStyle w:val="Hyperlink"/>
                <w:noProof/>
              </w:rPr>
              <w:t>4.2.1</w:t>
            </w:r>
            <w:r w:rsidR="000631DB">
              <w:rPr>
                <w:rFonts w:asciiTheme="minorHAnsi" w:eastAsiaTheme="minorEastAsia" w:hAnsiTheme="minorHAnsi" w:cstheme="minorBidi"/>
                <w:b w:val="0"/>
                <w:noProof/>
                <w:szCs w:val="22"/>
                <w:lang w:eastAsia="en-AU"/>
              </w:rPr>
              <w:tab/>
            </w:r>
            <w:r w:rsidR="000631DB" w:rsidRPr="00E95BD3">
              <w:rPr>
                <w:rStyle w:val="Hyperlink"/>
                <w:noProof/>
              </w:rPr>
              <w:t>Required Advisory Statements for Medicine Labels</w:t>
            </w:r>
            <w:r w:rsidR="000631DB">
              <w:rPr>
                <w:noProof/>
                <w:webHidden/>
              </w:rPr>
              <w:tab/>
            </w:r>
            <w:r w:rsidR="000631DB">
              <w:rPr>
                <w:noProof/>
                <w:webHidden/>
              </w:rPr>
              <w:fldChar w:fldCharType="begin"/>
            </w:r>
            <w:r w:rsidR="000631DB">
              <w:rPr>
                <w:noProof/>
                <w:webHidden/>
              </w:rPr>
              <w:instrText xml:space="preserve"> PAGEREF _Toc431407246 \h </w:instrText>
            </w:r>
            <w:r w:rsidR="000631DB">
              <w:rPr>
                <w:noProof/>
                <w:webHidden/>
              </w:rPr>
            </w:r>
            <w:r w:rsidR="000631DB">
              <w:rPr>
                <w:noProof/>
                <w:webHidden/>
              </w:rPr>
              <w:fldChar w:fldCharType="separate"/>
            </w:r>
            <w:r w:rsidR="000631DB">
              <w:rPr>
                <w:noProof/>
                <w:webHidden/>
              </w:rPr>
              <w:t>17</w:t>
            </w:r>
            <w:r w:rsidR="000631DB">
              <w:rPr>
                <w:noProof/>
                <w:webHidden/>
              </w:rPr>
              <w:fldChar w:fldCharType="end"/>
            </w:r>
          </w:hyperlink>
        </w:p>
        <w:p w:rsidR="000631DB" w:rsidRDefault="00E844E6">
          <w:pPr>
            <w:pStyle w:val="TOC3"/>
            <w:tabs>
              <w:tab w:val="left" w:pos="1701"/>
            </w:tabs>
            <w:rPr>
              <w:rFonts w:asciiTheme="minorHAnsi" w:eastAsiaTheme="minorEastAsia" w:hAnsiTheme="minorHAnsi" w:cstheme="minorBidi"/>
              <w:b w:val="0"/>
              <w:noProof/>
              <w:szCs w:val="22"/>
              <w:lang w:eastAsia="en-AU"/>
            </w:rPr>
          </w:pPr>
          <w:hyperlink w:anchor="_Toc431407247" w:history="1">
            <w:r w:rsidR="000631DB" w:rsidRPr="00E95BD3">
              <w:rPr>
                <w:rStyle w:val="Hyperlink"/>
                <w:noProof/>
              </w:rPr>
              <w:t>4.2.2</w:t>
            </w:r>
            <w:r w:rsidR="000631DB">
              <w:rPr>
                <w:rFonts w:asciiTheme="minorHAnsi" w:eastAsiaTheme="minorEastAsia" w:hAnsiTheme="minorHAnsi" w:cstheme="minorBidi"/>
                <w:b w:val="0"/>
                <w:noProof/>
                <w:szCs w:val="22"/>
                <w:lang w:eastAsia="en-AU"/>
              </w:rPr>
              <w:tab/>
            </w:r>
            <w:r w:rsidR="000631DB" w:rsidRPr="00E95BD3">
              <w:rPr>
                <w:rStyle w:val="Hyperlink"/>
                <w:noProof/>
              </w:rPr>
              <w:t>Australian regulatory guidelines for over-the-counter medicines</w:t>
            </w:r>
            <w:r w:rsidR="000631DB">
              <w:rPr>
                <w:noProof/>
                <w:webHidden/>
              </w:rPr>
              <w:tab/>
            </w:r>
            <w:r w:rsidR="000631DB">
              <w:rPr>
                <w:noProof/>
                <w:webHidden/>
              </w:rPr>
              <w:fldChar w:fldCharType="begin"/>
            </w:r>
            <w:r w:rsidR="000631DB">
              <w:rPr>
                <w:noProof/>
                <w:webHidden/>
              </w:rPr>
              <w:instrText xml:space="preserve"> PAGEREF _Toc431407247 \h </w:instrText>
            </w:r>
            <w:r w:rsidR="000631DB">
              <w:rPr>
                <w:noProof/>
                <w:webHidden/>
              </w:rPr>
            </w:r>
            <w:r w:rsidR="000631DB">
              <w:rPr>
                <w:noProof/>
                <w:webHidden/>
              </w:rPr>
              <w:fldChar w:fldCharType="separate"/>
            </w:r>
            <w:r w:rsidR="000631DB">
              <w:rPr>
                <w:noProof/>
                <w:webHidden/>
              </w:rPr>
              <w:t>18</w:t>
            </w:r>
            <w:r w:rsidR="000631DB">
              <w:rPr>
                <w:noProof/>
                <w:webHidden/>
              </w:rPr>
              <w:fldChar w:fldCharType="end"/>
            </w:r>
          </w:hyperlink>
        </w:p>
        <w:p w:rsidR="000631DB" w:rsidRDefault="00E844E6">
          <w:pPr>
            <w:pStyle w:val="TOC3"/>
            <w:tabs>
              <w:tab w:val="left" w:pos="1701"/>
            </w:tabs>
            <w:rPr>
              <w:rFonts w:asciiTheme="minorHAnsi" w:eastAsiaTheme="minorEastAsia" w:hAnsiTheme="minorHAnsi" w:cstheme="minorBidi"/>
              <w:b w:val="0"/>
              <w:noProof/>
              <w:szCs w:val="22"/>
              <w:lang w:eastAsia="en-AU"/>
            </w:rPr>
          </w:pPr>
          <w:hyperlink w:anchor="_Toc431407248" w:history="1">
            <w:r w:rsidR="000631DB" w:rsidRPr="00E95BD3">
              <w:rPr>
                <w:rStyle w:val="Hyperlink"/>
                <w:noProof/>
              </w:rPr>
              <w:t>4.2.3</w:t>
            </w:r>
            <w:r w:rsidR="000631DB">
              <w:rPr>
                <w:rFonts w:asciiTheme="minorHAnsi" w:eastAsiaTheme="minorEastAsia" w:hAnsiTheme="minorHAnsi" w:cstheme="minorBidi"/>
                <w:b w:val="0"/>
                <w:noProof/>
                <w:szCs w:val="22"/>
                <w:lang w:eastAsia="en-AU"/>
              </w:rPr>
              <w:tab/>
            </w:r>
            <w:r w:rsidR="000631DB" w:rsidRPr="00E95BD3">
              <w:rPr>
                <w:rStyle w:val="Hyperlink"/>
                <w:noProof/>
              </w:rPr>
              <w:t>Product Information and Consumer Medicine Information</w:t>
            </w:r>
            <w:r w:rsidR="000631DB">
              <w:rPr>
                <w:noProof/>
                <w:webHidden/>
              </w:rPr>
              <w:tab/>
            </w:r>
            <w:r w:rsidR="000631DB">
              <w:rPr>
                <w:noProof/>
                <w:webHidden/>
              </w:rPr>
              <w:fldChar w:fldCharType="begin"/>
            </w:r>
            <w:r w:rsidR="000631DB">
              <w:rPr>
                <w:noProof/>
                <w:webHidden/>
              </w:rPr>
              <w:instrText xml:space="preserve"> PAGEREF _Toc431407248 \h </w:instrText>
            </w:r>
            <w:r w:rsidR="000631DB">
              <w:rPr>
                <w:noProof/>
                <w:webHidden/>
              </w:rPr>
            </w:r>
            <w:r w:rsidR="000631DB">
              <w:rPr>
                <w:noProof/>
                <w:webHidden/>
              </w:rPr>
              <w:fldChar w:fldCharType="separate"/>
            </w:r>
            <w:r w:rsidR="000631DB">
              <w:rPr>
                <w:noProof/>
                <w:webHidden/>
              </w:rPr>
              <w:t>18</w:t>
            </w:r>
            <w:r w:rsidR="000631DB">
              <w:rPr>
                <w:noProof/>
                <w:webHidden/>
              </w:rPr>
              <w:fldChar w:fldCharType="end"/>
            </w:r>
          </w:hyperlink>
        </w:p>
        <w:p w:rsidR="000631DB" w:rsidRDefault="00E844E6">
          <w:pPr>
            <w:pStyle w:val="TOC2"/>
            <w:tabs>
              <w:tab w:val="left" w:pos="1276"/>
            </w:tabs>
            <w:rPr>
              <w:rFonts w:asciiTheme="minorHAnsi" w:eastAsiaTheme="minorEastAsia" w:hAnsiTheme="minorHAnsi" w:cstheme="minorBidi"/>
              <w:b w:val="0"/>
              <w:noProof/>
              <w:sz w:val="22"/>
              <w:szCs w:val="22"/>
              <w:lang w:eastAsia="en-AU"/>
            </w:rPr>
          </w:pPr>
          <w:hyperlink w:anchor="_Toc431407249" w:history="1">
            <w:r w:rsidR="000631DB" w:rsidRPr="00E95BD3">
              <w:rPr>
                <w:rStyle w:val="Hyperlink"/>
                <w:noProof/>
              </w:rPr>
              <w:t>4.3</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Prescribed (S4 and S8) codeine-containing products</w:t>
            </w:r>
            <w:r w:rsidR="000631DB">
              <w:rPr>
                <w:noProof/>
                <w:webHidden/>
              </w:rPr>
              <w:tab/>
            </w:r>
            <w:r w:rsidR="000631DB">
              <w:rPr>
                <w:noProof/>
                <w:webHidden/>
              </w:rPr>
              <w:fldChar w:fldCharType="begin"/>
            </w:r>
            <w:r w:rsidR="000631DB">
              <w:rPr>
                <w:noProof/>
                <w:webHidden/>
              </w:rPr>
              <w:instrText xml:space="preserve"> PAGEREF _Toc431407249 \h </w:instrText>
            </w:r>
            <w:r w:rsidR="000631DB">
              <w:rPr>
                <w:noProof/>
                <w:webHidden/>
              </w:rPr>
            </w:r>
            <w:r w:rsidR="000631DB">
              <w:rPr>
                <w:noProof/>
                <w:webHidden/>
              </w:rPr>
              <w:fldChar w:fldCharType="separate"/>
            </w:r>
            <w:r w:rsidR="000631DB">
              <w:rPr>
                <w:noProof/>
                <w:webHidden/>
              </w:rPr>
              <w:t>19</w:t>
            </w:r>
            <w:r w:rsidR="000631DB">
              <w:rPr>
                <w:noProof/>
                <w:webHidden/>
              </w:rPr>
              <w:fldChar w:fldCharType="end"/>
            </w:r>
          </w:hyperlink>
        </w:p>
        <w:p w:rsidR="000631DB" w:rsidRDefault="00E844E6">
          <w:pPr>
            <w:pStyle w:val="TOC2"/>
            <w:tabs>
              <w:tab w:val="left" w:pos="1276"/>
            </w:tabs>
            <w:rPr>
              <w:rFonts w:asciiTheme="minorHAnsi" w:eastAsiaTheme="minorEastAsia" w:hAnsiTheme="minorHAnsi" w:cstheme="minorBidi"/>
              <w:b w:val="0"/>
              <w:noProof/>
              <w:sz w:val="22"/>
              <w:szCs w:val="22"/>
              <w:lang w:eastAsia="en-AU"/>
            </w:rPr>
          </w:pPr>
          <w:hyperlink w:anchor="_Toc431407250" w:history="1">
            <w:r w:rsidR="000631DB" w:rsidRPr="00E95BD3">
              <w:rPr>
                <w:rStyle w:val="Hyperlink"/>
                <w:rFonts w:eastAsia="Calibri" w:cstheme="minorHAnsi"/>
                <w:noProof/>
              </w:rPr>
              <w:t>4.4</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Other Australian prescribing guidelines</w:t>
            </w:r>
            <w:r w:rsidR="000631DB">
              <w:rPr>
                <w:noProof/>
                <w:webHidden/>
              </w:rPr>
              <w:tab/>
            </w:r>
            <w:r w:rsidR="000631DB">
              <w:rPr>
                <w:noProof/>
                <w:webHidden/>
              </w:rPr>
              <w:fldChar w:fldCharType="begin"/>
            </w:r>
            <w:r w:rsidR="000631DB">
              <w:rPr>
                <w:noProof/>
                <w:webHidden/>
              </w:rPr>
              <w:instrText xml:space="preserve"> PAGEREF _Toc431407250 \h </w:instrText>
            </w:r>
            <w:r w:rsidR="000631DB">
              <w:rPr>
                <w:noProof/>
                <w:webHidden/>
              </w:rPr>
            </w:r>
            <w:r w:rsidR="000631DB">
              <w:rPr>
                <w:noProof/>
                <w:webHidden/>
              </w:rPr>
              <w:fldChar w:fldCharType="separate"/>
            </w:r>
            <w:r w:rsidR="000631DB">
              <w:rPr>
                <w:noProof/>
                <w:webHidden/>
              </w:rPr>
              <w:t>20</w:t>
            </w:r>
            <w:r w:rsidR="000631DB">
              <w:rPr>
                <w:noProof/>
                <w:webHidden/>
              </w:rPr>
              <w:fldChar w:fldCharType="end"/>
            </w:r>
          </w:hyperlink>
        </w:p>
        <w:p w:rsidR="000631DB" w:rsidRDefault="00E844E6">
          <w:pPr>
            <w:pStyle w:val="TOC2"/>
            <w:tabs>
              <w:tab w:val="left" w:pos="1276"/>
            </w:tabs>
            <w:rPr>
              <w:rFonts w:asciiTheme="minorHAnsi" w:eastAsiaTheme="minorEastAsia" w:hAnsiTheme="minorHAnsi" w:cstheme="minorBidi"/>
              <w:b w:val="0"/>
              <w:noProof/>
              <w:sz w:val="22"/>
              <w:szCs w:val="22"/>
              <w:lang w:eastAsia="en-AU"/>
            </w:rPr>
          </w:pPr>
          <w:hyperlink w:anchor="_Toc431407251" w:history="1">
            <w:r w:rsidR="000631DB" w:rsidRPr="00E95BD3">
              <w:rPr>
                <w:rStyle w:val="Hyperlink"/>
                <w:rFonts w:eastAsia="Calibri" w:cstheme="minorHAnsi"/>
                <w:noProof/>
              </w:rPr>
              <w:t>4.5</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Adverse Events in Australia</w:t>
            </w:r>
            <w:r w:rsidR="000631DB">
              <w:rPr>
                <w:noProof/>
                <w:webHidden/>
              </w:rPr>
              <w:tab/>
            </w:r>
            <w:r w:rsidR="000631DB">
              <w:rPr>
                <w:noProof/>
                <w:webHidden/>
              </w:rPr>
              <w:fldChar w:fldCharType="begin"/>
            </w:r>
            <w:r w:rsidR="000631DB">
              <w:rPr>
                <w:noProof/>
                <w:webHidden/>
              </w:rPr>
              <w:instrText xml:space="preserve"> PAGEREF _Toc431407251 \h </w:instrText>
            </w:r>
            <w:r w:rsidR="000631DB">
              <w:rPr>
                <w:noProof/>
                <w:webHidden/>
              </w:rPr>
            </w:r>
            <w:r w:rsidR="000631DB">
              <w:rPr>
                <w:noProof/>
                <w:webHidden/>
              </w:rPr>
              <w:fldChar w:fldCharType="separate"/>
            </w:r>
            <w:r w:rsidR="000631DB">
              <w:rPr>
                <w:noProof/>
                <w:webHidden/>
              </w:rPr>
              <w:t>21</w:t>
            </w:r>
            <w:r w:rsidR="000631DB">
              <w:rPr>
                <w:noProof/>
                <w:webHidden/>
              </w:rPr>
              <w:fldChar w:fldCharType="end"/>
            </w:r>
          </w:hyperlink>
        </w:p>
        <w:p w:rsidR="000631DB" w:rsidRDefault="00E844E6">
          <w:pPr>
            <w:pStyle w:val="TOC3"/>
            <w:tabs>
              <w:tab w:val="left" w:pos="1701"/>
            </w:tabs>
            <w:rPr>
              <w:rFonts w:asciiTheme="minorHAnsi" w:eastAsiaTheme="minorEastAsia" w:hAnsiTheme="minorHAnsi" w:cstheme="minorBidi"/>
              <w:b w:val="0"/>
              <w:noProof/>
              <w:szCs w:val="22"/>
              <w:lang w:eastAsia="en-AU"/>
            </w:rPr>
          </w:pPr>
          <w:hyperlink w:anchor="_Toc431407252" w:history="1">
            <w:r w:rsidR="000631DB" w:rsidRPr="00E95BD3">
              <w:rPr>
                <w:rStyle w:val="Hyperlink"/>
                <w:noProof/>
              </w:rPr>
              <w:t>4.5.1</w:t>
            </w:r>
            <w:r w:rsidR="000631DB">
              <w:rPr>
                <w:rFonts w:asciiTheme="minorHAnsi" w:eastAsiaTheme="minorEastAsia" w:hAnsiTheme="minorHAnsi" w:cstheme="minorBidi"/>
                <w:b w:val="0"/>
                <w:noProof/>
                <w:szCs w:val="22"/>
                <w:lang w:eastAsia="en-AU"/>
              </w:rPr>
              <w:tab/>
            </w:r>
            <w:r w:rsidR="000631DB" w:rsidRPr="00E95BD3">
              <w:rPr>
                <w:rStyle w:val="Hyperlink"/>
                <w:noProof/>
              </w:rPr>
              <w:t>ADRS database</w:t>
            </w:r>
            <w:r w:rsidR="000631DB">
              <w:rPr>
                <w:noProof/>
                <w:webHidden/>
              </w:rPr>
              <w:tab/>
            </w:r>
            <w:r w:rsidR="000631DB">
              <w:rPr>
                <w:noProof/>
                <w:webHidden/>
              </w:rPr>
              <w:fldChar w:fldCharType="begin"/>
            </w:r>
            <w:r w:rsidR="000631DB">
              <w:rPr>
                <w:noProof/>
                <w:webHidden/>
              </w:rPr>
              <w:instrText xml:space="preserve"> PAGEREF _Toc431407252 \h </w:instrText>
            </w:r>
            <w:r w:rsidR="000631DB">
              <w:rPr>
                <w:noProof/>
                <w:webHidden/>
              </w:rPr>
            </w:r>
            <w:r w:rsidR="000631DB">
              <w:rPr>
                <w:noProof/>
                <w:webHidden/>
              </w:rPr>
              <w:fldChar w:fldCharType="separate"/>
            </w:r>
            <w:r w:rsidR="000631DB">
              <w:rPr>
                <w:noProof/>
                <w:webHidden/>
              </w:rPr>
              <w:t>21</w:t>
            </w:r>
            <w:r w:rsidR="000631DB">
              <w:rPr>
                <w:noProof/>
                <w:webHidden/>
              </w:rPr>
              <w:fldChar w:fldCharType="end"/>
            </w:r>
          </w:hyperlink>
        </w:p>
        <w:p w:rsidR="000631DB" w:rsidRDefault="00E844E6">
          <w:pPr>
            <w:pStyle w:val="TOC3"/>
            <w:tabs>
              <w:tab w:val="left" w:pos="1701"/>
            </w:tabs>
            <w:rPr>
              <w:rFonts w:asciiTheme="minorHAnsi" w:eastAsiaTheme="minorEastAsia" w:hAnsiTheme="minorHAnsi" w:cstheme="minorBidi"/>
              <w:b w:val="0"/>
              <w:noProof/>
              <w:szCs w:val="22"/>
              <w:lang w:eastAsia="en-AU"/>
            </w:rPr>
          </w:pPr>
          <w:hyperlink w:anchor="_Toc431407253" w:history="1">
            <w:r w:rsidR="000631DB" w:rsidRPr="00E95BD3">
              <w:rPr>
                <w:rStyle w:val="Hyperlink"/>
                <w:noProof/>
              </w:rPr>
              <w:t>4.5.2</w:t>
            </w:r>
            <w:r w:rsidR="000631DB">
              <w:rPr>
                <w:rFonts w:asciiTheme="minorHAnsi" w:eastAsiaTheme="minorEastAsia" w:hAnsiTheme="minorHAnsi" w:cstheme="minorBidi"/>
                <w:b w:val="0"/>
                <w:noProof/>
                <w:szCs w:val="22"/>
                <w:lang w:eastAsia="en-AU"/>
              </w:rPr>
              <w:tab/>
            </w:r>
            <w:r w:rsidR="000631DB" w:rsidRPr="00E95BD3">
              <w:rPr>
                <w:rStyle w:val="Hyperlink"/>
                <w:noProof/>
              </w:rPr>
              <w:t>Coronial data</w:t>
            </w:r>
            <w:r w:rsidR="000631DB">
              <w:rPr>
                <w:noProof/>
                <w:webHidden/>
              </w:rPr>
              <w:tab/>
            </w:r>
            <w:r w:rsidR="000631DB">
              <w:rPr>
                <w:noProof/>
                <w:webHidden/>
              </w:rPr>
              <w:fldChar w:fldCharType="begin"/>
            </w:r>
            <w:r w:rsidR="000631DB">
              <w:rPr>
                <w:noProof/>
                <w:webHidden/>
              </w:rPr>
              <w:instrText xml:space="preserve"> PAGEREF _Toc431407253 \h </w:instrText>
            </w:r>
            <w:r w:rsidR="000631DB">
              <w:rPr>
                <w:noProof/>
                <w:webHidden/>
              </w:rPr>
            </w:r>
            <w:r w:rsidR="000631DB">
              <w:rPr>
                <w:noProof/>
                <w:webHidden/>
              </w:rPr>
              <w:fldChar w:fldCharType="separate"/>
            </w:r>
            <w:r w:rsidR="000631DB">
              <w:rPr>
                <w:noProof/>
                <w:webHidden/>
              </w:rPr>
              <w:t>21</w:t>
            </w:r>
            <w:r w:rsidR="000631DB">
              <w:rPr>
                <w:noProof/>
                <w:webHidden/>
              </w:rPr>
              <w:fldChar w:fldCharType="end"/>
            </w:r>
          </w:hyperlink>
        </w:p>
        <w:p w:rsidR="000631DB" w:rsidRDefault="00E844E6">
          <w:pPr>
            <w:pStyle w:val="TOC4"/>
            <w:tabs>
              <w:tab w:val="left" w:pos="2126"/>
            </w:tabs>
            <w:rPr>
              <w:rFonts w:asciiTheme="minorHAnsi" w:eastAsiaTheme="minorEastAsia" w:hAnsiTheme="minorHAnsi" w:cstheme="minorBidi"/>
              <w:noProof/>
              <w:szCs w:val="22"/>
              <w:lang w:eastAsia="en-AU"/>
            </w:rPr>
          </w:pPr>
          <w:hyperlink w:anchor="_Toc431407254" w:history="1">
            <w:r w:rsidR="000631DB" w:rsidRPr="00E95BD3">
              <w:rPr>
                <w:rStyle w:val="Hyperlink"/>
                <w:noProof/>
              </w:rPr>
              <w:t>4.5.2.1</w:t>
            </w:r>
            <w:r w:rsidR="000631DB">
              <w:rPr>
                <w:rFonts w:asciiTheme="minorHAnsi" w:eastAsiaTheme="minorEastAsia" w:hAnsiTheme="minorHAnsi" w:cstheme="minorBidi"/>
                <w:noProof/>
                <w:szCs w:val="22"/>
                <w:lang w:eastAsia="en-AU"/>
              </w:rPr>
              <w:tab/>
            </w:r>
            <w:r w:rsidR="000631DB" w:rsidRPr="00E95BD3">
              <w:rPr>
                <w:rStyle w:val="Hyperlink"/>
                <w:noProof/>
              </w:rPr>
              <w:t>Child deaths involving codeine</w:t>
            </w:r>
            <w:r w:rsidR="000631DB">
              <w:rPr>
                <w:noProof/>
                <w:webHidden/>
              </w:rPr>
              <w:tab/>
            </w:r>
            <w:r w:rsidR="000631DB">
              <w:rPr>
                <w:noProof/>
                <w:webHidden/>
              </w:rPr>
              <w:fldChar w:fldCharType="begin"/>
            </w:r>
            <w:r w:rsidR="000631DB">
              <w:rPr>
                <w:noProof/>
                <w:webHidden/>
              </w:rPr>
              <w:instrText xml:space="preserve"> PAGEREF _Toc431407254 \h </w:instrText>
            </w:r>
            <w:r w:rsidR="000631DB">
              <w:rPr>
                <w:noProof/>
                <w:webHidden/>
              </w:rPr>
            </w:r>
            <w:r w:rsidR="000631DB">
              <w:rPr>
                <w:noProof/>
                <w:webHidden/>
              </w:rPr>
              <w:fldChar w:fldCharType="separate"/>
            </w:r>
            <w:r w:rsidR="000631DB">
              <w:rPr>
                <w:noProof/>
                <w:webHidden/>
              </w:rPr>
              <w:t>21</w:t>
            </w:r>
            <w:r w:rsidR="000631DB">
              <w:rPr>
                <w:noProof/>
                <w:webHidden/>
              </w:rPr>
              <w:fldChar w:fldCharType="end"/>
            </w:r>
          </w:hyperlink>
        </w:p>
        <w:p w:rsidR="000631DB" w:rsidRDefault="00E844E6">
          <w:pPr>
            <w:pStyle w:val="TOC4"/>
            <w:tabs>
              <w:tab w:val="left" w:pos="2126"/>
            </w:tabs>
            <w:rPr>
              <w:rFonts w:asciiTheme="minorHAnsi" w:eastAsiaTheme="minorEastAsia" w:hAnsiTheme="minorHAnsi" w:cstheme="minorBidi"/>
              <w:noProof/>
              <w:szCs w:val="22"/>
              <w:lang w:eastAsia="en-AU"/>
            </w:rPr>
          </w:pPr>
          <w:hyperlink w:anchor="_Toc431407255" w:history="1">
            <w:r w:rsidR="000631DB" w:rsidRPr="00E95BD3">
              <w:rPr>
                <w:rStyle w:val="Hyperlink"/>
                <w:noProof/>
              </w:rPr>
              <w:t>4.5.2.2</w:t>
            </w:r>
            <w:r w:rsidR="000631DB">
              <w:rPr>
                <w:rFonts w:asciiTheme="minorHAnsi" w:eastAsiaTheme="minorEastAsia" w:hAnsiTheme="minorHAnsi" w:cstheme="minorBidi"/>
                <w:noProof/>
                <w:szCs w:val="22"/>
                <w:lang w:eastAsia="en-AU"/>
              </w:rPr>
              <w:tab/>
            </w:r>
            <w:r w:rsidR="000631DB" w:rsidRPr="00E95BD3">
              <w:rPr>
                <w:rStyle w:val="Hyperlink"/>
                <w:noProof/>
              </w:rPr>
              <w:t>Child deaths post adenotonsillectomy</w:t>
            </w:r>
            <w:r w:rsidR="000631DB">
              <w:rPr>
                <w:noProof/>
                <w:webHidden/>
              </w:rPr>
              <w:tab/>
            </w:r>
            <w:r w:rsidR="000631DB">
              <w:rPr>
                <w:noProof/>
                <w:webHidden/>
              </w:rPr>
              <w:fldChar w:fldCharType="begin"/>
            </w:r>
            <w:r w:rsidR="000631DB">
              <w:rPr>
                <w:noProof/>
                <w:webHidden/>
              </w:rPr>
              <w:instrText xml:space="preserve"> PAGEREF _Toc431407255 \h </w:instrText>
            </w:r>
            <w:r w:rsidR="000631DB">
              <w:rPr>
                <w:noProof/>
                <w:webHidden/>
              </w:rPr>
            </w:r>
            <w:r w:rsidR="000631DB">
              <w:rPr>
                <w:noProof/>
                <w:webHidden/>
              </w:rPr>
              <w:fldChar w:fldCharType="separate"/>
            </w:r>
            <w:r w:rsidR="000631DB">
              <w:rPr>
                <w:noProof/>
                <w:webHidden/>
              </w:rPr>
              <w:t>21</w:t>
            </w:r>
            <w:r w:rsidR="000631DB">
              <w:rPr>
                <w:noProof/>
                <w:webHidden/>
              </w:rPr>
              <w:fldChar w:fldCharType="end"/>
            </w:r>
          </w:hyperlink>
        </w:p>
        <w:p w:rsidR="000631DB" w:rsidRDefault="00E844E6">
          <w:pPr>
            <w:pStyle w:val="TOC1"/>
            <w:tabs>
              <w:tab w:val="left" w:pos="425"/>
            </w:tabs>
            <w:rPr>
              <w:rFonts w:asciiTheme="minorHAnsi" w:eastAsiaTheme="minorEastAsia" w:hAnsiTheme="minorHAnsi" w:cstheme="minorBidi"/>
              <w:b w:val="0"/>
              <w:noProof/>
              <w:sz w:val="22"/>
              <w:szCs w:val="22"/>
              <w:lang w:eastAsia="en-AU"/>
            </w:rPr>
          </w:pPr>
          <w:hyperlink w:anchor="_Toc431407256" w:history="1">
            <w:r w:rsidR="000631DB" w:rsidRPr="00E95BD3">
              <w:rPr>
                <w:rStyle w:val="Hyperlink"/>
                <w:rFonts w:asciiTheme="majorHAnsi" w:hAnsiTheme="majorHAnsi" w:cstheme="majorHAnsi"/>
                <w:noProof/>
              </w:rPr>
              <w:t>5</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Alternatives to codeine for paediatric analgesia</w:t>
            </w:r>
            <w:r w:rsidR="000631DB">
              <w:rPr>
                <w:noProof/>
                <w:webHidden/>
              </w:rPr>
              <w:tab/>
            </w:r>
            <w:r w:rsidR="000631DB">
              <w:rPr>
                <w:noProof/>
                <w:webHidden/>
              </w:rPr>
              <w:fldChar w:fldCharType="begin"/>
            </w:r>
            <w:r w:rsidR="000631DB">
              <w:rPr>
                <w:noProof/>
                <w:webHidden/>
              </w:rPr>
              <w:instrText xml:space="preserve"> PAGEREF _Toc431407256 \h </w:instrText>
            </w:r>
            <w:r w:rsidR="000631DB">
              <w:rPr>
                <w:noProof/>
                <w:webHidden/>
              </w:rPr>
            </w:r>
            <w:r w:rsidR="000631DB">
              <w:rPr>
                <w:noProof/>
                <w:webHidden/>
              </w:rPr>
              <w:fldChar w:fldCharType="separate"/>
            </w:r>
            <w:r w:rsidR="000631DB">
              <w:rPr>
                <w:noProof/>
                <w:webHidden/>
              </w:rPr>
              <w:t>22</w:t>
            </w:r>
            <w:r w:rsidR="000631DB">
              <w:rPr>
                <w:noProof/>
                <w:webHidden/>
              </w:rPr>
              <w:fldChar w:fldCharType="end"/>
            </w:r>
          </w:hyperlink>
        </w:p>
        <w:p w:rsidR="000631DB" w:rsidRDefault="00E844E6">
          <w:pPr>
            <w:pStyle w:val="TOC2"/>
            <w:tabs>
              <w:tab w:val="left" w:pos="1276"/>
            </w:tabs>
            <w:rPr>
              <w:rFonts w:asciiTheme="minorHAnsi" w:eastAsiaTheme="minorEastAsia" w:hAnsiTheme="minorHAnsi" w:cstheme="minorBidi"/>
              <w:b w:val="0"/>
              <w:noProof/>
              <w:sz w:val="22"/>
              <w:szCs w:val="22"/>
              <w:lang w:eastAsia="en-AU"/>
            </w:rPr>
          </w:pPr>
          <w:hyperlink w:anchor="_Toc431407257" w:history="1">
            <w:r w:rsidR="000631DB" w:rsidRPr="00E95BD3">
              <w:rPr>
                <w:rStyle w:val="Hyperlink"/>
                <w:rFonts w:eastAsia="Calibri"/>
                <w:noProof/>
              </w:rPr>
              <w:t>5.1</w:t>
            </w:r>
            <w:r w:rsidR="000631DB">
              <w:rPr>
                <w:rFonts w:asciiTheme="minorHAnsi" w:eastAsiaTheme="minorEastAsia" w:hAnsiTheme="minorHAnsi" w:cstheme="minorBidi"/>
                <w:b w:val="0"/>
                <w:noProof/>
                <w:sz w:val="22"/>
                <w:szCs w:val="22"/>
                <w:lang w:eastAsia="en-AU"/>
              </w:rPr>
              <w:tab/>
            </w:r>
            <w:r w:rsidR="000631DB" w:rsidRPr="00E95BD3">
              <w:rPr>
                <w:rStyle w:val="Hyperlink"/>
                <w:rFonts w:eastAsia="Calibri"/>
                <w:noProof/>
              </w:rPr>
              <w:t>World Health Organisation guidelines on paediatric analgesia</w:t>
            </w:r>
            <w:r w:rsidR="000631DB">
              <w:rPr>
                <w:noProof/>
                <w:webHidden/>
              </w:rPr>
              <w:tab/>
            </w:r>
            <w:r w:rsidR="000631DB">
              <w:rPr>
                <w:noProof/>
                <w:webHidden/>
              </w:rPr>
              <w:fldChar w:fldCharType="begin"/>
            </w:r>
            <w:r w:rsidR="000631DB">
              <w:rPr>
                <w:noProof/>
                <w:webHidden/>
              </w:rPr>
              <w:instrText xml:space="preserve"> PAGEREF _Toc431407257 \h </w:instrText>
            </w:r>
            <w:r w:rsidR="000631DB">
              <w:rPr>
                <w:noProof/>
                <w:webHidden/>
              </w:rPr>
            </w:r>
            <w:r w:rsidR="000631DB">
              <w:rPr>
                <w:noProof/>
                <w:webHidden/>
              </w:rPr>
              <w:fldChar w:fldCharType="separate"/>
            </w:r>
            <w:r w:rsidR="000631DB">
              <w:rPr>
                <w:noProof/>
                <w:webHidden/>
              </w:rPr>
              <w:t>22</w:t>
            </w:r>
            <w:r w:rsidR="000631DB">
              <w:rPr>
                <w:noProof/>
                <w:webHidden/>
              </w:rPr>
              <w:fldChar w:fldCharType="end"/>
            </w:r>
          </w:hyperlink>
        </w:p>
        <w:p w:rsidR="000631DB" w:rsidRDefault="00E844E6">
          <w:pPr>
            <w:pStyle w:val="TOC2"/>
            <w:tabs>
              <w:tab w:val="left" w:pos="1276"/>
            </w:tabs>
            <w:rPr>
              <w:rFonts w:asciiTheme="minorHAnsi" w:eastAsiaTheme="minorEastAsia" w:hAnsiTheme="minorHAnsi" w:cstheme="minorBidi"/>
              <w:b w:val="0"/>
              <w:noProof/>
              <w:sz w:val="22"/>
              <w:szCs w:val="22"/>
              <w:lang w:eastAsia="en-AU"/>
            </w:rPr>
          </w:pPr>
          <w:hyperlink w:anchor="_Toc431407258" w:history="1">
            <w:r w:rsidR="000631DB" w:rsidRPr="00E95BD3">
              <w:rPr>
                <w:rStyle w:val="Hyperlink"/>
                <w:rFonts w:eastAsia="Calibri"/>
                <w:noProof/>
              </w:rPr>
              <w:t>5.2</w:t>
            </w:r>
            <w:r w:rsidR="000631DB">
              <w:rPr>
                <w:rFonts w:asciiTheme="minorHAnsi" w:eastAsiaTheme="minorEastAsia" w:hAnsiTheme="minorHAnsi" w:cstheme="minorBidi"/>
                <w:b w:val="0"/>
                <w:noProof/>
                <w:sz w:val="22"/>
                <w:szCs w:val="22"/>
                <w:lang w:eastAsia="en-AU"/>
              </w:rPr>
              <w:tab/>
            </w:r>
            <w:r w:rsidR="000631DB" w:rsidRPr="00E95BD3">
              <w:rPr>
                <w:rStyle w:val="Hyperlink"/>
                <w:rFonts w:eastAsia="Calibri"/>
                <w:noProof/>
              </w:rPr>
              <w:t>Post-adenotonsillectomy analgesia in Australia and internationally</w:t>
            </w:r>
            <w:r w:rsidR="000631DB">
              <w:rPr>
                <w:noProof/>
                <w:webHidden/>
              </w:rPr>
              <w:tab/>
            </w:r>
            <w:r w:rsidR="000631DB">
              <w:rPr>
                <w:noProof/>
                <w:webHidden/>
              </w:rPr>
              <w:fldChar w:fldCharType="begin"/>
            </w:r>
            <w:r w:rsidR="000631DB">
              <w:rPr>
                <w:noProof/>
                <w:webHidden/>
              </w:rPr>
              <w:instrText xml:space="preserve"> PAGEREF _Toc431407258 \h </w:instrText>
            </w:r>
            <w:r w:rsidR="000631DB">
              <w:rPr>
                <w:noProof/>
                <w:webHidden/>
              </w:rPr>
            </w:r>
            <w:r w:rsidR="000631DB">
              <w:rPr>
                <w:noProof/>
                <w:webHidden/>
              </w:rPr>
              <w:fldChar w:fldCharType="separate"/>
            </w:r>
            <w:r w:rsidR="000631DB">
              <w:rPr>
                <w:noProof/>
                <w:webHidden/>
              </w:rPr>
              <w:t>22</w:t>
            </w:r>
            <w:r w:rsidR="000631DB">
              <w:rPr>
                <w:noProof/>
                <w:webHidden/>
              </w:rPr>
              <w:fldChar w:fldCharType="end"/>
            </w:r>
          </w:hyperlink>
        </w:p>
        <w:p w:rsidR="000631DB" w:rsidRDefault="00E844E6">
          <w:pPr>
            <w:pStyle w:val="TOC1"/>
            <w:tabs>
              <w:tab w:val="left" w:pos="425"/>
            </w:tabs>
            <w:rPr>
              <w:rFonts w:asciiTheme="minorHAnsi" w:eastAsiaTheme="minorEastAsia" w:hAnsiTheme="minorHAnsi" w:cstheme="minorBidi"/>
              <w:b w:val="0"/>
              <w:noProof/>
              <w:sz w:val="22"/>
              <w:szCs w:val="22"/>
              <w:lang w:eastAsia="en-AU"/>
            </w:rPr>
          </w:pPr>
          <w:hyperlink w:anchor="_Toc431407259" w:history="1">
            <w:r w:rsidR="000631DB" w:rsidRPr="00E95BD3">
              <w:rPr>
                <w:rStyle w:val="Hyperlink"/>
                <w:rFonts w:asciiTheme="majorHAnsi" w:hAnsiTheme="majorHAnsi" w:cstheme="majorHAnsi"/>
                <w:noProof/>
              </w:rPr>
              <w:t>6</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Discussion</w:t>
            </w:r>
            <w:r w:rsidR="000631DB">
              <w:rPr>
                <w:noProof/>
                <w:webHidden/>
              </w:rPr>
              <w:tab/>
            </w:r>
            <w:r w:rsidR="000631DB">
              <w:rPr>
                <w:noProof/>
                <w:webHidden/>
              </w:rPr>
              <w:fldChar w:fldCharType="begin"/>
            </w:r>
            <w:r w:rsidR="000631DB">
              <w:rPr>
                <w:noProof/>
                <w:webHidden/>
              </w:rPr>
              <w:instrText xml:space="preserve"> PAGEREF _Toc431407259 \h </w:instrText>
            </w:r>
            <w:r w:rsidR="000631DB">
              <w:rPr>
                <w:noProof/>
                <w:webHidden/>
              </w:rPr>
            </w:r>
            <w:r w:rsidR="000631DB">
              <w:rPr>
                <w:noProof/>
                <w:webHidden/>
              </w:rPr>
              <w:fldChar w:fldCharType="separate"/>
            </w:r>
            <w:r w:rsidR="000631DB">
              <w:rPr>
                <w:noProof/>
                <w:webHidden/>
              </w:rPr>
              <w:t>24</w:t>
            </w:r>
            <w:r w:rsidR="000631DB">
              <w:rPr>
                <w:noProof/>
                <w:webHidden/>
              </w:rPr>
              <w:fldChar w:fldCharType="end"/>
            </w:r>
          </w:hyperlink>
        </w:p>
        <w:p w:rsidR="000631DB" w:rsidRDefault="00E844E6">
          <w:pPr>
            <w:pStyle w:val="TOC1"/>
            <w:tabs>
              <w:tab w:val="left" w:pos="425"/>
            </w:tabs>
            <w:rPr>
              <w:rFonts w:asciiTheme="minorHAnsi" w:eastAsiaTheme="minorEastAsia" w:hAnsiTheme="minorHAnsi" w:cstheme="minorBidi"/>
              <w:b w:val="0"/>
              <w:noProof/>
              <w:sz w:val="22"/>
              <w:szCs w:val="22"/>
              <w:lang w:eastAsia="en-AU"/>
            </w:rPr>
          </w:pPr>
          <w:hyperlink w:anchor="_Toc431407260" w:history="1">
            <w:r w:rsidR="000631DB" w:rsidRPr="00E95BD3">
              <w:rPr>
                <w:rStyle w:val="Hyperlink"/>
                <w:rFonts w:asciiTheme="majorHAnsi" w:hAnsiTheme="majorHAnsi" w:cstheme="majorHAnsi"/>
                <w:noProof/>
              </w:rPr>
              <w:t>7</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Conclusions</w:t>
            </w:r>
            <w:r w:rsidR="000631DB">
              <w:rPr>
                <w:noProof/>
                <w:webHidden/>
              </w:rPr>
              <w:tab/>
            </w:r>
            <w:r w:rsidR="000631DB">
              <w:rPr>
                <w:noProof/>
                <w:webHidden/>
              </w:rPr>
              <w:fldChar w:fldCharType="begin"/>
            </w:r>
            <w:r w:rsidR="000631DB">
              <w:rPr>
                <w:noProof/>
                <w:webHidden/>
              </w:rPr>
              <w:instrText xml:space="preserve"> PAGEREF _Toc431407260 \h </w:instrText>
            </w:r>
            <w:r w:rsidR="000631DB">
              <w:rPr>
                <w:noProof/>
                <w:webHidden/>
              </w:rPr>
            </w:r>
            <w:r w:rsidR="000631DB">
              <w:rPr>
                <w:noProof/>
                <w:webHidden/>
              </w:rPr>
              <w:fldChar w:fldCharType="separate"/>
            </w:r>
            <w:r w:rsidR="000631DB">
              <w:rPr>
                <w:noProof/>
                <w:webHidden/>
              </w:rPr>
              <w:t>26</w:t>
            </w:r>
            <w:r w:rsidR="000631DB">
              <w:rPr>
                <w:noProof/>
                <w:webHidden/>
              </w:rPr>
              <w:fldChar w:fldCharType="end"/>
            </w:r>
          </w:hyperlink>
        </w:p>
        <w:p w:rsidR="000631DB" w:rsidRDefault="00E844E6">
          <w:pPr>
            <w:pStyle w:val="TOC3"/>
            <w:rPr>
              <w:rFonts w:asciiTheme="minorHAnsi" w:eastAsiaTheme="minorEastAsia" w:hAnsiTheme="minorHAnsi" w:cstheme="minorBidi"/>
              <w:b w:val="0"/>
              <w:noProof/>
              <w:szCs w:val="22"/>
              <w:lang w:eastAsia="en-AU"/>
            </w:rPr>
          </w:pPr>
          <w:hyperlink w:anchor="_Toc431407261" w:history="1">
            <w:r w:rsidR="000631DB" w:rsidRPr="00E95BD3">
              <w:rPr>
                <w:rStyle w:val="Hyperlink"/>
                <w:noProof/>
              </w:rPr>
              <w:t>TGA recommendations</w:t>
            </w:r>
            <w:r w:rsidR="000631DB">
              <w:rPr>
                <w:noProof/>
                <w:webHidden/>
              </w:rPr>
              <w:tab/>
            </w:r>
            <w:r w:rsidR="000631DB">
              <w:rPr>
                <w:noProof/>
                <w:webHidden/>
              </w:rPr>
              <w:fldChar w:fldCharType="begin"/>
            </w:r>
            <w:r w:rsidR="000631DB">
              <w:rPr>
                <w:noProof/>
                <w:webHidden/>
              </w:rPr>
              <w:instrText xml:space="preserve"> PAGEREF _Toc431407261 \h </w:instrText>
            </w:r>
            <w:r w:rsidR="000631DB">
              <w:rPr>
                <w:noProof/>
                <w:webHidden/>
              </w:rPr>
            </w:r>
            <w:r w:rsidR="000631DB">
              <w:rPr>
                <w:noProof/>
                <w:webHidden/>
              </w:rPr>
              <w:fldChar w:fldCharType="separate"/>
            </w:r>
            <w:r w:rsidR="000631DB">
              <w:rPr>
                <w:noProof/>
                <w:webHidden/>
              </w:rPr>
              <w:t>26</w:t>
            </w:r>
            <w:r w:rsidR="000631DB">
              <w:rPr>
                <w:noProof/>
                <w:webHidden/>
              </w:rPr>
              <w:fldChar w:fldCharType="end"/>
            </w:r>
          </w:hyperlink>
        </w:p>
        <w:p w:rsidR="000631DB" w:rsidRDefault="00E844E6">
          <w:pPr>
            <w:pStyle w:val="TOC1"/>
            <w:tabs>
              <w:tab w:val="left" w:pos="425"/>
            </w:tabs>
            <w:rPr>
              <w:rFonts w:asciiTheme="minorHAnsi" w:eastAsiaTheme="minorEastAsia" w:hAnsiTheme="minorHAnsi" w:cstheme="minorBidi"/>
              <w:b w:val="0"/>
              <w:noProof/>
              <w:sz w:val="22"/>
              <w:szCs w:val="22"/>
              <w:lang w:eastAsia="en-AU"/>
            </w:rPr>
          </w:pPr>
          <w:hyperlink w:anchor="_Toc431407262" w:history="1">
            <w:r w:rsidR="000631DB" w:rsidRPr="00E95BD3">
              <w:rPr>
                <w:rStyle w:val="Hyperlink"/>
                <w:rFonts w:asciiTheme="majorHAnsi" w:hAnsiTheme="majorHAnsi" w:cstheme="majorHAnsi"/>
                <w:noProof/>
              </w:rPr>
              <w:t>8</w:t>
            </w:r>
            <w:r w:rsidR="000631DB">
              <w:rPr>
                <w:rFonts w:asciiTheme="minorHAnsi" w:eastAsiaTheme="minorEastAsia" w:hAnsiTheme="minorHAnsi" w:cstheme="minorBidi"/>
                <w:b w:val="0"/>
                <w:noProof/>
                <w:sz w:val="22"/>
                <w:szCs w:val="22"/>
                <w:lang w:eastAsia="en-AU"/>
              </w:rPr>
              <w:tab/>
            </w:r>
            <w:r w:rsidR="000631DB" w:rsidRPr="00E95BD3">
              <w:rPr>
                <w:rStyle w:val="Hyperlink"/>
                <w:noProof/>
              </w:rPr>
              <w:t>References</w:t>
            </w:r>
            <w:r w:rsidR="000631DB">
              <w:rPr>
                <w:noProof/>
                <w:webHidden/>
              </w:rPr>
              <w:tab/>
            </w:r>
            <w:r w:rsidR="000631DB">
              <w:rPr>
                <w:noProof/>
                <w:webHidden/>
              </w:rPr>
              <w:fldChar w:fldCharType="begin"/>
            </w:r>
            <w:r w:rsidR="000631DB">
              <w:rPr>
                <w:noProof/>
                <w:webHidden/>
              </w:rPr>
              <w:instrText xml:space="preserve"> PAGEREF _Toc431407262 \h </w:instrText>
            </w:r>
            <w:r w:rsidR="000631DB">
              <w:rPr>
                <w:noProof/>
                <w:webHidden/>
              </w:rPr>
            </w:r>
            <w:r w:rsidR="000631DB">
              <w:rPr>
                <w:noProof/>
                <w:webHidden/>
              </w:rPr>
              <w:fldChar w:fldCharType="separate"/>
            </w:r>
            <w:r w:rsidR="000631DB">
              <w:rPr>
                <w:noProof/>
                <w:webHidden/>
              </w:rPr>
              <w:t>27</w:t>
            </w:r>
            <w:r w:rsidR="000631DB">
              <w:rPr>
                <w:noProof/>
                <w:webHidden/>
              </w:rPr>
              <w:fldChar w:fldCharType="end"/>
            </w:r>
          </w:hyperlink>
        </w:p>
        <w:p w:rsidR="000631DB" w:rsidRDefault="00E844E6">
          <w:pPr>
            <w:pStyle w:val="TOC1"/>
            <w:rPr>
              <w:rFonts w:asciiTheme="minorHAnsi" w:eastAsiaTheme="minorEastAsia" w:hAnsiTheme="minorHAnsi" w:cstheme="minorBidi"/>
              <w:b w:val="0"/>
              <w:noProof/>
              <w:sz w:val="22"/>
              <w:szCs w:val="22"/>
              <w:lang w:eastAsia="en-AU"/>
            </w:rPr>
          </w:pPr>
          <w:hyperlink w:anchor="_Toc431407263" w:history="1">
            <w:r w:rsidR="000631DB" w:rsidRPr="00E95BD3">
              <w:rPr>
                <w:rStyle w:val="Hyperlink"/>
                <w:noProof/>
              </w:rPr>
              <w:t>Appendix 1</w:t>
            </w:r>
            <w:r w:rsidR="000631DB">
              <w:rPr>
                <w:noProof/>
                <w:webHidden/>
              </w:rPr>
              <w:tab/>
            </w:r>
            <w:r w:rsidR="000631DB">
              <w:rPr>
                <w:noProof/>
                <w:webHidden/>
              </w:rPr>
              <w:fldChar w:fldCharType="begin"/>
            </w:r>
            <w:r w:rsidR="000631DB">
              <w:rPr>
                <w:noProof/>
                <w:webHidden/>
              </w:rPr>
              <w:instrText xml:space="preserve"> PAGEREF _Toc431407263 \h </w:instrText>
            </w:r>
            <w:r w:rsidR="000631DB">
              <w:rPr>
                <w:noProof/>
                <w:webHidden/>
              </w:rPr>
            </w:r>
            <w:r w:rsidR="000631DB">
              <w:rPr>
                <w:noProof/>
                <w:webHidden/>
              </w:rPr>
              <w:fldChar w:fldCharType="separate"/>
            </w:r>
            <w:r w:rsidR="000631DB">
              <w:rPr>
                <w:noProof/>
                <w:webHidden/>
              </w:rPr>
              <w:t>30</w:t>
            </w:r>
            <w:r w:rsidR="000631DB">
              <w:rPr>
                <w:noProof/>
                <w:webHidden/>
              </w:rPr>
              <w:fldChar w:fldCharType="end"/>
            </w:r>
          </w:hyperlink>
        </w:p>
        <w:p w:rsidR="000631DB" w:rsidRDefault="00E844E6">
          <w:pPr>
            <w:pStyle w:val="TOC2"/>
            <w:rPr>
              <w:rFonts w:asciiTheme="minorHAnsi" w:eastAsiaTheme="minorEastAsia" w:hAnsiTheme="minorHAnsi" w:cstheme="minorBidi"/>
              <w:b w:val="0"/>
              <w:noProof/>
              <w:sz w:val="22"/>
              <w:szCs w:val="22"/>
              <w:lang w:eastAsia="en-AU"/>
            </w:rPr>
          </w:pPr>
          <w:hyperlink w:anchor="_Toc431407264" w:history="1">
            <w:r w:rsidR="000631DB" w:rsidRPr="00E95BD3">
              <w:rPr>
                <w:rStyle w:val="Hyperlink"/>
                <w:noProof/>
              </w:rPr>
              <w:t>Literature cases identified by the FDA safety review</w:t>
            </w:r>
            <w:r w:rsidR="000631DB">
              <w:rPr>
                <w:noProof/>
                <w:webHidden/>
              </w:rPr>
              <w:tab/>
            </w:r>
            <w:r w:rsidR="000631DB">
              <w:rPr>
                <w:noProof/>
                <w:webHidden/>
              </w:rPr>
              <w:fldChar w:fldCharType="begin"/>
            </w:r>
            <w:r w:rsidR="000631DB">
              <w:rPr>
                <w:noProof/>
                <w:webHidden/>
              </w:rPr>
              <w:instrText xml:space="preserve"> PAGEREF _Toc431407264 \h </w:instrText>
            </w:r>
            <w:r w:rsidR="000631DB">
              <w:rPr>
                <w:noProof/>
                <w:webHidden/>
              </w:rPr>
            </w:r>
            <w:r w:rsidR="000631DB">
              <w:rPr>
                <w:noProof/>
                <w:webHidden/>
              </w:rPr>
              <w:fldChar w:fldCharType="separate"/>
            </w:r>
            <w:r w:rsidR="000631DB">
              <w:rPr>
                <w:noProof/>
                <w:webHidden/>
              </w:rPr>
              <w:t>30</w:t>
            </w:r>
            <w:r w:rsidR="000631DB">
              <w:rPr>
                <w:noProof/>
                <w:webHidden/>
              </w:rPr>
              <w:fldChar w:fldCharType="end"/>
            </w:r>
          </w:hyperlink>
        </w:p>
        <w:p w:rsidR="004E0C24" w:rsidRDefault="004E0C24">
          <w:pPr>
            <w:spacing w:before="0" w:after="0" w:line="240" w:lineRule="auto"/>
            <w:rPr>
              <w:rFonts w:ascii="Arial" w:eastAsia="Times New Roman" w:hAnsi="Arial"/>
              <w:b/>
              <w:bCs/>
              <w:sz w:val="38"/>
              <w:szCs w:val="38"/>
            </w:rPr>
          </w:pPr>
          <w:r>
            <w:rPr>
              <w:rFonts w:ascii="Arial" w:hAnsi="Arial"/>
              <w:b/>
              <w:sz w:val="28"/>
            </w:rPr>
            <w:fldChar w:fldCharType="end"/>
          </w:r>
        </w:p>
      </w:sdtContent>
    </w:sdt>
    <w:p w:rsidR="00241577" w:rsidRDefault="00241577">
      <w:pPr>
        <w:spacing w:before="0" w:after="0" w:line="240" w:lineRule="auto"/>
        <w:rPr>
          <w:rFonts w:ascii="Arial" w:eastAsia="Times New Roman" w:hAnsi="Arial"/>
          <w:b/>
          <w:bCs/>
          <w:sz w:val="38"/>
          <w:szCs w:val="38"/>
        </w:rPr>
      </w:pPr>
      <w:r>
        <w:br w:type="page"/>
      </w:r>
    </w:p>
    <w:p w:rsidR="003800B4" w:rsidRDefault="003800B4" w:rsidP="006C6034">
      <w:pPr>
        <w:pStyle w:val="Heading2"/>
        <w:pageBreakBefore/>
      </w:pPr>
      <w:bookmarkStart w:id="5" w:name="_Toc431407221"/>
      <w:r>
        <w:lastRenderedPageBreak/>
        <w:t xml:space="preserve">Executive </w:t>
      </w:r>
      <w:r w:rsidRPr="005B6F50">
        <w:t>summary</w:t>
      </w:r>
      <w:bookmarkEnd w:id="5"/>
      <w:bookmarkEnd w:id="4"/>
      <w:bookmarkEnd w:id="3"/>
    </w:p>
    <w:p w:rsidR="003800B4" w:rsidRPr="00B037A3" w:rsidRDefault="003800B4" w:rsidP="003800B4">
      <w:pPr>
        <w:spacing w:after="120"/>
        <w:rPr>
          <w:rFonts w:cstheme="minorHAnsi"/>
        </w:rPr>
      </w:pPr>
      <w:r w:rsidRPr="00B61186">
        <w:rPr>
          <w:rFonts w:cstheme="minorHAnsi"/>
        </w:rPr>
        <w:t xml:space="preserve">This review concerns the safety of use of all codeine-containing products in </w:t>
      </w:r>
      <w:r>
        <w:rPr>
          <w:rFonts w:cstheme="minorHAnsi"/>
        </w:rPr>
        <w:t xml:space="preserve">children and breast-feeding mothers, in the context of genetically determined </w:t>
      </w:r>
      <w:r w:rsidR="00467FCB" w:rsidRPr="00467FCB">
        <w:rPr>
          <w:rFonts w:cstheme="minorHAnsi"/>
        </w:rPr>
        <w:t xml:space="preserve">ultra-rapid </w:t>
      </w:r>
      <w:r>
        <w:rPr>
          <w:rFonts w:cstheme="minorHAnsi"/>
        </w:rPr>
        <w:t xml:space="preserve">metabolism of codeine to morphine. </w:t>
      </w:r>
      <w:r>
        <w:t xml:space="preserve">Children who metabolise codeine to morphine </w:t>
      </w:r>
      <w:r w:rsidR="00467FCB">
        <w:t>rapidly</w:t>
      </w:r>
      <w:r>
        <w:t xml:space="preserve"> are at a higher risk of accidental morphine overdose, which can lead to respiratory compromise and death. </w:t>
      </w:r>
      <w:r w:rsidRPr="00332473">
        <w:t xml:space="preserve">Children are </w:t>
      </w:r>
      <w:r>
        <w:t>more</w:t>
      </w:r>
      <w:r w:rsidRPr="00332473">
        <w:t xml:space="preserve"> susceptible </w:t>
      </w:r>
      <w:r>
        <w:t xml:space="preserve">to respiratory problems than adults </w:t>
      </w:r>
      <w:r w:rsidRPr="00332473">
        <w:t xml:space="preserve">due to their immature airway anatomy. </w:t>
      </w:r>
      <w:r>
        <w:t>Children who have had</w:t>
      </w:r>
      <w:r w:rsidR="00467FCB">
        <w:t xml:space="preserve"> a tonsillectomy/adenoidectomy (</w:t>
      </w:r>
      <w:r>
        <w:t xml:space="preserve">referred to as </w:t>
      </w:r>
      <w:proofErr w:type="spellStart"/>
      <w:r>
        <w:t>adenotonsillectomy</w:t>
      </w:r>
      <w:proofErr w:type="spellEnd"/>
      <w:r>
        <w:t xml:space="preserve"> throughout this review) for obstructive sleep apnoea may be particularly susceptible to opioid-induced respiratory depression</w:t>
      </w:r>
      <w:r w:rsidR="006C6034">
        <w:t xml:space="preserve"> in the post-operative period. </w:t>
      </w:r>
      <w:r>
        <w:t>Codeine that has been metabolised to m</w:t>
      </w:r>
      <w:r w:rsidRPr="00332473">
        <w:t xml:space="preserve">orphine can also be ingested by infants through breast milk, causing risk of respiratory depression to infants of </w:t>
      </w:r>
      <w:r w:rsidR="00467FCB">
        <w:t>ultra-rapid</w:t>
      </w:r>
      <w:r w:rsidRPr="00332473">
        <w:t xml:space="preserve"> metabo</w:t>
      </w:r>
      <w:r w:rsidR="006C6034">
        <w:t>liser mothers who take codeine.</w:t>
      </w:r>
    </w:p>
    <w:p w:rsidR="003800B4" w:rsidRDefault="003800B4" w:rsidP="003800B4">
      <w:r>
        <w:t xml:space="preserve">Internationally, </w:t>
      </w:r>
      <w:r w:rsidRPr="007026E9">
        <w:t xml:space="preserve">deaths have been reported in children with </w:t>
      </w:r>
      <w:r w:rsidR="00467FCB">
        <w:t>ultra-rapid</w:t>
      </w:r>
      <w:r w:rsidRPr="007026E9">
        <w:t xml:space="preserve"> metabolism who were given codeine </w:t>
      </w:r>
      <w:r>
        <w:t xml:space="preserve">for analgesia </w:t>
      </w:r>
      <w:r w:rsidRPr="007026E9">
        <w:t xml:space="preserve">post </w:t>
      </w:r>
      <w:proofErr w:type="spellStart"/>
      <w:r w:rsidRPr="007026E9">
        <w:t>adenotonsillectomy</w:t>
      </w:r>
      <w:proofErr w:type="spellEnd"/>
      <w:r>
        <w:t xml:space="preserve">, and for other indications. Deaths have also been reported in the breast-fed infants of mothers who are </w:t>
      </w:r>
      <w:r w:rsidR="00467FCB">
        <w:t>ultra-rapid</w:t>
      </w:r>
      <w:r w:rsidR="006C6034">
        <w:t xml:space="preserve"> metabolisers of codeine.</w:t>
      </w:r>
    </w:p>
    <w:p w:rsidR="003800B4" w:rsidRDefault="003800B4" w:rsidP="006315AA">
      <w:r>
        <w:t xml:space="preserve">Australian post-market and </w:t>
      </w:r>
      <w:r w:rsidRPr="007A7395">
        <w:t>coronial data</w:t>
      </w:r>
      <w:r>
        <w:t xml:space="preserve"> do not </w:t>
      </w:r>
      <w:r w:rsidRPr="00332473">
        <w:t>suggest that cases of respiratory compromise leading to deaths with paediatric codeine use in ultra-rapid metabolisers have occurred in the Austr</w:t>
      </w:r>
      <w:r>
        <w:t xml:space="preserve">alian setting to date. However, </w:t>
      </w:r>
      <w:r w:rsidRPr="00332473">
        <w:t>the risk to Australians, whilst hard to quan</w:t>
      </w:r>
      <w:r w:rsidR="006C6034">
        <w:t>tify, is certainly present.</w:t>
      </w:r>
    </w:p>
    <w:p w:rsidR="003800B4" w:rsidRDefault="003800B4" w:rsidP="006315AA">
      <w:pPr>
        <w:rPr>
          <w:rFonts w:eastAsia="Calibri" w:cstheme="minorHAnsi"/>
        </w:rPr>
      </w:pPr>
      <w:r>
        <w:rPr>
          <w:rFonts w:eastAsia="Calibri" w:cstheme="minorHAnsi"/>
        </w:rPr>
        <w:t>Currently there are inconsistencies in the way the risks associated with</w:t>
      </w:r>
      <w:r w:rsidR="00467FCB">
        <w:rPr>
          <w:rFonts w:eastAsia="Calibri" w:cstheme="minorHAnsi"/>
        </w:rPr>
        <w:t xml:space="preserve"> </w:t>
      </w:r>
      <w:r w:rsidR="00467FCB" w:rsidRPr="00467FCB">
        <w:rPr>
          <w:rFonts w:eastAsia="Calibri" w:cstheme="minorHAnsi"/>
        </w:rPr>
        <w:t>ultra-rapid</w:t>
      </w:r>
      <w:r>
        <w:rPr>
          <w:rFonts w:eastAsia="Calibri" w:cstheme="minorHAnsi"/>
        </w:rPr>
        <w:t xml:space="preserve"> </w:t>
      </w:r>
      <w:r w:rsidR="000A4147">
        <w:rPr>
          <w:rFonts w:eastAsia="Calibri" w:cstheme="minorHAnsi"/>
        </w:rPr>
        <w:t xml:space="preserve">codeine </w:t>
      </w:r>
      <w:r w:rsidR="00467FCB">
        <w:rPr>
          <w:rFonts w:eastAsia="Calibri" w:cstheme="minorHAnsi"/>
        </w:rPr>
        <w:t xml:space="preserve">metabolism </w:t>
      </w:r>
      <w:r w:rsidR="000A4147">
        <w:rPr>
          <w:rFonts w:eastAsia="Calibri" w:cstheme="minorHAnsi"/>
        </w:rPr>
        <w:t xml:space="preserve">are addressed </w:t>
      </w:r>
      <w:r>
        <w:rPr>
          <w:rFonts w:eastAsia="Calibri" w:cstheme="minorHAnsi"/>
        </w:rPr>
        <w:t xml:space="preserve">across </w:t>
      </w:r>
      <w:r w:rsidR="000A4147">
        <w:rPr>
          <w:rFonts w:eastAsia="Calibri" w:cstheme="minorHAnsi"/>
        </w:rPr>
        <w:t>o</w:t>
      </w:r>
      <w:r w:rsidR="00656BCD">
        <w:rPr>
          <w:rFonts w:eastAsia="Calibri" w:cstheme="minorHAnsi"/>
        </w:rPr>
        <w:t>ver</w:t>
      </w:r>
      <w:r w:rsidR="000A4147">
        <w:rPr>
          <w:rFonts w:eastAsia="Calibri" w:cstheme="minorHAnsi"/>
        </w:rPr>
        <w:t>-t</w:t>
      </w:r>
      <w:r w:rsidR="00656BCD">
        <w:rPr>
          <w:rFonts w:eastAsia="Calibri" w:cstheme="minorHAnsi"/>
        </w:rPr>
        <w:t>he</w:t>
      </w:r>
      <w:r w:rsidR="000A4147">
        <w:rPr>
          <w:rFonts w:eastAsia="Calibri" w:cstheme="minorHAnsi"/>
        </w:rPr>
        <w:t>-c</w:t>
      </w:r>
      <w:r w:rsidR="00656BCD">
        <w:rPr>
          <w:rFonts w:eastAsia="Calibri" w:cstheme="minorHAnsi"/>
        </w:rPr>
        <w:t xml:space="preserve">ounter (OTC) </w:t>
      </w:r>
      <w:r>
        <w:rPr>
          <w:rFonts w:eastAsia="Calibri" w:cstheme="minorHAnsi"/>
        </w:rPr>
        <w:t xml:space="preserve">and prescription-only </w:t>
      </w:r>
      <w:r w:rsidR="006C6034">
        <w:rPr>
          <w:rFonts w:eastAsia="Calibri" w:cstheme="minorHAnsi"/>
        </w:rPr>
        <w:t xml:space="preserve">codeine products in Australia. </w:t>
      </w:r>
      <w:r>
        <w:rPr>
          <w:rFonts w:eastAsia="Calibri" w:cstheme="minorHAnsi"/>
        </w:rPr>
        <w:t>This is in</w:t>
      </w:r>
      <w:r w:rsidR="00455AFE">
        <w:rPr>
          <w:rFonts w:eastAsia="Calibri" w:cstheme="minorHAnsi"/>
        </w:rPr>
        <w:t xml:space="preserve"> contrast to </w:t>
      </w:r>
      <w:r>
        <w:rPr>
          <w:rFonts w:eastAsia="Calibri" w:cstheme="minorHAnsi"/>
        </w:rPr>
        <w:t>other major jurisdictions including the U</w:t>
      </w:r>
      <w:r w:rsidR="007D643E">
        <w:rPr>
          <w:rFonts w:eastAsia="Calibri" w:cstheme="minorHAnsi"/>
        </w:rPr>
        <w:t xml:space="preserve">nited </w:t>
      </w:r>
      <w:r>
        <w:rPr>
          <w:rFonts w:eastAsia="Calibri" w:cstheme="minorHAnsi"/>
        </w:rPr>
        <w:t>S</w:t>
      </w:r>
      <w:r w:rsidR="007D643E">
        <w:rPr>
          <w:rFonts w:eastAsia="Calibri" w:cstheme="minorHAnsi"/>
        </w:rPr>
        <w:t>tates</w:t>
      </w:r>
      <w:r>
        <w:rPr>
          <w:rFonts w:eastAsia="Calibri" w:cstheme="minorHAnsi"/>
        </w:rPr>
        <w:t>, E</w:t>
      </w:r>
      <w:r w:rsidR="007D643E">
        <w:rPr>
          <w:rFonts w:eastAsia="Calibri" w:cstheme="minorHAnsi"/>
        </w:rPr>
        <w:t xml:space="preserve">uropean </w:t>
      </w:r>
      <w:r>
        <w:rPr>
          <w:rFonts w:eastAsia="Calibri" w:cstheme="minorHAnsi"/>
        </w:rPr>
        <w:t>U</w:t>
      </w:r>
      <w:r w:rsidR="007D643E">
        <w:rPr>
          <w:rFonts w:eastAsia="Calibri" w:cstheme="minorHAnsi"/>
        </w:rPr>
        <w:t>nion</w:t>
      </w:r>
      <w:r w:rsidR="006C6034">
        <w:rPr>
          <w:rFonts w:eastAsia="Calibri" w:cstheme="minorHAnsi"/>
        </w:rPr>
        <w:t xml:space="preserve"> and Canada. </w:t>
      </w:r>
      <w:r>
        <w:rPr>
          <w:rFonts w:eastAsia="Calibri" w:cstheme="minorHAnsi"/>
        </w:rPr>
        <w:t>Codeine is a commonly used medication that may be perceived by the Australian public to be very</w:t>
      </w:r>
      <w:r w:rsidRPr="001B4449">
        <w:rPr>
          <w:rFonts w:eastAsia="Calibri" w:cstheme="minorHAnsi"/>
        </w:rPr>
        <w:t xml:space="preserve"> safe, especially in light of its availability in OTC preparations.</w:t>
      </w:r>
      <w:r>
        <w:rPr>
          <w:rFonts w:eastAsia="Calibri" w:cstheme="minorHAnsi"/>
        </w:rPr>
        <w:t xml:space="preserve">  </w:t>
      </w:r>
      <w:r w:rsidRPr="00A141E1">
        <w:rPr>
          <w:rFonts w:eastAsia="Calibri" w:cstheme="minorHAnsi"/>
        </w:rPr>
        <w:t>The</w:t>
      </w:r>
      <w:r>
        <w:rPr>
          <w:rFonts w:eastAsia="Calibri" w:cstheme="minorHAnsi"/>
        </w:rPr>
        <w:t>refore the warnings with regard to the</w:t>
      </w:r>
      <w:r w:rsidRPr="00A141E1">
        <w:rPr>
          <w:rFonts w:eastAsia="Calibri" w:cstheme="minorHAnsi"/>
        </w:rPr>
        <w:t xml:space="preserve"> potential risk</w:t>
      </w:r>
      <w:r>
        <w:rPr>
          <w:rFonts w:eastAsia="Calibri" w:cstheme="minorHAnsi"/>
        </w:rPr>
        <w:t xml:space="preserve">s associated with </w:t>
      </w:r>
      <w:r w:rsidR="00EF1DB3">
        <w:rPr>
          <w:rFonts w:eastAsia="Calibri" w:cstheme="minorHAnsi"/>
        </w:rPr>
        <w:t>ultra-</w:t>
      </w:r>
      <w:r>
        <w:rPr>
          <w:rFonts w:eastAsia="Calibri" w:cstheme="minorHAnsi"/>
        </w:rPr>
        <w:t>rapid metabolism of codeine, particularly in children,</w:t>
      </w:r>
      <w:r w:rsidRPr="00A141E1">
        <w:rPr>
          <w:rFonts w:eastAsia="Calibri" w:cstheme="minorHAnsi"/>
        </w:rPr>
        <w:t xml:space="preserve"> should be </w:t>
      </w:r>
      <w:r>
        <w:rPr>
          <w:rFonts w:eastAsia="Calibri" w:cstheme="minorHAnsi"/>
        </w:rPr>
        <w:t>standardised</w:t>
      </w:r>
      <w:r w:rsidRPr="00A141E1">
        <w:rPr>
          <w:rFonts w:eastAsia="Calibri" w:cstheme="minorHAnsi"/>
        </w:rPr>
        <w:t xml:space="preserve"> across all codeine products, regardless of schedule.</w:t>
      </w:r>
    </w:p>
    <w:p w:rsidR="00BC7106" w:rsidRDefault="00455AFE" w:rsidP="006315AA">
      <w:r>
        <w:t xml:space="preserve">Evidence from this </w:t>
      </w:r>
      <w:r w:rsidR="00DF2EF4">
        <w:t>s</w:t>
      </w:r>
      <w:r>
        <w:t xml:space="preserve">afety review shows that </w:t>
      </w:r>
      <w:r w:rsidR="00DF2EF4">
        <w:t xml:space="preserve">codeine </w:t>
      </w:r>
      <w:r w:rsidR="007C5B52">
        <w:t>should not be used in children under the age of 12 for any reason</w:t>
      </w:r>
      <w:r w:rsidR="006315AA" w:rsidRPr="006315AA">
        <w:t xml:space="preserve">, </w:t>
      </w:r>
      <w:r w:rsidR="007C5B52">
        <w:t>or in children</w:t>
      </w:r>
      <w:r w:rsidR="006315AA" w:rsidRPr="006315AA">
        <w:t xml:space="preserve"> younger than 18 years of age </w:t>
      </w:r>
      <w:r w:rsidR="007C5B52">
        <w:t>who have undergone</w:t>
      </w:r>
      <w:r w:rsidR="006315AA" w:rsidRPr="006315AA">
        <w:t xml:space="preserve"> </w:t>
      </w:r>
      <w:proofErr w:type="spellStart"/>
      <w:r w:rsidR="006315AA" w:rsidRPr="006315AA">
        <w:t>adenotonsillectomy</w:t>
      </w:r>
      <w:proofErr w:type="spellEnd"/>
      <w:r w:rsidR="006315AA" w:rsidRPr="006315AA">
        <w:t xml:space="preserve"> for obstructive sleep </w:t>
      </w:r>
      <w:r w:rsidR="00DF2EF4">
        <w:t>a</w:t>
      </w:r>
      <w:r w:rsidR="006315AA" w:rsidRPr="006315AA">
        <w:t>pnoea. Additionally, existing warnings contraindicating codeine use by breastfeeding mothers should be made consistent across all codeine-containing products</w:t>
      </w:r>
      <w:r w:rsidR="006315AA">
        <w:t>.</w:t>
      </w:r>
    </w:p>
    <w:p w:rsidR="00BC7106" w:rsidRPr="00E675F6" w:rsidRDefault="00BC7106" w:rsidP="006C6034">
      <w:pPr>
        <w:pStyle w:val="Heading3"/>
      </w:pPr>
      <w:bookmarkStart w:id="6" w:name="_Toc431378921"/>
      <w:bookmarkStart w:id="7" w:name="_Toc431407222"/>
      <w:r w:rsidRPr="00E675F6">
        <w:t xml:space="preserve">TGA </w:t>
      </w:r>
      <w:r w:rsidR="00FA0DE3" w:rsidRPr="00E675F6">
        <w:t>r</w:t>
      </w:r>
      <w:r w:rsidRPr="00E675F6">
        <w:t>ecommendations</w:t>
      </w:r>
      <w:bookmarkEnd w:id="6"/>
      <w:bookmarkEnd w:id="7"/>
    </w:p>
    <w:p w:rsidR="00BC7106" w:rsidRDefault="00BC7106" w:rsidP="00BC7106">
      <w:r w:rsidRPr="00332473">
        <w:t xml:space="preserve">After reviewing </w:t>
      </w:r>
      <w:r>
        <w:t xml:space="preserve">Australian and international data, </w:t>
      </w:r>
      <w:r w:rsidRPr="00332473">
        <w:t xml:space="preserve">the TGA </w:t>
      </w:r>
      <w:r>
        <w:t>recommends</w:t>
      </w:r>
      <w:r w:rsidRPr="00332473">
        <w:t xml:space="preserve"> </w:t>
      </w:r>
      <w:r>
        <w:t>the following:</w:t>
      </w:r>
    </w:p>
    <w:p w:rsidR="009971DE" w:rsidRPr="009971DE" w:rsidRDefault="009971DE" w:rsidP="006C6034">
      <w:pPr>
        <w:pStyle w:val="Numberbullet0"/>
      </w:pPr>
      <w:r w:rsidRPr="009971DE">
        <w:t>Use of codeine in children younger than 12 years of age for any indication should be contraindicated.</w:t>
      </w:r>
    </w:p>
    <w:p w:rsidR="009971DE" w:rsidRPr="009971DE" w:rsidRDefault="009971DE" w:rsidP="006C6034">
      <w:pPr>
        <w:pStyle w:val="Numberbullet0"/>
      </w:pPr>
      <w:r w:rsidRPr="009971DE">
        <w:t xml:space="preserve">Use of codeine in children aged 12-18 years should be contraindicated post </w:t>
      </w:r>
      <w:proofErr w:type="spellStart"/>
      <w:r w:rsidRPr="009971DE">
        <w:t>adenotonsillectomy</w:t>
      </w:r>
      <w:proofErr w:type="spellEnd"/>
      <w:r w:rsidRPr="009971DE">
        <w:t xml:space="preserve"> for obstructive sleep apnoea.</w:t>
      </w:r>
    </w:p>
    <w:p w:rsidR="009971DE" w:rsidRPr="009971DE" w:rsidRDefault="009971DE" w:rsidP="006C6034">
      <w:pPr>
        <w:pStyle w:val="Numberbullet0"/>
      </w:pPr>
      <w:r w:rsidRPr="009971DE">
        <w:t>Existing warnings contraindicating codeine use by breastfeeding mothers should be made consistent across all codeine-containing products, and warnings should be added to advise against using codeine if known to</w:t>
      </w:r>
      <w:r w:rsidR="006C6034">
        <w:t xml:space="preserve"> be an ultra-rapid metaboliser.</w:t>
      </w:r>
    </w:p>
    <w:p w:rsidR="009971DE" w:rsidRPr="009971DE" w:rsidRDefault="009971DE" w:rsidP="006C6034">
      <w:pPr>
        <w:pStyle w:val="Numberbullet0"/>
      </w:pPr>
      <w:r w:rsidRPr="009971DE">
        <w:t>Health professionals, patients and caregivers should be educated regarding the variability of codeine efficacy, the possibility of ultra-rapid metabolism-related morphine overdose and the signs of such, in</w:t>
      </w:r>
      <w:r w:rsidR="006C6034">
        <w:t>cluding respiratory depression.</w:t>
      </w:r>
    </w:p>
    <w:p w:rsidR="003800B4" w:rsidRPr="005D0F1D" w:rsidRDefault="003800B4" w:rsidP="00CE6EDB">
      <w:pPr>
        <w:pStyle w:val="Heading2"/>
        <w:numPr>
          <w:ilvl w:val="0"/>
          <w:numId w:val="18"/>
        </w:numPr>
      </w:pPr>
      <w:bookmarkStart w:id="8" w:name="_Toc416959621"/>
      <w:bookmarkStart w:id="9" w:name="_Toc431378922"/>
      <w:bookmarkStart w:id="10" w:name="_Toc431407223"/>
      <w:r w:rsidRPr="005D0F1D">
        <w:lastRenderedPageBreak/>
        <w:t>Introduction</w:t>
      </w:r>
      <w:bookmarkEnd w:id="8"/>
      <w:bookmarkEnd w:id="9"/>
      <w:bookmarkEnd w:id="10"/>
    </w:p>
    <w:p w:rsidR="003800B4" w:rsidRDefault="003800B4" w:rsidP="008337EF">
      <w:r w:rsidRPr="00B61186">
        <w:t xml:space="preserve">This review concerns the safety of use of all codeine-containing products in </w:t>
      </w:r>
      <w:r>
        <w:t>children</w:t>
      </w:r>
      <w:r w:rsidR="00D24557">
        <w:t xml:space="preserve"> (under 18 years of age)</w:t>
      </w:r>
      <w:r>
        <w:t xml:space="preserve"> and breastfeeding mothers, in the context of genetically determined </w:t>
      </w:r>
      <w:r w:rsidR="00467FCB">
        <w:t>ultra-rapid</w:t>
      </w:r>
      <w:r>
        <w:t xml:space="preserve"> met</w:t>
      </w:r>
      <w:r w:rsidR="006C6034">
        <w:t>abolism of codeine to morphine.</w:t>
      </w:r>
    </w:p>
    <w:p w:rsidR="003800B4" w:rsidRDefault="003800B4" w:rsidP="008337EF">
      <w:r>
        <w:t xml:space="preserve">People who metabolise codeine to morphine </w:t>
      </w:r>
      <w:r w:rsidR="00467FCB">
        <w:t>ultra-rapid</w:t>
      </w:r>
      <w:r>
        <w:t>ly are at a higher risk of accidental morphine overdose. In people with underlying respiratory compromise and in children (whose airways are more vulnerable than adults) there may be a greater risk of resulting re</w:t>
      </w:r>
      <w:r w:rsidR="006C6034">
        <w:t>spiratory depression and death.</w:t>
      </w:r>
    </w:p>
    <w:p w:rsidR="003800B4" w:rsidRPr="00A61A36" w:rsidRDefault="003800B4" w:rsidP="008337EF">
      <w:r>
        <w:t xml:space="preserve">There are two principal situations in which </w:t>
      </w:r>
      <w:r w:rsidR="00467FCB">
        <w:t>ultra-rapid</w:t>
      </w:r>
      <w:r w:rsidRPr="00A61A36">
        <w:t xml:space="preserve"> metabolism of codeine to morphine </w:t>
      </w:r>
      <w:r>
        <w:t>may be of concern: where a child is a</w:t>
      </w:r>
      <w:r w:rsidR="00467FCB">
        <w:t>n</w:t>
      </w:r>
      <w:r>
        <w:t xml:space="preserve"> </w:t>
      </w:r>
      <w:r w:rsidR="00467FCB">
        <w:t>ultra-rapid</w:t>
      </w:r>
      <w:r>
        <w:t xml:space="preserve"> metaboliser of codeine and ingests a codeine-containing product, or w</w:t>
      </w:r>
      <w:r w:rsidR="00467FCB">
        <w:t>here the mother of a child is an</w:t>
      </w:r>
      <w:r>
        <w:t xml:space="preserve"> </w:t>
      </w:r>
      <w:r w:rsidR="00467FCB" w:rsidRPr="00467FCB">
        <w:t xml:space="preserve">ultra-rapid </w:t>
      </w:r>
      <w:r>
        <w:t xml:space="preserve">metaboliser of codeine and the resulting metabolite (morphine) is ingested by an infant through breast milk. One of the most common scenarios in which the former situation might arise is </w:t>
      </w:r>
      <w:r w:rsidRPr="00B61186">
        <w:t xml:space="preserve">codeine </w:t>
      </w:r>
      <w:r>
        <w:t>being given to</w:t>
      </w:r>
      <w:r w:rsidRPr="00B61186">
        <w:t xml:space="preserve"> children for post-operative pain af</w:t>
      </w:r>
      <w:r>
        <w:t>ter adenoidectomy and/or tonsillectomy</w:t>
      </w:r>
      <w:r w:rsidRPr="00B61186">
        <w:t xml:space="preserve"> (</w:t>
      </w:r>
      <w:r>
        <w:t>referred to throughout this review as ‘</w:t>
      </w:r>
      <w:proofErr w:type="spellStart"/>
      <w:r>
        <w:t>ad</w:t>
      </w:r>
      <w:r w:rsidR="000A4147">
        <w:t>enotonsillectomy</w:t>
      </w:r>
      <w:proofErr w:type="spellEnd"/>
      <w:r w:rsidR="000A4147">
        <w:t>’</w:t>
      </w:r>
      <w:r w:rsidRPr="00B61186">
        <w:t>).</w:t>
      </w:r>
    </w:p>
    <w:p w:rsidR="003800B4" w:rsidRDefault="003800B4" w:rsidP="008337EF">
      <w:r w:rsidRPr="007A7395">
        <w:t xml:space="preserve">The recognition of a series of deaths in children who were given codeine for analgesia post </w:t>
      </w:r>
      <w:proofErr w:type="spellStart"/>
      <w:r w:rsidRPr="007A7395">
        <w:t>adenotonsillectomy</w:t>
      </w:r>
      <w:proofErr w:type="spellEnd"/>
      <w:r w:rsidRPr="007A7395">
        <w:t xml:space="preserve"> in the United States (US) led to contraindication of its use for analgesia in children aged less than 18 post </w:t>
      </w:r>
      <w:proofErr w:type="spellStart"/>
      <w:r w:rsidRPr="007A7395">
        <w:t>adenotonsillectomy</w:t>
      </w:r>
      <w:proofErr w:type="spellEnd"/>
      <w:r w:rsidRPr="007A7395">
        <w:t xml:space="preserve"> in the US and subsequently in Europe. Europe additionally recommends against its use in children younger than 18 for analgesia unless not relieved by other medicines or in children younger than 12 for analgesia at all. Canada recommends against the use of codeine in children younger tha</w:t>
      </w:r>
      <w:r w:rsidR="006C6034">
        <w:t>n 12 whether for pain or cough.</w:t>
      </w:r>
    </w:p>
    <w:p w:rsidR="003800B4" w:rsidRPr="00BC2153" w:rsidRDefault="003800B4" w:rsidP="008337EF">
      <w:r>
        <w:t>This safety review was commenced by the TGA after the publication of a</w:t>
      </w:r>
      <w:r w:rsidRPr="00BC2153">
        <w:t xml:space="preserve"> Drug</w:t>
      </w:r>
      <w:r w:rsidR="000A4147">
        <w:t xml:space="preserve"> Safety Communication </w:t>
      </w:r>
      <w:r w:rsidR="00467FCB">
        <w:t xml:space="preserve">by the United States of America (USA) </w:t>
      </w:r>
      <w:r w:rsidR="00467FCB" w:rsidRPr="00467FCB">
        <w:t xml:space="preserve">Food and Drug Administration (FDA) </w:t>
      </w:r>
      <w:r w:rsidR="000A4147">
        <w:t xml:space="preserve">entitled </w:t>
      </w:r>
      <w:r w:rsidRPr="000A4147">
        <w:rPr>
          <w:i/>
        </w:rPr>
        <w:t>Safety review update of codeine use in children; new Boxed Warning and Contraindication on use after tonsillectomy and/or adenoidectomy</w:t>
      </w:r>
      <w:r w:rsidR="000A4147">
        <w:rPr>
          <w:i/>
        </w:rPr>
        <w:t xml:space="preserve"> </w:t>
      </w:r>
      <w:r>
        <w:t>in February 2013.</w:t>
      </w:r>
      <w:bookmarkStart w:id="11" w:name="_Ref376869596"/>
      <w:r w:rsidRPr="00BC2153">
        <w:rPr>
          <w:rStyle w:val="EndnoteReference"/>
        </w:rPr>
        <w:endnoteReference w:id="2"/>
      </w:r>
      <w:bookmarkEnd w:id="11"/>
      <w:r>
        <w:t xml:space="preserve"> It includes discussion of</w:t>
      </w:r>
      <w:r w:rsidRPr="00BC2153">
        <w:t xml:space="preserve"> international safety review findings and related regulatory activity, </w:t>
      </w:r>
      <w:r>
        <w:t>consideration of the current regulation of codeine in Australia, assessment of</w:t>
      </w:r>
      <w:r w:rsidRPr="00BC2153">
        <w:t xml:space="preserve"> the risk within </w:t>
      </w:r>
      <w:r w:rsidR="000A4147">
        <w:t>the</w:t>
      </w:r>
      <w:r w:rsidRPr="00BC2153">
        <w:t xml:space="preserve"> Australian context and recommendations for regulatory action in Australia.</w:t>
      </w:r>
    </w:p>
    <w:p w:rsidR="003800B4" w:rsidRPr="00B61186" w:rsidRDefault="003800B4" w:rsidP="00CE6EDB">
      <w:pPr>
        <w:pStyle w:val="Heading2"/>
        <w:numPr>
          <w:ilvl w:val="0"/>
          <w:numId w:val="18"/>
        </w:numPr>
      </w:pPr>
      <w:bookmarkStart w:id="12" w:name="_Toc416959622"/>
      <w:bookmarkStart w:id="13" w:name="_Toc431378923"/>
      <w:bookmarkStart w:id="14" w:name="_Toc431407224"/>
      <w:r w:rsidRPr="00B61186">
        <w:t>Background</w:t>
      </w:r>
      <w:bookmarkEnd w:id="12"/>
      <w:bookmarkEnd w:id="13"/>
      <w:bookmarkEnd w:id="14"/>
    </w:p>
    <w:p w:rsidR="003800B4" w:rsidRPr="004015D9" w:rsidRDefault="003800B4" w:rsidP="00CE6EDB">
      <w:pPr>
        <w:pStyle w:val="Heading3"/>
        <w:numPr>
          <w:ilvl w:val="1"/>
          <w:numId w:val="18"/>
        </w:numPr>
        <w:rPr>
          <w:rFonts w:asciiTheme="majorHAnsi" w:hAnsiTheme="majorHAnsi" w:cstheme="majorHAnsi"/>
        </w:rPr>
      </w:pPr>
      <w:bookmarkStart w:id="15" w:name="_Toc416959623"/>
      <w:bookmarkStart w:id="16" w:name="_Toc431378924"/>
      <w:bookmarkStart w:id="17" w:name="_Toc431407225"/>
      <w:r w:rsidRPr="004015D9">
        <w:rPr>
          <w:rFonts w:asciiTheme="majorHAnsi" w:hAnsiTheme="majorHAnsi" w:cstheme="majorHAnsi"/>
        </w:rPr>
        <w:t>Codeine metabolism and CYP2D6 genotype</w:t>
      </w:r>
      <w:bookmarkEnd w:id="15"/>
      <w:bookmarkEnd w:id="16"/>
      <w:bookmarkEnd w:id="17"/>
    </w:p>
    <w:p w:rsidR="003800B4" w:rsidRPr="00BC2153" w:rsidRDefault="003800B4" w:rsidP="008337EF">
      <w:r w:rsidRPr="00BC2153">
        <w:t xml:space="preserve">Since codeine has a very low affinity for opioid receptors, its analgesic effect is dependent on its conversion to morphine through the cytochrome P-450 enzyme 2D6 (CYP2D6), which catalyses the conversion of codeine into morphine. Morphine is then conjugated with </w:t>
      </w:r>
      <w:proofErr w:type="spellStart"/>
      <w:r w:rsidRPr="00BC2153">
        <w:t>glucuronic</w:t>
      </w:r>
      <w:proofErr w:type="spellEnd"/>
      <w:r w:rsidRPr="00BC2153">
        <w:t xml:space="preserve"> acid by </w:t>
      </w:r>
      <w:proofErr w:type="spellStart"/>
      <w:r w:rsidRPr="00BC2153">
        <w:t>glucuronidases</w:t>
      </w:r>
      <w:proofErr w:type="spellEnd"/>
      <w:r w:rsidRPr="00BC2153">
        <w:t xml:space="preserve"> to form two main morphine metabolites, the inactive morphine-3-glucuronide (M3G) and the active morphine-6-glucuronide (M6G).</w:t>
      </w:r>
      <w:bookmarkStart w:id="18" w:name="_Ref360185571"/>
      <w:r w:rsidRPr="00BC2153">
        <w:t xml:space="preserve"> The gene that encodes the CYP2D6 enzyme is highly polymorphic, and the resultant variability in inter-individual response to codeine analgesia has been well described in both the medical literature and clinical experience.</w:t>
      </w:r>
      <w:r w:rsidRPr="00BC2153">
        <w:rPr>
          <w:rStyle w:val="EndnoteReference"/>
        </w:rPr>
        <w:endnoteReference w:id="3"/>
      </w:r>
      <w:bookmarkEnd w:id="18"/>
    </w:p>
    <w:p w:rsidR="003800B4" w:rsidRDefault="003800B4" w:rsidP="008337EF">
      <w:r>
        <w:t>CYP2D6 allele haplotypes are named as CYP2D6*X, following a system devised in the mid-1990s</w:t>
      </w:r>
      <w:r>
        <w:rPr>
          <w:rStyle w:val="EndnoteReference"/>
        </w:rPr>
        <w:endnoteReference w:id="4"/>
      </w:r>
      <w:r>
        <w:t xml:space="preserve"> where X is an alphanumeric tag specific to each allele. CYP2D6 </w:t>
      </w:r>
      <w:proofErr w:type="spellStart"/>
      <w:r>
        <w:t>diplotypes</w:t>
      </w:r>
      <w:proofErr w:type="spellEnd"/>
      <w:r>
        <w:t xml:space="preserve"> are described with a forward slash dividing the two alphanumeric haplotype tags, so that CYP2D6*1/*1 describes a genotype where both chromosomes carry the CYP2D6*1 allele. A</w:t>
      </w:r>
      <w:r w:rsidRPr="007260DF">
        <w:t>lso known as wild-type, or WT</w:t>
      </w:r>
      <w:r>
        <w:t>, this is the most common variant of CYP2D6, and is considered fully functional.</w:t>
      </w:r>
      <w:r>
        <w:rPr>
          <w:rStyle w:val="EndnoteReference"/>
        </w:rPr>
        <w:endnoteReference w:id="5"/>
      </w:r>
      <w:r>
        <w:t xml:space="preserve"> Allele CYP2D6*2 also has</w:t>
      </w:r>
      <w:r w:rsidRPr="00627BA2">
        <w:t xml:space="preserve"> normal function</w:t>
      </w:r>
      <w:r>
        <w:t>,</w:t>
      </w:r>
      <w:r w:rsidRPr="00627BA2">
        <w:t xml:space="preserve"> </w:t>
      </w:r>
      <w:r>
        <w:t xml:space="preserve">however increased enzyme activity is seen in </w:t>
      </w:r>
      <w:r w:rsidRPr="00D802C8">
        <w:lastRenderedPageBreak/>
        <w:t>CYP2D6</w:t>
      </w:r>
      <w:r>
        <w:t xml:space="preserve">*1XN and </w:t>
      </w:r>
      <w:r w:rsidRPr="00D802C8">
        <w:t>CYP2D6</w:t>
      </w:r>
      <w:r w:rsidRPr="00627BA2">
        <w:t>*2XN variants</w:t>
      </w:r>
      <w:r>
        <w:t>, where “N” represents the multiplication of the allele. The remainder of the known alleles are parti</w:t>
      </w:r>
      <w:r w:rsidR="006C6034">
        <w:t>al or non-functioning variants.</w:t>
      </w:r>
    </w:p>
    <w:p w:rsidR="00A73FDF" w:rsidRDefault="003800B4" w:rsidP="00A73FDF">
      <w:r w:rsidRPr="00951299">
        <w:t xml:space="preserve">Genetic polymorphism of CYP2D6 can also be described in terms of four different </w:t>
      </w:r>
      <w:r w:rsidR="004C7068">
        <w:t>categories of phenotype</w:t>
      </w:r>
      <w:r w:rsidRPr="00951299">
        <w:t>; ultra</w:t>
      </w:r>
      <w:r w:rsidR="00467FCB">
        <w:t>-</w:t>
      </w:r>
      <w:r w:rsidRPr="00951299">
        <w:t xml:space="preserve">rapid </w:t>
      </w:r>
      <w:r w:rsidR="00467FCB">
        <w:t>metabolism</w:t>
      </w:r>
      <w:r w:rsidRPr="00951299">
        <w:t xml:space="preserve"> (UM), extensive </w:t>
      </w:r>
      <w:r w:rsidR="00467FCB">
        <w:t>metabolism</w:t>
      </w:r>
      <w:r w:rsidRPr="00951299">
        <w:t xml:space="preserve"> (EM), intermediate </w:t>
      </w:r>
      <w:r w:rsidR="00467FCB">
        <w:t>metabolism (IM) and poor metabolism</w:t>
      </w:r>
      <w:r w:rsidR="006C6034">
        <w:t xml:space="preserve"> (PM). </w:t>
      </w:r>
      <w:r w:rsidR="004C7068">
        <w:t xml:space="preserve">The </w:t>
      </w:r>
      <w:r w:rsidRPr="00951299">
        <w:t xml:space="preserve">phenotypes </w:t>
      </w:r>
      <w:r>
        <w:t>are</w:t>
      </w:r>
      <w:r w:rsidRPr="00951299">
        <w:t xml:space="preserve"> determined from the efficiency of metabolism observed in pharmacokinetic studies.  Multiple different genotypes/</w:t>
      </w:r>
      <w:proofErr w:type="spellStart"/>
      <w:r w:rsidRPr="00951299">
        <w:t>diplotypes</w:t>
      </w:r>
      <w:proofErr w:type="spellEnd"/>
      <w:r w:rsidRPr="00951299">
        <w:t xml:space="preserve"> can result in the same phenotype (</w:t>
      </w:r>
      <w:r w:rsidR="00524C80">
        <w:fldChar w:fldCharType="begin"/>
      </w:r>
      <w:r w:rsidR="00524C80">
        <w:instrText xml:space="preserve"> REF _Ref431372025 \h </w:instrText>
      </w:r>
      <w:r w:rsidR="00524C80">
        <w:fldChar w:fldCharType="separate"/>
      </w:r>
      <w:r w:rsidR="00CC0E48">
        <w:t xml:space="preserve">Table </w:t>
      </w:r>
      <w:r w:rsidR="00CC0E48">
        <w:rPr>
          <w:noProof/>
        </w:rPr>
        <w:t>1</w:t>
      </w:r>
      <w:r w:rsidR="00524C80">
        <w:fldChar w:fldCharType="end"/>
      </w:r>
      <w:r w:rsidRPr="00951299">
        <w:t>)</w:t>
      </w:r>
      <w:r w:rsidRPr="00627BA2">
        <w:t>.</w:t>
      </w:r>
      <w:bookmarkStart w:id="19" w:name="_Ref412811753"/>
      <w:r>
        <w:rPr>
          <w:rStyle w:val="EndnoteReference"/>
        </w:rPr>
        <w:endnoteReference w:id="6"/>
      </w:r>
      <w:bookmarkEnd w:id="19"/>
      <w:r w:rsidRPr="00627BA2">
        <w:t xml:space="preserve"> </w:t>
      </w:r>
      <w:r w:rsidRPr="00BC2153">
        <w:t xml:space="preserve">Due to the genetic polymorphism of CYP2D6, </w:t>
      </w:r>
      <w:r>
        <w:t xml:space="preserve">UM </w:t>
      </w:r>
      <w:r w:rsidRPr="00BC2153">
        <w:t>individuals can metabolise codeine to morphine much faster, resulting in higher than expected morphine blood levels after a codeine dose.</w:t>
      </w:r>
      <w:r w:rsidRPr="00BC2153">
        <w:rPr>
          <w:vertAlign w:val="superscript"/>
        </w:rPr>
        <w:fldChar w:fldCharType="begin"/>
      </w:r>
      <w:r w:rsidRPr="00BC2153">
        <w:rPr>
          <w:vertAlign w:val="superscript"/>
        </w:rPr>
        <w:instrText xml:space="preserve"> NOTEREF _Ref360185571 \h  \* MERGEFORMAT </w:instrText>
      </w:r>
      <w:r w:rsidRPr="00BC2153">
        <w:rPr>
          <w:vertAlign w:val="superscript"/>
        </w:rPr>
      </w:r>
      <w:r w:rsidRPr="00BC2153">
        <w:rPr>
          <w:vertAlign w:val="superscript"/>
        </w:rPr>
        <w:fldChar w:fldCharType="separate"/>
      </w:r>
      <w:r w:rsidR="00CC0E48">
        <w:rPr>
          <w:vertAlign w:val="superscript"/>
        </w:rPr>
        <w:t>2</w:t>
      </w:r>
      <w:r w:rsidRPr="00BC2153">
        <w:rPr>
          <w:vertAlign w:val="superscript"/>
        </w:rPr>
        <w:fldChar w:fldCharType="end"/>
      </w:r>
      <w:r w:rsidRPr="00BC2153">
        <w:t xml:space="preserve"> </w:t>
      </w:r>
    </w:p>
    <w:p w:rsidR="00887826" w:rsidRDefault="00524C80" w:rsidP="006C6034">
      <w:pPr>
        <w:pStyle w:val="Tabletitle"/>
      </w:pPr>
      <w:bookmarkStart w:id="20" w:name="_Ref431372025"/>
      <w:r>
        <w:t xml:space="preserve">Table </w:t>
      </w:r>
      <w:r w:rsidR="00E844E6">
        <w:fldChar w:fldCharType="begin"/>
      </w:r>
      <w:r w:rsidR="00E844E6">
        <w:instrText xml:space="preserve"> SEQ Table \* ARABIC </w:instrText>
      </w:r>
      <w:r w:rsidR="00E844E6">
        <w:fldChar w:fldCharType="separate"/>
      </w:r>
      <w:r w:rsidR="00CC0E48">
        <w:rPr>
          <w:noProof/>
        </w:rPr>
        <w:t>1</w:t>
      </w:r>
      <w:r w:rsidR="00E844E6">
        <w:rPr>
          <w:noProof/>
        </w:rPr>
        <w:fldChar w:fldCharType="end"/>
      </w:r>
      <w:bookmarkEnd w:id="20"/>
      <w:r>
        <w:t>.</w:t>
      </w:r>
      <w:r w:rsidR="00887826" w:rsidRPr="00FF18FE">
        <w:t xml:space="preserve"> Recommended dosing of codeine by CYP2D6 phenotype</w:t>
      </w:r>
    </w:p>
    <w:tbl>
      <w:tblPr>
        <w:tblStyle w:val="TableGrid"/>
        <w:tblW w:w="0" w:type="auto"/>
        <w:tblLayout w:type="fixed"/>
        <w:tblLook w:val="0600" w:firstRow="0" w:lastRow="0" w:firstColumn="0" w:lastColumn="0" w:noHBand="1" w:noVBand="1"/>
      </w:tblPr>
      <w:tblGrid>
        <w:gridCol w:w="1446"/>
        <w:gridCol w:w="1072"/>
        <w:gridCol w:w="1418"/>
        <w:gridCol w:w="1417"/>
        <w:gridCol w:w="1701"/>
        <w:gridCol w:w="2232"/>
      </w:tblGrid>
      <w:tr w:rsidR="004A56B9" w:rsidRPr="007C7DFF" w:rsidTr="009D7C7D">
        <w:trPr>
          <w:cantSplit/>
        </w:trPr>
        <w:tc>
          <w:tcPr>
            <w:tcW w:w="1446" w:type="dxa"/>
            <w:tcBorders>
              <w:top w:val="single" w:sz="4" w:space="0" w:color="auto"/>
            </w:tcBorders>
            <w:shd w:val="clear" w:color="auto" w:fill="006EA8" w:themeFill="accent1"/>
          </w:tcPr>
          <w:p w:rsidR="00A73FDF" w:rsidRPr="009D7C7D" w:rsidRDefault="00A73FDF" w:rsidP="004A56B9">
            <w:pPr>
              <w:pStyle w:val="Figuredescription"/>
              <w:rPr>
                <w:b/>
                <w:color w:val="FFFFFF" w:themeColor="background1"/>
                <w:sz w:val="20"/>
                <w:szCs w:val="20"/>
              </w:rPr>
            </w:pPr>
            <w:r w:rsidRPr="009D7C7D">
              <w:rPr>
                <w:b/>
                <w:color w:val="FFFFFF" w:themeColor="background1"/>
                <w:sz w:val="20"/>
                <w:szCs w:val="20"/>
              </w:rPr>
              <w:t>Likely phenotype (prevalence estimates)</w:t>
            </w:r>
          </w:p>
        </w:tc>
        <w:tc>
          <w:tcPr>
            <w:tcW w:w="1072" w:type="dxa"/>
            <w:tcBorders>
              <w:top w:val="single" w:sz="4" w:space="0" w:color="auto"/>
            </w:tcBorders>
            <w:shd w:val="clear" w:color="auto" w:fill="006EA8" w:themeFill="accent1"/>
          </w:tcPr>
          <w:p w:rsidR="00A73FDF" w:rsidRPr="009D7C7D" w:rsidRDefault="00A73FDF" w:rsidP="004A56B9">
            <w:pPr>
              <w:pStyle w:val="Figuredescription"/>
              <w:rPr>
                <w:b/>
                <w:color w:val="FFFFFF" w:themeColor="background1"/>
                <w:sz w:val="20"/>
                <w:szCs w:val="20"/>
              </w:rPr>
            </w:pPr>
            <w:r w:rsidRPr="009D7C7D">
              <w:rPr>
                <w:b/>
                <w:color w:val="FFFFFF" w:themeColor="background1"/>
                <w:sz w:val="20"/>
                <w:szCs w:val="20"/>
              </w:rPr>
              <w:t>Activity score</w:t>
            </w:r>
          </w:p>
        </w:tc>
        <w:tc>
          <w:tcPr>
            <w:tcW w:w="1418" w:type="dxa"/>
            <w:tcBorders>
              <w:top w:val="single" w:sz="4" w:space="0" w:color="auto"/>
            </w:tcBorders>
            <w:shd w:val="clear" w:color="auto" w:fill="006EA8" w:themeFill="accent1"/>
          </w:tcPr>
          <w:p w:rsidR="00A73FDF" w:rsidRPr="009D7C7D" w:rsidRDefault="00A73FDF" w:rsidP="004A56B9">
            <w:pPr>
              <w:pStyle w:val="Figuredescription"/>
              <w:rPr>
                <w:b/>
                <w:color w:val="FFFFFF" w:themeColor="background1"/>
                <w:sz w:val="20"/>
                <w:szCs w:val="20"/>
              </w:rPr>
            </w:pPr>
            <w:r w:rsidRPr="009D7C7D">
              <w:rPr>
                <w:b/>
                <w:color w:val="FFFFFF" w:themeColor="background1"/>
                <w:sz w:val="20"/>
                <w:szCs w:val="20"/>
              </w:rPr>
              <w:t>Genotypes</w:t>
            </w:r>
          </w:p>
        </w:tc>
        <w:tc>
          <w:tcPr>
            <w:tcW w:w="1417" w:type="dxa"/>
            <w:tcBorders>
              <w:top w:val="single" w:sz="4" w:space="0" w:color="auto"/>
            </w:tcBorders>
            <w:shd w:val="clear" w:color="auto" w:fill="006EA8" w:themeFill="accent1"/>
          </w:tcPr>
          <w:p w:rsidR="00A73FDF" w:rsidRPr="009D7C7D" w:rsidRDefault="009D7C7D" w:rsidP="008A129B">
            <w:pPr>
              <w:pStyle w:val="Figuredescription"/>
              <w:rPr>
                <w:b/>
                <w:color w:val="FFFFFF" w:themeColor="background1"/>
                <w:sz w:val="20"/>
                <w:szCs w:val="20"/>
              </w:rPr>
            </w:pPr>
            <w:r>
              <w:rPr>
                <w:b/>
                <w:color w:val="FFFFFF" w:themeColor="background1"/>
                <w:sz w:val="20"/>
                <w:szCs w:val="20"/>
              </w:rPr>
              <w:t>Examples of</w:t>
            </w:r>
            <w:r w:rsidR="00A73FDF" w:rsidRPr="009D7C7D">
              <w:rPr>
                <w:b/>
                <w:color w:val="FFFFFF" w:themeColor="background1"/>
                <w:sz w:val="20"/>
                <w:szCs w:val="20"/>
              </w:rPr>
              <w:t xml:space="preserve"> </w:t>
            </w:r>
            <w:proofErr w:type="spellStart"/>
            <w:r w:rsidR="00A73FDF" w:rsidRPr="009D7C7D">
              <w:rPr>
                <w:b/>
                <w:color w:val="FFFFFF" w:themeColor="background1"/>
                <w:sz w:val="20"/>
                <w:szCs w:val="20"/>
              </w:rPr>
              <w:t>diplotypes</w:t>
            </w:r>
            <w:proofErr w:type="spellEnd"/>
          </w:p>
        </w:tc>
        <w:tc>
          <w:tcPr>
            <w:tcW w:w="1701" w:type="dxa"/>
            <w:tcBorders>
              <w:top w:val="single" w:sz="4" w:space="0" w:color="auto"/>
            </w:tcBorders>
            <w:shd w:val="clear" w:color="auto" w:fill="006EA8" w:themeFill="accent1"/>
          </w:tcPr>
          <w:p w:rsidR="00A73FDF" w:rsidRPr="009D7C7D" w:rsidRDefault="00A73FDF" w:rsidP="004A56B9">
            <w:pPr>
              <w:pStyle w:val="Figuredescription"/>
              <w:rPr>
                <w:b/>
                <w:color w:val="FFFFFF" w:themeColor="background1"/>
                <w:sz w:val="20"/>
                <w:szCs w:val="20"/>
              </w:rPr>
            </w:pPr>
            <w:r w:rsidRPr="009D7C7D">
              <w:rPr>
                <w:b/>
                <w:color w:val="FFFFFF" w:themeColor="background1"/>
                <w:sz w:val="20"/>
                <w:szCs w:val="20"/>
              </w:rPr>
              <w:t>Implications for codeine metabolism</w:t>
            </w:r>
          </w:p>
        </w:tc>
        <w:tc>
          <w:tcPr>
            <w:tcW w:w="2232" w:type="dxa"/>
            <w:tcBorders>
              <w:top w:val="single" w:sz="4" w:space="0" w:color="auto"/>
            </w:tcBorders>
            <w:shd w:val="clear" w:color="auto" w:fill="006EA8" w:themeFill="accent1"/>
          </w:tcPr>
          <w:p w:rsidR="00A73FDF" w:rsidRPr="009D7C7D" w:rsidRDefault="00A73FDF" w:rsidP="004A56B9">
            <w:pPr>
              <w:pStyle w:val="Figuredescription"/>
              <w:rPr>
                <w:b/>
                <w:color w:val="FFFFFF" w:themeColor="background1"/>
                <w:sz w:val="20"/>
                <w:szCs w:val="20"/>
              </w:rPr>
            </w:pPr>
            <w:r w:rsidRPr="009D7C7D">
              <w:rPr>
                <w:b/>
                <w:color w:val="FFFFFF" w:themeColor="background1"/>
                <w:sz w:val="20"/>
                <w:szCs w:val="20"/>
              </w:rPr>
              <w:t>Recommendations for codeine therapy</w:t>
            </w:r>
          </w:p>
        </w:tc>
      </w:tr>
      <w:tr w:rsidR="004A56B9" w:rsidTr="009D7C7D">
        <w:trPr>
          <w:cantSplit/>
        </w:trPr>
        <w:tc>
          <w:tcPr>
            <w:tcW w:w="1446" w:type="dxa"/>
          </w:tcPr>
          <w:p w:rsidR="00A73FDF" w:rsidRPr="006C6034" w:rsidRDefault="00A73FDF" w:rsidP="006C6034">
            <w:pPr>
              <w:rPr>
                <w:sz w:val="18"/>
                <w:szCs w:val="18"/>
              </w:rPr>
            </w:pPr>
            <w:r w:rsidRPr="006C6034">
              <w:rPr>
                <w:sz w:val="18"/>
                <w:szCs w:val="18"/>
              </w:rPr>
              <w:t>Ultra</w:t>
            </w:r>
            <w:r w:rsidR="00467FCB" w:rsidRPr="006C6034">
              <w:rPr>
                <w:sz w:val="18"/>
                <w:szCs w:val="18"/>
              </w:rPr>
              <w:t>-</w:t>
            </w:r>
            <w:r w:rsidRPr="006C6034">
              <w:rPr>
                <w:sz w:val="18"/>
                <w:szCs w:val="18"/>
              </w:rPr>
              <w:t>rapid metabolis</w:t>
            </w:r>
            <w:r w:rsidR="00467FCB" w:rsidRPr="006C6034">
              <w:rPr>
                <w:sz w:val="18"/>
                <w:szCs w:val="18"/>
              </w:rPr>
              <w:t>m</w:t>
            </w:r>
            <w:r w:rsidRPr="006C6034">
              <w:rPr>
                <w:sz w:val="18"/>
                <w:szCs w:val="18"/>
              </w:rPr>
              <w:t xml:space="preserve"> (</w:t>
            </w:r>
            <w:r w:rsidR="009D7C7D" w:rsidRPr="006C6034">
              <w:rPr>
                <w:sz w:val="18"/>
                <w:szCs w:val="18"/>
              </w:rPr>
              <w:t>~</w:t>
            </w:r>
            <w:r w:rsidRPr="006C6034">
              <w:rPr>
                <w:sz w:val="18"/>
                <w:szCs w:val="18"/>
              </w:rPr>
              <w:t>1-2% of patients)</w:t>
            </w:r>
          </w:p>
        </w:tc>
        <w:tc>
          <w:tcPr>
            <w:tcW w:w="1072" w:type="dxa"/>
          </w:tcPr>
          <w:p w:rsidR="00A73FDF" w:rsidRPr="006C6034" w:rsidRDefault="00A73FDF" w:rsidP="006C6034">
            <w:pPr>
              <w:rPr>
                <w:sz w:val="18"/>
                <w:szCs w:val="18"/>
              </w:rPr>
            </w:pPr>
            <w:r w:rsidRPr="006C6034">
              <w:rPr>
                <w:sz w:val="18"/>
                <w:szCs w:val="18"/>
              </w:rPr>
              <w:t>&gt;2.0</w:t>
            </w:r>
          </w:p>
        </w:tc>
        <w:tc>
          <w:tcPr>
            <w:tcW w:w="1418" w:type="dxa"/>
          </w:tcPr>
          <w:p w:rsidR="00A73FDF" w:rsidRPr="006C6034" w:rsidRDefault="00A73FDF" w:rsidP="006C6034">
            <w:pPr>
              <w:rPr>
                <w:sz w:val="18"/>
                <w:szCs w:val="18"/>
              </w:rPr>
            </w:pPr>
            <w:r w:rsidRPr="006C6034">
              <w:rPr>
                <w:sz w:val="18"/>
                <w:szCs w:val="18"/>
              </w:rPr>
              <w:t>An individual carrying more than two copies of functional alleles</w:t>
            </w:r>
          </w:p>
        </w:tc>
        <w:tc>
          <w:tcPr>
            <w:tcW w:w="1417" w:type="dxa"/>
          </w:tcPr>
          <w:p w:rsidR="009D7C7D" w:rsidRPr="006C6034" w:rsidRDefault="009D7C7D" w:rsidP="006C6034">
            <w:pPr>
              <w:rPr>
                <w:sz w:val="18"/>
                <w:szCs w:val="18"/>
              </w:rPr>
            </w:pPr>
            <w:r w:rsidRPr="006C6034">
              <w:rPr>
                <w:sz w:val="18"/>
                <w:szCs w:val="18"/>
              </w:rPr>
              <w:t>*1/*1xN</w:t>
            </w:r>
            <w:r w:rsidR="00395A5F" w:rsidRPr="006C6034">
              <w:rPr>
                <w:sz w:val="18"/>
                <w:szCs w:val="18"/>
              </w:rPr>
              <w:t>,</w:t>
            </w:r>
          </w:p>
          <w:p w:rsidR="00A73FDF" w:rsidRPr="006C6034" w:rsidRDefault="00A73FDF" w:rsidP="006C6034">
            <w:pPr>
              <w:rPr>
                <w:sz w:val="18"/>
                <w:szCs w:val="18"/>
              </w:rPr>
            </w:pPr>
            <w:r w:rsidRPr="006C6034">
              <w:rPr>
                <w:sz w:val="18"/>
                <w:szCs w:val="18"/>
              </w:rPr>
              <w:t>*1/*2xN</w:t>
            </w:r>
          </w:p>
        </w:tc>
        <w:tc>
          <w:tcPr>
            <w:tcW w:w="1701" w:type="dxa"/>
          </w:tcPr>
          <w:p w:rsidR="00A73FDF" w:rsidRPr="006C6034" w:rsidRDefault="00A73FDF" w:rsidP="006C6034">
            <w:pPr>
              <w:rPr>
                <w:sz w:val="18"/>
                <w:szCs w:val="18"/>
              </w:rPr>
            </w:pPr>
            <w:r w:rsidRPr="006C6034">
              <w:rPr>
                <w:sz w:val="18"/>
                <w:szCs w:val="18"/>
              </w:rPr>
              <w:t xml:space="preserve">Increased formation of morphine </w:t>
            </w:r>
            <w:r w:rsidR="009D7C7D" w:rsidRPr="006C6034">
              <w:rPr>
                <w:sz w:val="18"/>
                <w:szCs w:val="18"/>
              </w:rPr>
              <w:t>leading to higher risk of toxicity</w:t>
            </w:r>
          </w:p>
        </w:tc>
        <w:tc>
          <w:tcPr>
            <w:tcW w:w="2232" w:type="dxa"/>
          </w:tcPr>
          <w:p w:rsidR="00A73FDF" w:rsidRPr="006C6034" w:rsidRDefault="00A73FDF" w:rsidP="006C6034">
            <w:pPr>
              <w:rPr>
                <w:sz w:val="18"/>
                <w:szCs w:val="18"/>
              </w:rPr>
            </w:pPr>
            <w:r w:rsidRPr="006C6034">
              <w:rPr>
                <w:sz w:val="18"/>
                <w:szCs w:val="18"/>
              </w:rPr>
              <w:t>Avoid codeine use due to potential for toxicity.</w:t>
            </w:r>
          </w:p>
        </w:tc>
      </w:tr>
      <w:tr w:rsidR="004A56B9" w:rsidTr="009D7C7D">
        <w:trPr>
          <w:cantSplit/>
        </w:trPr>
        <w:tc>
          <w:tcPr>
            <w:tcW w:w="1446" w:type="dxa"/>
          </w:tcPr>
          <w:p w:rsidR="00A73FDF" w:rsidRPr="006C6034" w:rsidRDefault="00A73FDF" w:rsidP="006C6034">
            <w:pPr>
              <w:rPr>
                <w:sz w:val="18"/>
                <w:szCs w:val="18"/>
              </w:rPr>
            </w:pPr>
            <w:r w:rsidRPr="006C6034">
              <w:rPr>
                <w:sz w:val="18"/>
                <w:szCs w:val="18"/>
              </w:rPr>
              <w:t>Extensive metabolis</w:t>
            </w:r>
            <w:r w:rsidR="00467FCB" w:rsidRPr="006C6034">
              <w:rPr>
                <w:sz w:val="18"/>
                <w:szCs w:val="18"/>
              </w:rPr>
              <w:t>m</w:t>
            </w:r>
            <w:r w:rsidRPr="006C6034">
              <w:rPr>
                <w:sz w:val="18"/>
                <w:szCs w:val="18"/>
              </w:rPr>
              <w:t xml:space="preserve"> (</w:t>
            </w:r>
            <w:r w:rsidR="009D7C7D" w:rsidRPr="006C6034">
              <w:rPr>
                <w:sz w:val="18"/>
                <w:szCs w:val="18"/>
              </w:rPr>
              <w:t>~</w:t>
            </w:r>
            <w:r w:rsidRPr="006C6034">
              <w:rPr>
                <w:sz w:val="18"/>
                <w:szCs w:val="18"/>
              </w:rPr>
              <w:t>77-92% of patients)</w:t>
            </w:r>
          </w:p>
        </w:tc>
        <w:tc>
          <w:tcPr>
            <w:tcW w:w="1072" w:type="dxa"/>
          </w:tcPr>
          <w:p w:rsidR="00A73FDF" w:rsidRPr="006C6034" w:rsidRDefault="00A73FDF" w:rsidP="006C6034">
            <w:pPr>
              <w:rPr>
                <w:sz w:val="18"/>
                <w:szCs w:val="18"/>
              </w:rPr>
            </w:pPr>
            <w:r w:rsidRPr="006C6034">
              <w:rPr>
                <w:sz w:val="18"/>
                <w:szCs w:val="18"/>
              </w:rPr>
              <w:t>1.0-2.0</w:t>
            </w:r>
          </w:p>
        </w:tc>
        <w:tc>
          <w:tcPr>
            <w:tcW w:w="1418" w:type="dxa"/>
          </w:tcPr>
          <w:p w:rsidR="00A73FDF" w:rsidRPr="006C6034" w:rsidRDefault="00A73FDF" w:rsidP="006C6034">
            <w:pPr>
              <w:rPr>
                <w:sz w:val="18"/>
                <w:szCs w:val="18"/>
              </w:rPr>
            </w:pPr>
            <w:r w:rsidRPr="006C6034">
              <w:rPr>
                <w:sz w:val="18"/>
                <w:szCs w:val="18"/>
              </w:rPr>
              <w:t>An individual carrying two alleles encoding full or reduced function, or one full function allele and one non-functional or reduced-function allele</w:t>
            </w:r>
          </w:p>
        </w:tc>
        <w:tc>
          <w:tcPr>
            <w:tcW w:w="1417" w:type="dxa"/>
          </w:tcPr>
          <w:p w:rsidR="00A73FDF" w:rsidRPr="006C6034" w:rsidRDefault="00A73FDF" w:rsidP="006C6034">
            <w:pPr>
              <w:rPr>
                <w:sz w:val="18"/>
                <w:szCs w:val="18"/>
              </w:rPr>
            </w:pPr>
            <w:r w:rsidRPr="006C6034">
              <w:rPr>
                <w:sz w:val="18"/>
                <w:szCs w:val="18"/>
              </w:rPr>
              <w:t>*1/*1, *1/*2, *2/*2, *1/*41, *1/*4, *2/*5, *10/*10</w:t>
            </w:r>
          </w:p>
        </w:tc>
        <w:tc>
          <w:tcPr>
            <w:tcW w:w="1701" w:type="dxa"/>
          </w:tcPr>
          <w:p w:rsidR="00A73FDF" w:rsidRPr="006C6034" w:rsidRDefault="00A73FDF" w:rsidP="006C6034">
            <w:pPr>
              <w:rPr>
                <w:sz w:val="18"/>
                <w:szCs w:val="18"/>
              </w:rPr>
            </w:pPr>
            <w:r w:rsidRPr="006C6034">
              <w:rPr>
                <w:sz w:val="18"/>
                <w:szCs w:val="18"/>
              </w:rPr>
              <w:t>Normal morphine formation</w:t>
            </w:r>
          </w:p>
        </w:tc>
        <w:tc>
          <w:tcPr>
            <w:tcW w:w="2232" w:type="dxa"/>
          </w:tcPr>
          <w:p w:rsidR="00A73FDF" w:rsidRPr="006C6034" w:rsidRDefault="00A73FDF" w:rsidP="006C6034">
            <w:pPr>
              <w:rPr>
                <w:sz w:val="18"/>
                <w:szCs w:val="18"/>
              </w:rPr>
            </w:pPr>
            <w:r w:rsidRPr="006C6034">
              <w:rPr>
                <w:sz w:val="18"/>
                <w:szCs w:val="18"/>
              </w:rPr>
              <w:t>Use label recommended age or weight-specific dosing.</w:t>
            </w:r>
          </w:p>
        </w:tc>
      </w:tr>
      <w:tr w:rsidR="004A56B9" w:rsidTr="009D7C7D">
        <w:trPr>
          <w:cantSplit/>
        </w:trPr>
        <w:tc>
          <w:tcPr>
            <w:tcW w:w="1446" w:type="dxa"/>
          </w:tcPr>
          <w:p w:rsidR="00A73FDF" w:rsidRPr="006C6034" w:rsidRDefault="00A73FDF" w:rsidP="006C6034">
            <w:pPr>
              <w:rPr>
                <w:sz w:val="18"/>
                <w:szCs w:val="18"/>
              </w:rPr>
            </w:pPr>
            <w:r w:rsidRPr="006C6034">
              <w:rPr>
                <w:sz w:val="18"/>
                <w:szCs w:val="18"/>
              </w:rPr>
              <w:t>Intermediate metabolis</w:t>
            </w:r>
            <w:r w:rsidR="00467FCB" w:rsidRPr="006C6034">
              <w:rPr>
                <w:sz w:val="18"/>
                <w:szCs w:val="18"/>
              </w:rPr>
              <w:t>m</w:t>
            </w:r>
            <w:r w:rsidRPr="006C6034">
              <w:rPr>
                <w:sz w:val="18"/>
                <w:szCs w:val="18"/>
              </w:rPr>
              <w:t xml:space="preserve"> (</w:t>
            </w:r>
            <w:r w:rsidR="009D7C7D" w:rsidRPr="006C6034">
              <w:rPr>
                <w:sz w:val="18"/>
                <w:szCs w:val="18"/>
              </w:rPr>
              <w:t>~</w:t>
            </w:r>
            <w:r w:rsidRPr="006C6034">
              <w:rPr>
                <w:sz w:val="18"/>
                <w:szCs w:val="18"/>
              </w:rPr>
              <w:t>2-11% of patients)</w:t>
            </w:r>
          </w:p>
        </w:tc>
        <w:tc>
          <w:tcPr>
            <w:tcW w:w="1072" w:type="dxa"/>
          </w:tcPr>
          <w:p w:rsidR="00A73FDF" w:rsidRPr="006C6034" w:rsidRDefault="00A73FDF" w:rsidP="006C6034">
            <w:pPr>
              <w:rPr>
                <w:sz w:val="18"/>
                <w:szCs w:val="18"/>
              </w:rPr>
            </w:pPr>
            <w:r w:rsidRPr="006C6034">
              <w:rPr>
                <w:sz w:val="18"/>
                <w:szCs w:val="18"/>
              </w:rPr>
              <w:t>0.5</w:t>
            </w:r>
          </w:p>
        </w:tc>
        <w:tc>
          <w:tcPr>
            <w:tcW w:w="1418" w:type="dxa"/>
          </w:tcPr>
          <w:p w:rsidR="00A73FDF" w:rsidRPr="006C6034" w:rsidRDefault="00A73FDF" w:rsidP="006C6034">
            <w:pPr>
              <w:rPr>
                <w:sz w:val="18"/>
                <w:szCs w:val="18"/>
              </w:rPr>
            </w:pPr>
            <w:r w:rsidRPr="006C6034">
              <w:rPr>
                <w:sz w:val="18"/>
                <w:szCs w:val="18"/>
              </w:rPr>
              <w:t>An individual carrying one reduced and one non-functional allele</w:t>
            </w:r>
          </w:p>
        </w:tc>
        <w:tc>
          <w:tcPr>
            <w:tcW w:w="1417" w:type="dxa"/>
          </w:tcPr>
          <w:p w:rsidR="00A73FDF" w:rsidRPr="006C6034" w:rsidRDefault="00A73FDF" w:rsidP="006C6034">
            <w:pPr>
              <w:rPr>
                <w:sz w:val="18"/>
                <w:szCs w:val="18"/>
              </w:rPr>
            </w:pPr>
            <w:r w:rsidRPr="006C6034">
              <w:rPr>
                <w:sz w:val="18"/>
                <w:szCs w:val="18"/>
              </w:rPr>
              <w:t>*4/*10, *5/*41</w:t>
            </w:r>
          </w:p>
        </w:tc>
        <w:tc>
          <w:tcPr>
            <w:tcW w:w="1701" w:type="dxa"/>
          </w:tcPr>
          <w:p w:rsidR="00A73FDF" w:rsidRPr="006C6034" w:rsidRDefault="00A73FDF" w:rsidP="006C6034">
            <w:pPr>
              <w:rPr>
                <w:sz w:val="18"/>
                <w:szCs w:val="18"/>
              </w:rPr>
            </w:pPr>
            <w:r w:rsidRPr="006C6034">
              <w:rPr>
                <w:sz w:val="18"/>
                <w:szCs w:val="18"/>
              </w:rPr>
              <w:t>Reduced morphine formation</w:t>
            </w:r>
          </w:p>
        </w:tc>
        <w:tc>
          <w:tcPr>
            <w:tcW w:w="2232" w:type="dxa"/>
          </w:tcPr>
          <w:p w:rsidR="00A73FDF" w:rsidRPr="006C6034" w:rsidRDefault="00A73FDF" w:rsidP="006C6034">
            <w:pPr>
              <w:rPr>
                <w:sz w:val="18"/>
                <w:szCs w:val="18"/>
              </w:rPr>
            </w:pPr>
            <w:r w:rsidRPr="006C6034">
              <w:rPr>
                <w:sz w:val="18"/>
                <w:szCs w:val="18"/>
              </w:rPr>
              <w:t>Use label recommended age or weight-specific dosing. If no response, consider alternative analgesics such as morphine or non-opioid.</w:t>
            </w:r>
          </w:p>
        </w:tc>
      </w:tr>
      <w:tr w:rsidR="004A56B9" w:rsidTr="009D7C7D">
        <w:trPr>
          <w:cantSplit/>
        </w:trPr>
        <w:tc>
          <w:tcPr>
            <w:tcW w:w="1446" w:type="dxa"/>
          </w:tcPr>
          <w:p w:rsidR="00A73FDF" w:rsidRPr="006C6034" w:rsidRDefault="00A73FDF" w:rsidP="006C6034">
            <w:pPr>
              <w:rPr>
                <w:sz w:val="18"/>
                <w:szCs w:val="18"/>
              </w:rPr>
            </w:pPr>
            <w:r w:rsidRPr="006C6034">
              <w:rPr>
                <w:sz w:val="18"/>
                <w:szCs w:val="18"/>
              </w:rPr>
              <w:t>Poor metabolis</w:t>
            </w:r>
            <w:r w:rsidR="00467FCB" w:rsidRPr="006C6034">
              <w:rPr>
                <w:sz w:val="18"/>
                <w:szCs w:val="18"/>
              </w:rPr>
              <w:t xml:space="preserve">m </w:t>
            </w:r>
            <w:r w:rsidRPr="006C6034">
              <w:rPr>
                <w:sz w:val="18"/>
                <w:szCs w:val="18"/>
              </w:rPr>
              <w:t>(</w:t>
            </w:r>
            <w:r w:rsidR="009D7C7D" w:rsidRPr="006C6034">
              <w:rPr>
                <w:sz w:val="18"/>
                <w:szCs w:val="18"/>
              </w:rPr>
              <w:t>~</w:t>
            </w:r>
            <w:r w:rsidRPr="006C6034">
              <w:rPr>
                <w:sz w:val="18"/>
                <w:szCs w:val="18"/>
              </w:rPr>
              <w:t>5-10% of patients)</w:t>
            </w:r>
          </w:p>
        </w:tc>
        <w:tc>
          <w:tcPr>
            <w:tcW w:w="1072" w:type="dxa"/>
          </w:tcPr>
          <w:p w:rsidR="00A73FDF" w:rsidRPr="006C6034" w:rsidRDefault="00A73FDF" w:rsidP="006C6034">
            <w:pPr>
              <w:rPr>
                <w:sz w:val="18"/>
                <w:szCs w:val="18"/>
              </w:rPr>
            </w:pPr>
            <w:r w:rsidRPr="006C6034">
              <w:rPr>
                <w:sz w:val="18"/>
                <w:szCs w:val="18"/>
              </w:rPr>
              <w:t>0</w:t>
            </w:r>
          </w:p>
        </w:tc>
        <w:tc>
          <w:tcPr>
            <w:tcW w:w="1418" w:type="dxa"/>
          </w:tcPr>
          <w:p w:rsidR="00A73FDF" w:rsidRPr="006C6034" w:rsidRDefault="00A73FDF" w:rsidP="006C6034">
            <w:pPr>
              <w:rPr>
                <w:sz w:val="18"/>
                <w:szCs w:val="18"/>
              </w:rPr>
            </w:pPr>
            <w:r w:rsidRPr="006C6034">
              <w:rPr>
                <w:sz w:val="18"/>
                <w:szCs w:val="18"/>
              </w:rPr>
              <w:t>An individual carrying no functional alleles</w:t>
            </w:r>
          </w:p>
        </w:tc>
        <w:tc>
          <w:tcPr>
            <w:tcW w:w="1417" w:type="dxa"/>
          </w:tcPr>
          <w:p w:rsidR="00A73FDF" w:rsidRPr="006C6034" w:rsidRDefault="00A73FDF" w:rsidP="006C6034">
            <w:pPr>
              <w:rPr>
                <w:sz w:val="18"/>
                <w:szCs w:val="18"/>
              </w:rPr>
            </w:pPr>
            <w:r w:rsidRPr="006C6034">
              <w:rPr>
                <w:sz w:val="18"/>
                <w:szCs w:val="18"/>
              </w:rPr>
              <w:t>*4/*4, *4/*5, *5/*5, *4/*6</w:t>
            </w:r>
          </w:p>
        </w:tc>
        <w:tc>
          <w:tcPr>
            <w:tcW w:w="1701" w:type="dxa"/>
          </w:tcPr>
          <w:p w:rsidR="00A73FDF" w:rsidRPr="006C6034" w:rsidRDefault="00A73FDF" w:rsidP="006C6034">
            <w:pPr>
              <w:rPr>
                <w:sz w:val="18"/>
                <w:szCs w:val="18"/>
              </w:rPr>
            </w:pPr>
            <w:r w:rsidRPr="006C6034">
              <w:rPr>
                <w:sz w:val="18"/>
                <w:szCs w:val="18"/>
              </w:rPr>
              <w:t>Greatly reduced morphine formation</w:t>
            </w:r>
            <w:r w:rsidR="00395A5F" w:rsidRPr="006C6034">
              <w:rPr>
                <w:sz w:val="18"/>
                <w:szCs w:val="18"/>
              </w:rPr>
              <w:t xml:space="preserve"> leading to insufficient pain relief</w:t>
            </w:r>
          </w:p>
        </w:tc>
        <w:tc>
          <w:tcPr>
            <w:tcW w:w="2232" w:type="dxa"/>
          </w:tcPr>
          <w:p w:rsidR="00A73FDF" w:rsidRPr="006C6034" w:rsidRDefault="00A73FDF" w:rsidP="006C6034">
            <w:pPr>
              <w:rPr>
                <w:sz w:val="18"/>
                <w:szCs w:val="18"/>
              </w:rPr>
            </w:pPr>
            <w:r w:rsidRPr="006C6034">
              <w:rPr>
                <w:sz w:val="18"/>
                <w:szCs w:val="18"/>
              </w:rPr>
              <w:t>Avoid codeine use due to lack of efficacy.</w:t>
            </w:r>
          </w:p>
        </w:tc>
      </w:tr>
    </w:tbl>
    <w:p w:rsidR="00887826" w:rsidRPr="00887826" w:rsidRDefault="00887826" w:rsidP="006C6034">
      <w:pPr>
        <w:pStyle w:val="Tabledescription"/>
        <w:rPr>
          <w:vertAlign w:val="superscript"/>
        </w:rPr>
      </w:pPr>
      <w:r>
        <w:t xml:space="preserve">Table </w:t>
      </w:r>
      <w:r w:rsidR="008A129B">
        <w:t xml:space="preserve">1 has been </w:t>
      </w:r>
      <w:r>
        <w:t>a</w:t>
      </w:r>
      <w:r w:rsidRPr="00A73FDF">
        <w:t xml:space="preserve">dapted from Clinical </w:t>
      </w:r>
      <w:proofErr w:type="spellStart"/>
      <w:r w:rsidRPr="00A73FDF">
        <w:t>Pharmacogenetics</w:t>
      </w:r>
      <w:proofErr w:type="spellEnd"/>
      <w:r w:rsidRPr="00A73FDF">
        <w:t xml:space="preserve"> Implementation Consortium (CPIC) guidelines for cytochrome P450 2D6 (CYP2D6) genotype and codeine therapy: 2014 Update.</w:t>
      </w:r>
      <w:r w:rsidRPr="00A73FDF">
        <w:rPr>
          <w:vertAlign w:val="superscript"/>
        </w:rPr>
        <w:t>5</w:t>
      </w:r>
    </w:p>
    <w:p w:rsidR="003800B4" w:rsidRPr="00A7554B" w:rsidRDefault="003800B4" w:rsidP="008337EF">
      <w:pPr>
        <w:rPr>
          <w:sz w:val="18"/>
          <w:szCs w:val="18"/>
        </w:rPr>
      </w:pPr>
      <w:r w:rsidRPr="003E6B88">
        <w:t>It is difficult to predict the phenotypic expression of ultra-rapid</w:t>
      </w:r>
      <w:r w:rsidR="004C7068">
        <w:t xml:space="preserve"> CYP2D6</w:t>
      </w:r>
      <w:r w:rsidRPr="003E6B88">
        <w:t xml:space="preserve"> metabolism from genotype alone: </w:t>
      </w:r>
      <w:r w:rsidR="00467FCB">
        <w:t xml:space="preserve">people with </w:t>
      </w:r>
      <w:r w:rsidRPr="003E6B88">
        <w:t xml:space="preserve">genotypes </w:t>
      </w:r>
      <w:r w:rsidR="00467FCB">
        <w:t xml:space="preserve">that are expected to express an EM phenotype </w:t>
      </w:r>
      <w:r w:rsidRPr="003E6B88">
        <w:t xml:space="preserve">may, in </w:t>
      </w:r>
      <w:r w:rsidRPr="003E6B88">
        <w:lastRenderedPageBreak/>
        <w:t xml:space="preserve">some cases, convert codeine to morphine at levels similar to </w:t>
      </w:r>
      <w:r w:rsidR="00467FCB">
        <w:t xml:space="preserve">those seen in </w:t>
      </w:r>
      <w:r w:rsidRPr="003E6B88">
        <w:t>an UM phenotype. Genetic tests for codeine</w:t>
      </w:r>
      <w:r w:rsidRPr="00BC2153">
        <w:t xml:space="preserve"> metabolism are</w:t>
      </w:r>
      <w:r>
        <w:t xml:space="preserve"> therefore of limited value in predicting </w:t>
      </w:r>
      <w:r w:rsidR="00467FCB">
        <w:t>ultra-rapid metabolism</w:t>
      </w:r>
      <w:r>
        <w:t xml:space="preserve">, and such tests </w:t>
      </w:r>
      <w:r w:rsidRPr="00BC2153">
        <w:t>are not widely accessible outside of the research setting.</w:t>
      </w:r>
      <w:r w:rsidRPr="00BC2153">
        <w:rPr>
          <w:vertAlign w:val="superscript"/>
        </w:rPr>
        <w:fldChar w:fldCharType="begin"/>
      </w:r>
      <w:r w:rsidRPr="00BC2153">
        <w:rPr>
          <w:vertAlign w:val="superscript"/>
        </w:rPr>
        <w:instrText xml:space="preserve"> NOTEREF _Ref360185571 \h  \* MERGEFORMAT </w:instrText>
      </w:r>
      <w:r w:rsidRPr="00BC2153">
        <w:rPr>
          <w:vertAlign w:val="superscript"/>
        </w:rPr>
      </w:r>
      <w:r w:rsidRPr="00BC2153">
        <w:rPr>
          <w:vertAlign w:val="superscript"/>
        </w:rPr>
        <w:fldChar w:fldCharType="separate"/>
      </w:r>
      <w:r w:rsidR="00CC0E48">
        <w:rPr>
          <w:vertAlign w:val="superscript"/>
        </w:rPr>
        <w:t>2</w:t>
      </w:r>
      <w:r w:rsidRPr="00BC2153">
        <w:rPr>
          <w:vertAlign w:val="superscript"/>
        </w:rPr>
        <w:fldChar w:fldCharType="end"/>
      </w:r>
      <w:r w:rsidRPr="00BC2153">
        <w:rPr>
          <w:vertAlign w:val="superscript"/>
        </w:rPr>
        <w:t xml:space="preserve"> </w:t>
      </w:r>
      <w:r>
        <w:t xml:space="preserve">For these reasons, </w:t>
      </w:r>
      <w:r w:rsidRPr="00C314EF">
        <w:t xml:space="preserve">routine genotyping prior to receiving codeine </w:t>
      </w:r>
      <w:r>
        <w:t>has</w:t>
      </w:r>
      <w:r w:rsidRPr="00C314EF">
        <w:t xml:space="preserve"> not </w:t>
      </w:r>
      <w:r>
        <w:t xml:space="preserve">been </w:t>
      </w:r>
      <w:r w:rsidRPr="00C314EF">
        <w:t xml:space="preserve">recommended </w:t>
      </w:r>
      <w:r>
        <w:t>(as discussed below), and</w:t>
      </w:r>
      <w:r w:rsidRPr="005024DA">
        <w:t xml:space="preserve"> </w:t>
      </w:r>
      <w:r>
        <w:t>no</w:t>
      </w:r>
      <w:r w:rsidRPr="00BC2153">
        <w:t xml:space="preserve"> suitable test is currently included in the Medicare Benefits Schedule</w:t>
      </w:r>
      <w:r>
        <w:t>.</w:t>
      </w:r>
    </w:p>
    <w:p w:rsidR="003800B4" w:rsidRDefault="003800B4" w:rsidP="008337EF">
      <w:r w:rsidRPr="00BC2153">
        <w:t xml:space="preserve">The </w:t>
      </w:r>
      <w:r>
        <w:t>prevalence</w:t>
      </w:r>
      <w:r w:rsidRPr="00BC2153">
        <w:t xml:space="preserve"> of </w:t>
      </w:r>
      <w:r>
        <w:t>codeine ultra-rapid metabolism by CYP2D6</w:t>
      </w:r>
      <w:r w:rsidRPr="00BC2153">
        <w:t xml:space="preserve"> </w:t>
      </w:r>
      <w:r>
        <w:t>in children is not known, but</w:t>
      </w:r>
      <w:r w:rsidRPr="00BC2153">
        <w:t xml:space="preserve"> is assumed to be similar to that reported in adults. The prevalence of </w:t>
      </w:r>
      <w:r>
        <w:t>UM</w:t>
      </w:r>
      <w:r w:rsidRPr="00BC2153">
        <w:t xml:space="preserve"> is estimated to be 1% in those of Chinese, Japanese and Hispanic descent, 3% in African Americans and 1%–10% in Caucasians. The highest prevalence (16%–28%) occurs in the North African, Ethiopian and Arab populations.</w:t>
      </w:r>
      <w:r w:rsidRPr="00BC2153">
        <w:rPr>
          <w:vertAlign w:val="superscript"/>
        </w:rPr>
        <w:fldChar w:fldCharType="begin"/>
      </w:r>
      <w:r w:rsidRPr="00BC2153">
        <w:rPr>
          <w:vertAlign w:val="superscript"/>
        </w:rPr>
        <w:instrText xml:space="preserve"> NOTEREF _Ref360185571 \h  \* MERGEFORMAT </w:instrText>
      </w:r>
      <w:r w:rsidRPr="00BC2153">
        <w:rPr>
          <w:vertAlign w:val="superscript"/>
        </w:rPr>
      </w:r>
      <w:r w:rsidRPr="00BC2153">
        <w:rPr>
          <w:vertAlign w:val="superscript"/>
        </w:rPr>
        <w:fldChar w:fldCharType="separate"/>
      </w:r>
      <w:r w:rsidR="00CC0E48">
        <w:rPr>
          <w:vertAlign w:val="superscript"/>
        </w:rPr>
        <w:t>2</w:t>
      </w:r>
      <w:r w:rsidRPr="00BC2153">
        <w:fldChar w:fldCharType="end"/>
      </w:r>
    </w:p>
    <w:p w:rsidR="003800B4" w:rsidRPr="004015D9" w:rsidRDefault="003800B4" w:rsidP="00CE6EDB">
      <w:pPr>
        <w:pStyle w:val="Heading3"/>
        <w:numPr>
          <w:ilvl w:val="1"/>
          <w:numId w:val="18"/>
        </w:numPr>
        <w:rPr>
          <w:rFonts w:asciiTheme="majorHAnsi" w:hAnsiTheme="majorHAnsi" w:cstheme="majorHAnsi"/>
        </w:rPr>
      </w:pPr>
      <w:bookmarkStart w:id="21" w:name="_Toc416959624"/>
      <w:bookmarkStart w:id="22" w:name="_Toc431378925"/>
      <w:bookmarkStart w:id="23" w:name="_Toc431407226"/>
      <w:proofErr w:type="spellStart"/>
      <w:r w:rsidRPr="004015D9">
        <w:rPr>
          <w:rFonts w:asciiTheme="majorHAnsi" w:hAnsiTheme="majorHAnsi" w:cstheme="majorHAnsi"/>
        </w:rPr>
        <w:t>Adenotonsillectomy</w:t>
      </w:r>
      <w:proofErr w:type="spellEnd"/>
      <w:r w:rsidRPr="004015D9">
        <w:rPr>
          <w:rFonts w:asciiTheme="majorHAnsi" w:hAnsiTheme="majorHAnsi" w:cstheme="majorHAnsi"/>
        </w:rPr>
        <w:t xml:space="preserve"> for obstructive sleep apnoea in paediatrics</w:t>
      </w:r>
      <w:bookmarkEnd w:id="21"/>
      <w:bookmarkEnd w:id="22"/>
      <w:bookmarkEnd w:id="23"/>
    </w:p>
    <w:p w:rsidR="00BE376A" w:rsidRDefault="003800B4" w:rsidP="008337EF">
      <w:proofErr w:type="spellStart"/>
      <w:r w:rsidRPr="006B769C">
        <w:t>Adenotonsillectomy</w:t>
      </w:r>
      <w:proofErr w:type="spellEnd"/>
      <w:r w:rsidRPr="006B769C">
        <w:t xml:space="preserve"> is commonly performed in children </w:t>
      </w:r>
      <w:r>
        <w:t>as a treatment for</w:t>
      </w:r>
      <w:r w:rsidRPr="006B769C">
        <w:t xml:space="preserve"> obstructive sleep </w:t>
      </w:r>
      <w:r w:rsidR="00A36C43" w:rsidRPr="006B769C">
        <w:t>apnoea</w:t>
      </w:r>
      <w:r w:rsidRPr="006B769C">
        <w:t xml:space="preserve"> </w:t>
      </w:r>
      <w:r>
        <w:t>(OSA).</w:t>
      </w:r>
      <w:r>
        <w:rPr>
          <w:rStyle w:val="EndnoteReference"/>
        </w:rPr>
        <w:endnoteReference w:id="7"/>
      </w:r>
      <w:r>
        <w:t xml:space="preserve"> Whilst generally, symptoms and signs including oxygen saturation improve dramatically post-surgery, some children experience persistent sleep disordered breathing, most consistently associated with severity of pre-operative OSA.</w:t>
      </w:r>
      <w:r>
        <w:rPr>
          <w:rStyle w:val="EndnoteReference"/>
        </w:rPr>
        <w:endnoteReference w:id="8"/>
      </w:r>
      <w:r>
        <w:t xml:space="preserve"> The failure of o</w:t>
      </w:r>
      <w:r w:rsidRPr="006B769C">
        <w:t xml:space="preserve">xygen saturation rates </w:t>
      </w:r>
      <w:r>
        <w:t xml:space="preserve">to improve </w:t>
      </w:r>
      <w:r w:rsidRPr="006B769C">
        <w:t xml:space="preserve">the day after surgery in paediatric patients undergoing </w:t>
      </w:r>
      <w:proofErr w:type="spellStart"/>
      <w:r w:rsidRPr="006B769C">
        <w:t>adenotonsillectomy</w:t>
      </w:r>
      <w:proofErr w:type="spellEnd"/>
      <w:r w:rsidRPr="006B769C">
        <w:t xml:space="preserve"> for</w:t>
      </w:r>
      <w:r>
        <w:t xml:space="preserve"> obstructive sleep apnoea (OSA) may be explained by a number of possible causes, including</w:t>
      </w:r>
      <w:r w:rsidRPr="006B769C">
        <w:t xml:space="preserve"> residual anaesthetic effects, post-surgical oedema/inflammation, and the increased airway compliance and decreased airway neuromuscular function s</w:t>
      </w:r>
      <w:r>
        <w:t>een in paediatric OSA patients. However, studies have reported cases</w:t>
      </w:r>
      <w:r w:rsidRPr="006B769C">
        <w:t xml:space="preserve"> in which apnoea rates rose drama</w:t>
      </w:r>
      <w:r>
        <w:t>tically the night after surgery</w:t>
      </w:r>
      <w:r w:rsidRPr="00D52189">
        <w:t xml:space="preserve"> </w:t>
      </w:r>
      <w:r>
        <w:t xml:space="preserve">and </w:t>
      </w:r>
      <w:r w:rsidRPr="00D52189">
        <w:t>it is possible that prescribed opioids may have contributed to respiratory depression in the observed cases</w:t>
      </w:r>
      <w:r>
        <w:t>.</w:t>
      </w:r>
      <w:r w:rsidRPr="008A26E6">
        <w:rPr>
          <w:vertAlign w:val="superscript"/>
        </w:rPr>
        <w:endnoteReference w:id="9"/>
      </w:r>
      <w:r w:rsidRPr="006B769C">
        <w:t xml:space="preserve"> </w:t>
      </w:r>
      <w:r>
        <w:t>It has been previously shown that the</w:t>
      </w:r>
      <w:r w:rsidRPr="00467EFE">
        <w:t xml:space="preserve"> recurrent hypoxemia</w:t>
      </w:r>
      <w:r>
        <w:t xml:space="preserve"> seen</w:t>
      </w:r>
      <w:r w:rsidRPr="00467EFE">
        <w:t xml:space="preserve"> in OSA is associated with increased sensitivity to </w:t>
      </w:r>
      <w:r>
        <w:t>morphine,</w:t>
      </w:r>
      <w:r>
        <w:rPr>
          <w:rStyle w:val="EndnoteReference"/>
        </w:rPr>
        <w:endnoteReference w:id="10"/>
      </w:r>
      <w:r>
        <w:t xml:space="preserve"> and a recent study by the American Academy of </w:t>
      </w:r>
      <w:proofErr w:type="spellStart"/>
      <w:r>
        <w:t>Pediatrics</w:t>
      </w:r>
      <w:proofErr w:type="spellEnd"/>
      <w:r>
        <w:t xml:space="preserve"> in 91 children demonstrated a dramatic difference between oxygen desaturation on the first postoperative night in children assigned to morphine analgesia compared to ibuprofen.</w:t>
      </w:r>
      <w:r>
        <w:rPr>
          <w:rStyle w:val="EndnoteReference"/>
        </w:rPr>
        <w:endnoteReference w:id="11"/>
      </w:r>
      <w:r>
        <w:t xml:space="preserve"> Of the children assigned to morphine, 14</w:t>
      </w:r>
      <w:r w:rsidR="00DF2EF4">
        <w:t xml:space="preserve"> </w:t>
      </w:r>
      <w:r w:rsidR="00103812">
        <w:t xml:space="preserve">per cent </w:t>
      </w:r>
      <w:r>
        <w:t>showed improvement, whilst 68</w:t>
      </w:r>
      <w:r w:rsidR="00DF2EF4">
        <w:t xml:space="preserve"> </w:t>
      </w:r>
      <w:r w:rsidR="00103812">
        <w:t xml:space="preserve">per cent </w:t>
      </w:r>
      <w:r>
        <w:t xml:space="preserve">of the children assigned to ibuprofen showed improvement. </w:t>
      </w:r>
      <w:r w:rsidRPr="00D52189">
        <w:t>The number of desaturation events in the morphine group</w:t>
      </w:r>
      <w:r>
        <w:t xml:space="preserve"> increased substantially</w:t>
      </w:r>
      <w:r w:rsidRPr="00D52189">
        <w:t>, with an average increase of 11.17 ± 15.02 desaturation events per hour (P &lt; .01). </w:t>
      </w:r>
      <w:r>
        <w:t>No differences were seen in efficacy of analgesia, blee</w:t>
      </w:r>
      <w:r w:rsidR="00874C21">
        <w:t>ding or adverse drug reactions.</w:t>
      </w:r>
    </w:p>
    <w:p w:rsidR="00E30BF4" w:rsidRDefault="00E30BF4" w:rsidP="00CE6EDB">
      <w:pPr>
        <w:pStyle w:val="Heading2"/>
        <w:numPr>
          <w:ilvl w:val="0"/>
          <w:numId w:val="18"/>
        </w:numPr>
      </w:pPr>
      <w:bookmarkStart w:id="24" w:name="_Toc431378926"/>
      <w:bookmarkStart w:id="25" w:name="_Toc431407227"/>
      <w:bookmarkStart w:id="26" w:name="_Toc416959625"/>
      <w:r>
        <w:t>International regulatory action</w:t>
      </w:r>
      <w:bookmarkEnd w:id="24"/>
      <w:bookmarkEnd w:id="25"/>
    </w:p>
    <w:p w:rsidR="003800B4" w:rsidRPr="004015D9" w:rsidRDefault="003800B4" w:rsidP="00CE6EDB">
      <w:pPr>
        <w:pStyle w:val="Heading3"/>
        <w:numPr>
          <w:ilvl w:val="1"/>
          <w:numId w:val="18"/>
        </w:numPr>
      </w:pPr>
      <w:bookmarkStart w:id="27" w:name="_Toc431378927"/>
      <w:bookmarkStart w:id="28" w:name="_Toc431407228"/>
      <w:r w:rsidRPr="004015D9">
        <w:t>FDA</w:t>
      </w:r>
      <w:bookmarkEnd w:id="26"/>
      <w:bookmarkEnd w:id="27"/>
      <w:bookmarkEnd w:id="28"/>
    </w:p>
    <w:p w:rsidR="003800B4" w:rsidRPr="00E675F6" w:rsidRDefault="003800B4" w:rsidP="005B6F50">
      <w:pPr>
        <w:pStyle w:val="Heading4"/>
        <w:numPr>
          <w:ilvl w:val="2"/>
          <w:numId w:val="18"/>
        </w:numPr>
      </w:pPr>
      <w:bookmarkStart w:id="29" w:name="_Toc431378928"/>
      <w:bookmarkStart w:id="30" w:name="_Toc431407229"/>
      <w:r w:rsidRPr="00E675F6">
        <w:t>FDA actions relating to ultra-rapid metabolism of codeine</w:t>
      </w:r>
      <w:bookmarkStart w:id="31" w:name="_Ref360184621"/>
      <w:r w:rsidRPr="00E675F6">
        <w:t xml:space="preserve"> </w:t>
      </w:r>
      <w:bookmarkEnd w:id="31"/>
      <w:r w:rsidR="00C8600C" w:rsidRPr="00E675F6">
        <w:t xml:space="preserve">in the </w:t>
      </w:r>
      <w:r w:rsidR="005B6F50">
        <w:t>co</w:t>
      </w:r>
      <w:r w:rsidR="00C8600C" w:rsidRPr="005B6F50">
        <w:t>ntext</w:t>
      </w:r>
      <w:r w:rsidR="00C8600C" w:rsidRPr="00E675F6">
        <w:t xml:space="preserve"> of breast feeding</w:t>
      </w:r>
      <w:bookmarkEnd w:id="29"/>
      <w:bookmarkEnd w:id="30"/>
    </w:p>
    <w:p w:rsidR="00C8600C" w:rsidRDefault="003800B4" w:rsidP="00FF0710">
      <w:bookmarkStart w:id="32" w:name="_Ref360184671"/>
      <w:r w:rsidRPr="00BE376A">
        <w:t xml:space="preserve">In the </w:t>
      </w:r>
      <w:r w:rsidR="00467FCB">
        <w:t>USA</w:t>
      </w:r>
      <w:r w:rsidRPr="00BE376A">
        <w:t xml:space="preserve">, concerns over </w:t>
      </w:r>
      <w:r w:rsidR="00467FCB">
        <w:t>ultra-rapid</w:t>
      </w:r>
      <w:r w:rsidRPr="00BE376A">
        <w:t xml:space="preserve"> metabolism of codeine to morphine and safety for children have arisen on two separate occasions: firstly in the context of breastfeeding infants, </w:t>
      </w:r>
      <w:r w:rsidR="00467FCB">
        <w:t>followed by th</w:t>
      </w:r>
      <w:r w:rsidR="00C8600C">
        <w:t>e</w:t>
      </w:r>
      <w:r w:rsidR="00467FCB">
        <w:t xml:space="preserve"> </w:t>
      </w:r>
      <w:r w:rsidRPr="00BE376A">
        <w:t>more recent concern with respect to children being</w:t>
      </w:r>
      <w:r w:rsidRPr="00124C11">
        <w:t xml:space="preserve"> given codeine post-</w:t>
      </w:r>
      <w:proofErr w:type="spellStart"/>
      <w:r w:rsidRPr="00124C11">
        <w:t>adenotonsillectomy</w:t>
      </w:r>
      <w:proofErr w:type="spellEnd"/>
      <w:r w:rsidRPr="00124C11">
        <w:t>.</w:t>
      </w:r>
      <w:bookmarkStart w:id="33" w:name="_Ref360185632"/>
      <w:r w:rsidRPr="00E77B17">
        <w:rPr>
          <w:vertAlign w:val="superscript"/>
        </w:rPr>
        <w:endnoteReference w:id="12"/>
      </w:r>
      <w:bookmarkEnd w:id="32"/>
      <w:bookmarkEnd w:id="33"/>
    </w:p>
    <w:p w:rsidR="003800B4" w:rsidRPr="00BC2153" w:rsidRDefault="003800B4" w:rsidP="00FF0710">
      <w:r w:rsidRPr="00124C11">
        <w:t>In August 2007, the FDA published a press rele</w:t>
      </w:r>
      <w:r w:rsidR="000A4147">
        <w:t xml:space="preserve">ase and public health advisory </w:t>
      </w:r>
      <w:r w:rsidRPr="000A4147">
        <w:rPr>
          <w:i/>
        </w:rPr>
        <w:t>Use of Codeine By Some Breastfeeding Mothers May Lead To Life-Threatening Side Effects In Nursing Babies</w:t>
      </w:r>
      <w:r w:rsidRPr="00124C11">
        <w:t xml:space="preserve"> and </w:t>
      </w:r>
      <w:r>
        <w:t xml:space="preserve">the </w:t>
      </w:r>
      <w:r w:rsidRPr="00124C11">
        <w:t>labelling of codeine-containing products was updated to describe this risk</w:t>
      </w:r>
      <w:r w:rsidRPr="00BC2153">
        <w:t>.</w:t>
      </w:r>
      <w:r>
        <w:rPr>
          <w:rStyle w:val="EndnoteReference"/>
          <w:rFonts w:eastAsia="Calibri" w:cstheme="minorHAnsi"/>
        </w:rPr>
        <w:endnoteReference w:id="13"/>
      </w:r>
    </w:p>
    <w:p w:rsidR="003800B4" w:rsidRPr="005B6F50" w:rsidRDefault="003800B4" w:rsidP="00CE6EDB">
      <w:pPr>
        <w:pStyle w:val="Heading4"/>
        <w:numPr>
          <w:ilvl w:val="2"/>
          <w:numId w:val="18"/>
        </w:numPr>
      </w:pPr>
      <w:bookmarkStart w:id="34" w:name="_Toc431378929"/>
      <w:bookmarkStart w:id="35" w:name="_Toc431407230"/>
      <w:r w:rsidRPr="005B6F50">
        <w:lastRenderedPageBreak/>
        <w:t>FDA safety review</w:t>
      </w:r>
      <w:r w:rsidR="00C8600C" w:rsidRPr="005B6F50">
        <w:t xml:space="preserve"> of the use of codeine in children post-</w:t>
      </w:r>
      <w:proofErr w:type="spellStart"/>
      <w:r w:rsidR="00C8600C" w:rsidRPr="005B6F50">
        <w:t>adenotonsillectomy</w:t>
      </w:r>
      <w:bookmarkEnd w:id="34"/>
      <w:bookmarkEnd w:id="35"/>
      <w:proofErr w:type="spellEnd"/>
    </w:p>
    <w:p w:rsidR="003800B4" w:rsidRDefault="003800B4" w:rsidP="008337EF">
      <w:r w:rsidRPr="00BC2153">
        <w:t>In August 2012, the FDA began a comprehensive safety review of</w:t>
      </w:r>
      <w:r w:rsidR="00DF2EF4">
        <w:t xml:space="preserve"> the use of</w:t>
      </w:r>
      <w:r w:rsidRPr="00BC2153">
        <w:t xml:space="preserve"> codeine in </w:t>
      </w:r>
      <w:r>
        <w:t>children post-</w:t>
      </w:r>
      <w:proofErr w:type="spellStart"/>
      <w:r>
        <w:t>adenotonsillectomy</w:t>
      </w:r>
      <w:proofErr w:type="spellEnd"/>
      <w:r>
        <w:t xml:space="preserve"> </w:t>
      </w:r>
      <w:r w:rsidRPr="00BC2153">
        <w:t xml:space="preserve">due to growing concerns and recognition of a trend in reports of cases of deaths and serious adverse events in </w:t>
      </w:r>
      <w:r w:rsidR="007256BF">
        <w:t>this setting</w:t>
      </w:r>
      <w:r w:rsidRPr="00BC2153">
        <w:t xml:space="preserve"> </w:t>
      </w:r>
      <w:r w:rsidR="007256BF">
        <w:t>where there was evidence to suggest ultra-rapid metabolism</w:t>
      </w:r>
      <w:r w:rsidRPr="00BC2153">
        <w:t xml:space="preserve"> of codeine.</w:t>
      </w:r>
      <w:r>
        <w:rPr>
          <w:rStyle w:val="EndnoteReference"/>
        </w:rPr>
        <w:endnoteReference w:id="14"/>
      </w:r>
      <w:r w:rsidRPr="00BC2153">
        <w:t xml:space="preserve"> Review was also undertaken to identify </w:t>
      </w:r>
      <w:r>
        <w:t xml:space="preserve">any </w:t>
      </w:r>
      <w:r w:rsidRPr="00BC2153">
        <w:t xml:space="preserve">additional cases of overdose or death in children taking codeine </w:t>
      </w:r>
      <w:r w:rsidR="007256BF">
        <w:t xml:space="preserve">in </w:t>
      </w:r>
      <w:r w:rsidR="00874C21">
        <w:t>other treatment settings.</w:t>
      </w:r>
    </w:p>
    <w:p w:rsidR="003800B4" w:rsidRDefault="003800B4" w:rsidP="008337EF">
      <w:r>
        <w:t>The review found 13 paediatric cases in the FDA’s Adverse Event Reporting System (AERS)</w:t>
      </w:r>
      <w:r w:rsidR="004D1332">
        <w:t xml:space="preserve"> </w:t>
      </w:r>
      <w:r>
        <w:t xml:space="preserve">database between 1969 and mid-2012 of </w:t>
      </w:r>
      <w:r w:rsidRPr="00D54842">
        <w:t>overdose and/or death</w:t>
      </w:r>
      <w:r>
        <w:t xml:space="preserve"> associated with codeine.</w:t>
      </w:r>
      <w:r w:rsidR="004D1332">
        <w:fldChar w:fldCharType="begin"/>
      </w:r>
      <w:r w:rsidR="004D1332">
        <w:instrText xml:space="preserve"> NOTEREF _Ref360185632 \f \h </w:instrText>
      </w:r>
      <w:r w:rsidR="004D1332">
        <w:fldChar w:fldCharType="separate"/>
      </w:r>
      <w:r w:rsidR="00CC0E48" w:rsidRPr="00CC0E48">
        <w:rPr>
          <w:rStyle w:val="EndnoteReference"/>
        </w:rPr>
        <w:t>11</w:t>
      </w:r>
      <w:r w:rsidR="004D1332">
        <w:fldChar w:fldCharType="end"/>
      </w:r>
      <w:r>
        <w:t xml:space="preserve"> Six cases were not literature cases, and </w:t>
      </w:r>
      <w:r w:rsidRPr="002D3BCD">
        <w:t>did not report CYP2D6</w:t>
      </w:r>
      <w:r>
        <w:t xml:space="preserve"> status. The information available for these six case</w:t>
      </w:r>
      <w:r w:rsidR="008337EF">
        <w:t>s is summarised in</w:t>
      </w:r>
      <w:r w:rsidR="00467FCB">
        <w:t xml:space="preserve"> </w:t>
      </w:r>
      <w:r w:rsidR="00467FCB">
        <w:fldChar w:fldCharType="begin"/>
      </w:r>
      <w:r w:rsidR="00467FCB">
        <w:instrText xml:space="preserve"> REF _Ref431374383 \h </w:instrText>
      </w:r>
      <w:r w:rsidR="00467FCB">
        <w:fldChar w:fldCharType="separate"/>
      </w:r>
      <w:r w:rsidR="00CC0E48">
        <w:t xml:space="preserve">Table </w:t>
      </w:r>
      <w:r w:rsidR="00CC0E48">
        <w:rPr>
          <w:noProof/>
        </w:rPr>
        <w:t>2</w:t>
      </w:r>
      <w:r w:rsidR="00467FCB">
        <w:fldChar w:fldCharType="end"/>
      </w:r>
      <w:r w:rsidR="008337EF">
        <w:t>.</w:t>
      </w:r>
    </w:p>
    <w:p w:rsidR="00C82EB9" w:rsidRPr="00FF18FE" w:rsidRDefault="00467FCB" w:rsidP="00874C21">
      <w:pPr>
        <w:pStyle w:val="Tabletitle"/>
      </w:pPr>
      <w:bookmarkStart w:id="36" w:name="_Ref431374383"/>
      <w:bookmarkStart w:id="37" w:name="_Ref430941473"/>
      <w:r>
        <w:t xml:space="preserve">Table </w:t>
      </w:r>
      <w:r w:rsidR="00E844E6">
        <w:fldChar w:fldCharType="begin"/>
      </w:r>
      <w:r w:rsidR="00E844E6">
        <w:instrText xml:space="preserve"> SEQ Table \* ARABIC </w:instrText>
      </w:r>
      <w:r w:rsidR="00E844E6">
        <w:fldChar w:fldCharType="separate"/>
      </w:r>
      <w:r w:rsidR="00CC0E48">
        <w:rPr>
          <w:noProof/>
        </w:rPr>
        <w:t>2</w:t>
      </w:r>
      <w:r w:rsidR="00E844E6">
        <w:rPr>
          <w:noProof/>
        </w:rPr>
        <w:fldChar w:fldCharType="end"/>
      </w:r>
      <w:bookmarkEnd w:id="36"/>
      <w:r w:rsidR="00FF18FE">
        <w:t>.</w:t>
      </w:r>
      <w:r w:rsidR="004C7068">
        <w:t xml:space="preserve"> Characteristics of six paediatric c</w:t>
      </w:r>
      <w:r w:rsidR="003800B4" w:rsidRPr="00FF18FE">
        <w:t xml:space="preserve">ases of death </w:t>
      </w:r>
      <w:r w:rsidR="004C7068">
        <w:t xml:space="preserve">identified </w:t>
      </w:r>
      <w:r w:rsidR="003800B4" w:rsidRPr="00FF18FE">
        <w:t xml:space="preserve">in the FDA </w:t>
      </w:r>
      <w:r w:rsidR="001E280D">
        <w:t>Adverse Event Reporting System</w:t>
      </w:r>
      <w:r w:rsidR="003800B4" w:rsidRPr="00FF18FE">
        <w:t xml:space="preserve"> involving codeine but where CYP2D6 status was not reported</w:t>
      </w:r>
      <w:bookmarkEnd w:id="37"/>
    </w:p>
    <w:tbl>
      <w:tblPr>
        <w:tblStyle w:val="TableTGAblue"/>
        <w:tblW w:w="0" w:type="auto"/>
        <w:tblLook w:val="04A0" w:firstRow="1" w:lastRow="0" w:firstColumn="1" w:lastColumn="0" w:noHBand="0" w:noVBand="1"/>
      </w:tblPr>
      <w:tblGrid>
        <w:gridCol w:w="1951"/>
        <w:gridCol w:w="7335"/>
      </w:tblGrid>
      <w:tr w:rsidR="00467FCB" w:rsidTr="001E2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rsidR="00467FCB" w:rsidRDefault="004C7068" w:rsidP="009D7C7D">
            <w:r>
              <w:t>Characteristic</w:t>
            </w:r>
          </w:p>
        </w:tc>
        <w:tc>
          <w:tcPr>
            <w:tcW w:w="7335" w:type="dxa"/>
            <w:tcBorders>
              <w:left w:val="single" w:sz="4" w:space="0" w:color="auto"/>
            </w:tcBorders>
          </w:tcPr>
          <w:p w:rsidR="00467FCB" w:rsidRDefault="004C7068" w:rsidP="009D7C7D">
            <w:pPr>
              <w:cnfStyle w:val="100000000000" w:firstRow="1" w:lastRow="0" w:firstColumn="0" w:lastColumn="0" w:oddVBand="0" w:evenVBand="0" w:oddHBand="0" w:evenHBand="0" w:firstRowFirstColumn="0" w:firstRowLastColumn="0" w:lastRowFirstColumn="0" w:lastRowLastColumn="0"/>
            </w:pPr>
            <w:r>
              <w:t>Statistics</w:t>
            </w:r>
          </w:p>
        </w:tc>
      </w:tr>
      <w:tr w:rsidR="00467FCB" w:rsidTr="00467FCB">
        <w:tc>
          <w:tcPr>
            <w:cnfStyle w:val="001000000000" w:firstRow="0" w:lastRow="0" w:firstColumn="1" w:lastColumn="0" w:oddVBand="0" w:evenVBand="0" w:oddHBand="0" w:evenHBand="0" w:firstRowFirstColumn="0" w:firstRowLastColumn="0" w:lastRowFirstColumn="0" w:lastRowLastColumn="0"/>
            <w:tcW w:w="1951" w:type="dxa"/>
          </w:tcPr>
          <w:p w:rsidR="00467FCB" w:rsidRDefault="00467FCB" w:rsidP="009D7C7D">
            <w:r>
              <w:t>Age</w:t>
            </w:r>
          </w:p>
        </w:tc>
        <w:tc>
          <w:tcPr>
            <w:tcW w:w="7335" w:type="dxa"/>
          </w:tcPr>
          <w:p w:rsidR="00467FCB" w:rsidRDefault="00467FCB" w:rsidP="009D7C7D">
            <w:pPr>
              <w:cnfStyle w:val="000000000000" w:firstRow="0" w:lastRow="0" w:firstColumn="0" w:lastColumn="0" w:oddVBand="0" w:evenVBand="0" w:oddHBand="0" w:evenHBand="0" w:firstRowFirstColumn="0" w:firstRowLastColumn="0" w:lastRowFirstColumn="0" w:lastRowLastColumn="0"/>
            </w:pPr>
            <w:r>
              <w:t>Mean: 7.5 years. Median: 3 years. Range: 2-9 years</w:t>
            </w:r>
          </w:p>
        </w:tc>
      </w:tr>
      <w:tr w:rsidR="00467FCB" w:rsidTr="00467FCB">
        <w:tc>
          <w:tcPr>
            <w:cnfStyle w:val="001000000000" w:firstRow="0" w:lastRow="0" w:firstColumn="1" w:lastColumn="0" w:oddVBand="0" w:evenVBand="0" w:oddHBand="0" w:evenHBand="0" w:firstRowFirstColumn="0" w:firstRowLastColumn="0" w:lastRowFirstColumn="0" w:lastRowLastColumn="0"/>
            <w:tcW w:w="1951" w:type="dxa"/>
          </w:tcPr>
          <w:p w:rsidR="00467FCB" w:rsidRDefault="00467FCB" w:rsidP="009D7C7D">
            <w:r>
              <w:t>Sex</w:t>
            </w:r>
          </w:p>
        </w:tc>
        <w:tc>
          <w:tcPr>
            <w:tcW w:w="7335" w:type="dxa"/>
          </w:tcPr>
          <w:p w:rsidR="00467FCB" w:rsidRDefault="00467FCB" w:rsidP="009D7C7D">
            <w:pPr>
              <w:cnfStyle w:val="000000000000" w:firstRow="0" w:lastRow="0" w:firstColumn="0" w:lastColumn="0" w:oddVBand="0" w:evenVBand="0" w:oddHBand="0" w:evenHBand="0" w:firstRowFirstColumn="0" w:firstRowLastColumn="0" w:lastRowFirstColumn="0" w:lastRowLastColumn="0"/>
            </w:pPr>
            <w:r>
              <w:t>Male: 2 cases. Female: 3 cases. Unknown: 1 case</w:t>
            </w:r>
          </w:p>
        </w:tc>
      </w:tr>
      <w:tr w:rsidR="00467FCB" w:rsidTr="00467FCB">
        <w:tc>
          <w:tcPr>
            <w:cnfStyle w:val="001000000000" w:firstRow="0" w:lastRow="0" w:firstColumn="1" w:lastColumn="0" w:oddVBand="0" w:evenVBand="0" w:oddHBand="0" w:evenHBand="0" w:firstRowFirstColumn="0" w:firstRowLastColumn="0" w:lastRowFirstColumn="0" w:lastRowLastColumn="0"/>
            <w:tcW w:w="1951" w:type="dxa"/>
          </w:tcPr>
          <w:p w:rsidR="00467FCB" w:rsidRDefault="00467FCB" w:rsidP="009D7C7D">
            <w:r>
              <w:t>Report year</w:t>
            </w:r>
          </w:p>
        </w:tc>
        <w:tc>
          <w:tcPr>
            <w:tcW w:w="7335" w:type="dxa"/>
          </w:tcPr>
          <w:p w:rsidR="00467FCB" w:rsidRDefault="00467FCB" w:rsidP="009D7C7D">
            <w:pPr>
              <w:cnfStyle w:val="000000000000" w:firstRow="0" w:lastRow="0" w:firstColumn="0" w:lastColumn="0" w:oddVBand="0" w:evenVBand="0" w:oddHBand="0" w:evenHBand="0" w:firstRowFirstColumn="0" w:firstRowLastColumn="0" w:lastRowFirstColumn="0" w:lastRowLastColumn="0"/>
            </w:pPr>
            <w:r>
              <w:t>2003: 1 case. 2005: 1 case. 2006: 1 case. 2010: 2 cases. Unknown: 1 case</w:t>
            </w:r>
          </w:p>
        </w:tc>
      </w:tr>
      <w:tr w:rsidR="00467FCB" w:rsidTr="00467FCB">
        <w:tc>
          <w:tcPr>
            <w:cnfStyle w:val="001000000000" w:firstRow="0" w:lastRow="0" w:firstColumn="1" w:lastColumn="0" w:oddVBand="0" w:evenVBand="0" w:oddHBand="0" w:evenHBand="0" w:firstRowFirstColumn="0" w:firstRowLastColumn="0" w:lastRowFirstColumn="0" w:lastRowLastColumn="0"/>
            <w:tcW w:w="1951" w:type="dxa"/>
          </w:tcPr>
          <w:p w:rsidR="00467FCB" w:rsidRDefault="00467FCB" w:rsidP="009D7C7D">
            <w:r>
              <w:t>Country of occurrence</w:t>
            </w:r>
          </w:p>
        </w:tc>
        <w:tc>
          <w:tcPr>
            <w:tcW w:w="7335" w:type="dxa"/>
          </w:tcPr>
          <w:p w:rsidR="00467FCB" w:rsidRDefault="00467FCB" w:rsidP="009D7C7D">
            <w:pPr>
              <w:cnfStyle w:val="000000000000" w:firstRow="0" w:lastRow="0" w:firstColumn="0" w:lastColumn="0" w:oddVBand="0" w:evenVBand="0" w:oddHBand="0" w:evenHBand="0" w:firstRowFirstColumn="0" w:firstRowLastColumn="0" w:lastRowFirstColumn="0" w:lastRowLastColumn="0"/>
            </w:pPr>
            <w:r>
              <w:t>United States: 4 cases. Foreign: 1 case. Unknown: 1 case</w:t>
            </w:r>
          </w:p>
        </w:tc>
      </w:tr>
      <w:tr w:rsidR="00467FCB" w:rsidTr="00467FCB">
        <w:tc>
          <w:tcPr>
            <w:cnfStyle w:val="001000000000" w:firstRow="0" w:lastRow="0" w:firstColumn="1" w:lastColumn="0" w:oddVBand="0" w:evenVBand="0" w:oddHBand="0" w:evenHBand="0" w:firstRowFirstColumn="0" w:firstRowLastColumn="0" w:lastRowFirstColumn="0" w:lastRowLastColumn="0"/>
            <w:tcW w:w="1951" w:type="dxa"/>
          </w:tcPr>
          <w:p w:rsidR="00467FCB" w:rsidRDefault="00467FCB" w:rsidP="009D7C7D">
            <w:r>
              <w:t>Report type</w:t>
            </w:r>
          </w:p>
        </w:tc>
        <w:tc>
          <w:tcPr>
            <w:tcW w:w="7335" w:type="dxa"/>
          </w:tcPr>
          <w:p w:rsidR="00467FCB" w:rsidRDefault="00467FCB" w:rsidP="009D7C7D">
            <w:pPr>
              <w:cnfStyle w:val="000000000000" w:firstRow="0" w:lastRow="0" w:firstColumn="0" w:lastColumn="0" w:oddVBand="0" w:evenVBand="0" w:oddHBand="0" w:evenHBand="0" w:firstRowFirstColumn="0" w:firstRowLastColumn="0" w:lastRowFirstColumn="0" w:lastRowLastColumn="0"/>
            </w:pPr>
            <w:r>
              <w:t>Expedited: all 6 cases</w:t>
            </w:r>
          </w:p>
        </w:tc>
      </w:tr>
      <w:tr w:rsidR="00467FCB" w:rsidTr="00467FCB">
        <w:tc>
          <w:tcPr>
            <w:cnfStyle w:val="001000000000" w:firstRow="0" w:lastRow="0" w:firstColumn="1" w:lastColumn="0" w:oddVBand="0" w:evenVBand="0" w:oddHBand="0" w:evenHBand="0" w:firstRowFirstColumn="0" w:firstRowLastColumn="0" w:lastRowFirstColumn="0" w:lastRowLastColumn="0"/>
            <w:tcW w:w="1951" w:type="dxa"/>
          </w:tcPr>
          <w:p w:rsidR="00467FCB" w:rsidRDefault="00467FCB" w:rsidP="009D7C7D">
            <w:r>
              <w:t>Indication for use</w:t>
            </w:r>
          </w:p>
        </w:tc>
        <w:tc>
          <w:tcPr>
            <w:tcW w:w="7335" w:type="dxa"/>
          </w:tcPr>
          <w:p w:rsidR="00467FCB" w:rsidRDefault="00467FCB" w:rsidP="009D7C7D">
            <w:pPr>
              <w:cnfStyle w:val="000000000000" w:firstRow="0" w:lastRow="0" w:firstColumn="0" w:lastColumn="0" w:oddVBand="0" w:evenVBand="0" w:oddHBand="0" w:evenHBand="0" w:firstRowFirstColumn="0" w:firstRowLastColumn="0" w:lastRowFirstColumn="0" w:lastRowLastColumn="0"/>
            </w:pPr>
            <w:r>
              <w:t xml:space="preserve">Pain post </w:t>
            </w:r>
            <w:proofErr w:type="spellStart"/>
            <w:r>
              <w:t>adenotonsillectomy</w:t>
            </w:r>
            <w:proofErr w:type="spellEnd"/>
            <w:r>
              <w:t>: 3 cases. Oral aphthae: 1 case. Cough: 1 case. Unknown: 1 case</w:t>
            </w:r>
          </w:p>
        </w:tc>
      </w:tr>
      <w:tr w:rsidR="00467FCB" w:rsidTr="00467FCB">
        <w:tc>
          <w:tcPr>
            <w:cnfStyle w:val="001000000000" w:firstRow="0" w:lastRow="0" w:firstColumn="1" w:lastColumn="0" w:oddVBand="0" w:evenVBand="0" w:oddHBand="0" w:evenHBand="0" w:firstRowFirstColumn="0" w:firstRowLastColumn="0" w:lastRowFirstColumn="0" w:lastRowLastColumn="0"/>
            <w:tcW w:w="1951" w:type="dxa"/>
          </w:tcPr>
          <w:p w:rsidR="00467FCB" w:rsidRDefault="00467FCB" w:rsidP="009D7C7D">
            <w:r>
              <w:t>Dose (reported in 3/6 cases)</w:t>
            </w:r>
          </w:p>
        </w:tc>
        <w:tc>
          <w:tcPr>
            <w:tcW w:w="7335" w:type="dxa"/>
          </w:tcPr>
          <w:p w:rsidR="00467FCB" w:rsidRDefault="00467FCB" w:rsidP="009D7C7D">
            <w:pPr>
              <w:cnfStyle w:val="000000000000" w:firstRow="0" w:lastRow="0" w:firstColumn="0" w:lastColumn="0" w:oddVBand="0" w:evenVBand="0" w:oddHBand="0" w:evenHBand="0" w:firstRowFirstColumn="0" w:firstRowLastColumn="0" w:lastRowFirstColumn="0" w:lastRowLastColumn="0"/>
            </w:pPr>
            <w:r>
              <w:t>Mean: 0.6 mg/kg/dose. Range: 0.4-1 mg/kg/dose</w:t>
            </w:r>
          </w:p>
        </w:tc>
      </w:tr>
      <w:tr w:rsidR="00467FCB" w:rsidTr="00467FCB">
        <w:tc>
          <w:tcPr>
            <w:cnfStyle w:val="001000000000" w:firstRow="0" w:lastRow="0" w:firstColumn="1" w:lastColumn="0" w:oddVBand="0" w:evenVBand="0" w:oddHBand="0" w:evenHBand="0" w:firstRowFirstColumn="0" w:firstRowLastColumn="0" w:lastRowFirstColumn="0" w:lastRowLastColumn="0"/>
            <w:tcW w:w="1951" w:type="dxa"/>
          </w:tcPr>
          <w:p w:rsidR="00467FCB" w:rsidRDefault="00467FCB" w:rsidP="009D7C7D">
            <w:r>
              <w:t>Time to onset (reported in 5/6 cases)</w:t>
            </w:r>
          </w:p>
        </w:tc>
        <w:tc>
          <w:tcPr>
            <w:tcW w:w="7335" w:type="dxa"/>
          </w:tcPr>
          <w:p w:rsidR="00467FCB" w:rsidRDefault="00467FCB" w:rsidP="009D7C7D">
            <w:pPr>
              <w:cnfStyle w:val="000000000000" w:firstRow="0" w:lastRow="0" w:firstColumn="0" w:lastColumn="0" w:oddVBand="0" w:evenVBand="0" w:oddHBand="0" w:evenHBand="0" w:firstRowFirstColumn="0" w:firstRowLastColumn="0" w:lastRowFirstColumn="0" w:lastRowLastColumn="0"/>
            </w:pPr>
            <w:r>
              <w:t>Mean: 39 hours. Median: 48 hours. Range: 1-48 hours</w:t>
            </w:r>
          </w:p>
        </w:tc>
      </w:tr>
    </w:tbl>
    <w:p w:rsidR="00C8600C" w:rsidRPr="004015D9" w:rsidRDefault="004C7068" w:rsidP="00874C21">
      <w:pPr>
        <w:pStyle w:val="Tabledescription"/>
      </w:pPr>
      <w:r>
        <w:t>Table 2 has been a</w:t>
      </w:r>
      <w:r w:rsidR="00C8600C" w:rsidRPr="00C82EB9">
        <w:t>dapted from</w:t>
      </w:r>
      <w:r w:rsidR="00C8600C">
        <w:t xml:space="preserve"> </w:t>
      </w:r>
      <w:r>
        <w:t xml:space="preserve">an FDA </w:t>
      </w:r>
      <w:proofErr w:type="spellStart"/>
      <w:r w:rsidRPr="00C82EB9">
        <w:t>Pediatric</w:t>
      </w:r>
      <w:proofErr w:type="spellEnd"/>
      <w:r w:rsidRPr="00C82EB9">
        <w:t xml:space="preserve"> Adviso</w:t>
      </w:r>
      <w:r>
        <w:t xml:space="preserve">ry Committee briefing document titled </w:t>
      </w:r>
      <w:r w:rsidR="00C8600C" w:rsidRPr="0034281B">
        <w:rPr>
          <w:i/>
        </w:rPr>
        <w:t xml:space="preserve">Death and respiratory </w:t>
      </w:r>
      <w:r w:rsidR="00C8600C" w:rsidRPr="004015D9">
        <w:rPr>
          <w:i/>
        </w:rPr>
        <w:t>arrest related to ultra-rapid metabolism of codeine to morphine</w:t>
      </w:r>
      <w:r w:rsidR="00874C21">
        <w:t>.</w:t>
      </w:r>
      <w:r w:rsidRPr="00874C21">
        <w:rPr>
          <w:vertAlign w:val="superscript"/>
        </w:rPr>
        <w:fldChar w:fldCharType="begin"/>
      </w:r>
      <w:r w:rsidRPr="00874C21">
        <w:rPr>
          <w:vertAlign w:val="superscript"/>
        </w:rPr>
        <w:instrText xml:space="preserve"> NOTEREF _Ref360185632 \f \h </w:instrText>
      </w:r>
      <w:r w:rsidR="00B45C47" w:rsidRPr="00874C21">
        <w:rPr>
          <w:vertAlign w:val="superscript"/>
        </w:rPr>
        <w:instrText xml:space="preserve"> \* MERGEFORMAT </w:instrText>
      </w:r>
      <w:r w:rsidRPr="00874C21">
        <w:rPr>
          <w:vertAlign w:val="superscript"/>
        </w:rPr>
      </w:r>
      <w:r w:rsidRPr="00874C21">
        <w:rPr>
          <w:vertAlign w:val="superscript"/>
        </w:rPr>
        <w:fldChar w:fldCharType="separate"/>
      </w:r>
      <w:r w:rsidR="00CC0E48" w:rsidRPr="00874C21">
        <w:rPr>
          <w:vertAlign w:val="superscript"/>
        </w:rPr>
        <w:t>11</w:t>
      </w:r>
      <w:r w:rsidRPr="00874C21">
        <w:rPr>
          <w:vertAlign w:val="superscript"/>
        </w:rPr>
        <w:fldChar w:fldCharType="end"/>
      </w:r>
    </w:p>
    <w:p w:rsidR="003800B4" w:rsidRPr="00D54842" w:rsidRDefault="003800B4" w:rsidP="008337EF">
      <w:r w:rsidRPr="004015D9">
        <w:t xml:space="preserve">The remaining </w:t>
      </w:r>
      <w:r w:rsidR="002D018E" w:rsidRPr="004015D9">
        <w:t xml:space="preserve">seven </w:t>
      </w:r>
      <w:r w:rsidRPr="004015D9">
        <w:t>of the 13 cases identified in the FDA’s AERS database were also described in the medical literature (across four articles)</w:t>
      </w:r>
      <w:bookmarkStart w:id="38" w:name="_Ref386794812"/>
      <w:bookmarkStart w:id="39" w:name="_Ref386796058"/>
      <w:r w:rsidRPr="004015D9">
        <w:rPr>
          <w:vertAlign w:val="superscript"/>
        </w:rPr>
        <w:endnoteReference w:id="15"/>
      </w:r>
      <w:bookmarkEnd w:id="38"/>
      <w:bookmarkEnd w:id="39"/>
      <w:r w:rsidRPr="004015D9">
        <w:rPr>
          <w:vertAlign w:val="superscript"/>
        </w:rPr>
        <w:t>,</w:t>
      </w:r>
      <w:bookmarkStart w:id="40" w:name="_Ref386794823"/>
      <w:r w:rsidRPr="004015D9">
        <w:rPr>
          <w:vertAlign w:val="superscript"/>
        </w:rPr>
        <w:endnoteReference w:id="16"/>
      </w:r>
      <w:bookmarkEnd w:id="40"/>
      <w:r w:rsidRPr="004015D9">
        <w:rPr>
          <w:vertAlign w:val="superscript"/>
        </w:rPr>
        <w:t>,</w:t>
      </w:r>
      <w:bookmarkStart w:id="41" w:name="_Ref386794829"/>
      <w:r w:rsidRPr="004015D9">
        <w:rPr>
          <w:vertAlign w:val="superscript"/>
        </w:rPr>
        <w:endnoteReference w:id="17"/>
      </w:r>
      <w:bookmarkEnd w:id="41"/>
      <w:r w:rsidRPr="004015D9">
        <w:rPr>
          <w:vertAlign w:val="superscript"/>
        </w:rPr>
        <w:t>,</w:t>
      </w:r>
      <w:bookmarkStart w:id="42" w:name="_Ref386795873"/>
      <w:r w:rsidRPr="004015D9">
        <w:rPr>
          <w:vertAlign w:val="superscript"/>
        </w:rPr>
        <w:endnoteReference w:id="18"/>
      </w:r>
      <w:bookmarkEnd w:id="42"/>
      <w:r w:rsidRPr="004015D9">
        <w:t xml:space="preserve"> and the details of these cases are described in Appendix </w:t>
      </w:r>
      <w:r w:rsidR="00DD16CA" w:rsidRPr="004015D9">
        <w:t>1</w:t>
      </w:r>
      <w:r w:rsidRPr="004015D9">
        <w:t xml:space="preserve">. </w:t>
      </w:r>
      <w:r w:rsidR="004C7068" w:rsidRPr="004015D9">
        <w:t>CYP2D6 metaboliser status (</w:t>
      </w:r>
      <w:r w:rsidRPr="004015D9">
        <w:t>based on genotype</w:t>
      </w:r>
      <w:r w:rsidR="004C7068" w:rsidRPr="004015D9">
        <w:t>)</w:t>
      </w:r>
      <w:r w:rsidRPr="004015D9">
        <w:t xml:space="preserve"> in four of the seven children was found to be </w:t>
      </w:r>
      <w:r w:rsidR="004C7068" w:rsidRPr="004015D9">
        <w:t>UM</w:t>
      </w:r>
      <w:r w:rsidRPr="004015D9">
        <w:t>, whilst the other three were</w:t>
      </w:r>
      <w:r w:rsidR="004C7068" w:rsidRPr="004015D9">
        <w:t xml:space="preserve"> EM</w:t>
      </w:r>
      <w:r w:rsidRPr="004015D9">
        <w:t>. The presence of patients with genotypes</w:t>
      </w:r>
      <w:r w:rsidR="004C7068" w:rsidRPr="004015D9">
        <w:t xml:space="preserve"> expected to be associated with EM</w:t>
      </w:r>
      <w:r w:rsidRPr="004015D9">
        <w:t xml:space="preserve"> in this group of cases of deaths illustrates that the CYP2D6 phenotypes can’t be fully predicted from CYP2D6 genotypes. Overlap of the EM</w:t>
      </w:r>
      <w:r w:rsidR="004C7068" w:rsidRPr="004015D9">
        <w:t>-predictive</w:t>
      </w:r>
      <w:r w:rsidRPr="004015D9">
        <w:t xml:space="preserve"> genotype with the UM phenotype may result in underestimation of the true prevalence of </w:t>
      </w:r>
      <w:r w:rsidR="004C7068" w:rsidRPr="004015D9">
        <w:t>ultra-rapid metabolism</w:t>
      </w:r>
      <w:r w:rsidRPr="004015D9">
        <w:t xml:space="preserve"> in the community.</w:t>
      </w:r>
    </w:p>
    <w:p w:rsidR="003800B4" w:rsidRPr="00D54842" w:rsidRDefault="003800B4" w:rsidP="008337EF">
      <w:r>
        <w:lastRenderedPageBreak/>
        <w:t xml:space="preserve">Overall, the patients described in the cases identified in the FDA’s AERS database search ranged in age from 21 months to </w:t>
      </w:r>
      <w:r w:rsidR="00C00B47">
        <w:t xml:space="preserve">nine </w:t>
      </w:r>
      <w:r>
        <w:t xml:space="preserve">years. Eleven of the </w:t>
      </w:r>
      <w:r w:rsidR="00C00B47">
        <w:t xml:space="preserve">13 </w:t>
      </w:r>
      <w:r>
        <w:t xml:space="preserve">cases occurred in the setting of </w:t>
      </w:r>
      <w:proofErr w:type="spellStart"/>
      <w:r>
        <w:t>adenotonsillectomy</w:t>
      </w:r>
      <w:proofErr w:type="spellEnd"/>
      <w:r>
        <w:t xml:space="preserve"> (8 cases) or respiratory tract infection (3 cases), and most of them also appeared to involve appropriate doses of codeine. </w:t>
      </w:r>
      <w:r w:rsidRPr="00BC2153">
        <w:t>The FDA review of the AERS database did not identify rob</w:t>
      </w:r>
      <w:r>
        <w:t>ust cases of unexplainable or non-</w:t>
      </w:r>
      <w:r w:rsidRPr="00BC2153">
        <w:t>confounded death or opioid toxicity following use of oxycodone, hydrocodone, or morphine in p</w:t>
      </w:r>
      <w:r>
        <w:t>a</w:t>
      </w:r>
      <w:r w:rsidRPr="00BC2153">
        <w:t>ediatric patients.</w:t>
      </w:r>
      <w:r w:rsidRPr="00BC2153">
        <w:rPr>
          <w:vertAlign w:val="superscript"/>
        </w:rPr>
        <w:fldChar w:fldCharType="begin"/>
      </w:r>
      <w:r w:rsidRPr="00BC2153">
        <w:rPr>
          <w:vertAlign w:val="superscript"/>
        </w:rPr>
        <w:instrText xml:space="preserve"> NOTEREF _Ref360184671 \h  \* MERGEFORMAT </w:instrText>
      </w:r>
      <w:r w:rsidRPr="00BC2153">
        <w:rPr>
          <w:vertAlign w:val="superscript"/>
        </w:rPr>
      </w:r>
      <w:r w:rsidRPr="00BC2153">
        <w:rPr>
          <w:vertAlign w:val="superscript"/>
        </w:rPr>
        <w:fldChar w:fldCharType="separate"/>
      </w:r>
      <w:r w:rsidR="00CC0E48">
        <w:rPr>
          <w:vertAlign w:val="superscript"/>
        </w:rPr>
        <w:t>11</w:t>
      </w:r>
      <w:r w:rsidRPr="00BC2153">
        <w:rPr>
          <w:vertAlign w:val="superscript"/>
        </w:rPr>
        <w:fldChar w:fldCharType="end"/>
      </w:r>
    </w:p>
    <w:p w:rsidR="003800B4" w:rsidRDefault="003800B4" w:rsidP="008337EF">
      <w:r>
        <w:t>In</w:t>
      </w:r>
      <w:r w:rsidRPr="00BC2153">
        <w:t xml:space="preserve"> late 2011, the Patient Safety and Quality Improvement Committee of the American Academy of Otolaryngology – Hea</w:t>
      </w:r>
      <w:r>
        <w:t>d</w:t>
      </w:r>
      <w:r w:rsidR="00C8600C">
        <w:t xml:space="preserve"> and Neck Surgery (AAO-HNS) was</w:t>
      </w:r>
      <w:r w:rsidRPr="00BC2153">
        <w:t xml:space="preserve"> also becoming concerned about adverse events, particularly respiratory depression, after </w:t>
      </w:r>
      <w:proofErr w:type="spellStart"/>
      <w:r w:rsidRPr="00BC2153">
        <w:t>adenotonsillectomy</w:t>
      </w:r>
      <w:proofErr w:type="spellEnd"/>
      <w:r w:rsidRPr="00BC2153">
        <w:t>.</w:t>
      </w:r>
      <w:r w:rsidRPr="00BC2153">
        <w:rPr>
          <w:rStyle w:val="EndnoteReference"/>
        </w:rPr>
        <w:endnoteReference w:id="19"/>
      </w:r>
      <w:r>
        <w:t xml:space="preserve"> Their </w:t>
      </w:r>
      <w:r w:rsidRPr="002D3BCD">
        <w:t xml:space="preserve">Patient Safety and Quality Improvement Committee </w:t>
      </w:r>
      <w:r>
        <w:t xml:space="preserve">conducted </w:t>
      </w:r>
      <w:r w:rsidR="00C8600C">
        <w:t>its</w:t>
      </w:r>
      <w:r>
        <w:t xml:space="preserve"> own study </w:t>
      </w:r>
      <w:r w:rsidRPr="002D3BCD">
        <w:t>of mortality and major morbidity following to</w:t>
      </w:r>
      <w:r>
        <w:t>nsillectomy and/or adenoidectomy, the findings of which were also considered by the FDA in their safety review.</w:t>
      </w:r>
      <w:bookmarkStart w:id="43" w:name="_Ref360623469"/>
      <w:r w:rsidRPr="00D13F67">
        <w:rPr>
          <w:vertAlign w:val="superscript"/>
        </w:rPr>
        <w:endnoteReference w:id="20"/>
      </w:r>
      <w:bookmarkEnd w:id="43"/>
      <w:r>
        <w:t xml:space="preserve"> Limited information was available from these </w:t>
      </w:r>
      <w:r w:rsidRPr="002D3BCD">
        <w:t xml:space="preserve">AAO-HNS </w:t>
      </w:r>
      <w:r>
        <w:t xml:space="preserve">cases; however, one 3-year-old patient with obstructive sleep apnoea who died after </w:t>
      </w:r>
      <w:proofErr w:type="spellStart"/>
      <w:r>
        <w:t>adenotonsillectomy</w:t>
      </w:r>
      <w:proofErr w:type="spellEnd"/>
      <w:r>
        <w:t xml:space="preserve"> was confirmed as being an ultra-rapid metaboliser, and one 12-year-old patient with OSA who died after </w:t>
      </w:r>
      <w:proofErr w:type="spellStart"/>
      <w:r>
        <w:t>adenotonsillectomy</w:t>
      </w:r>
      <w:proofErr w:type="spellEnd"/>
      <w:r>
        <w:t xml:space="preserve"> was suspected of being an ultra-rapid metaboliser after high blood morphine lev</w:t>
      </w:r>
      <w:r w:rsidR="00874C21">
        <w:t>els were identified on autopsy.</w:t>
      </w:r>
    </w:p>
    <w:p w:rsidR="003800B4" w:rsidRPr="00D13F67" w:rsidRDefault="003800B4" w:rsidP="008337EF">
      <w:r>
        <w:t>The</w:t>
      </w:r>
      <w:r w:rsidRPr="00D13F67">
        <w:t xml:space="preserve"> AAO-HNS </w:t>
      </w:r>
      <w:r>
        <w:t>study consisted of a survey of their</w:t>
      </w:r>
      <w:r w:rsidRPr="00D13F67">
        <w:t xml:space="preserve"> physician membership regarding </w:t>
      </w:r>
      <w:r>
        <w:t>negative</w:t>
      </w:r>
      <w:r w:rsidRPr="00D13F67">
        <w:t xml:space="preserve"> outcomes following tonsillectomy, such as death or permanent disability.</w:t>
      </w:r>
      <w:r>
        <w:t xml:space="preserve"> Eight</w:t>
      </w:r>
      <w:r w:rsidRPr="00D13F67">
        <w:t xml:space="preserve"> paediatric cases were </w:t>
      </w:r>
      <w:r>
        <w:t>identified</w:t>
      </w:r>
      <w:r w:rsidRPr="00D13F67">
        <w:t xml:space="preserve"> as being related to narcotic medications.</w:t>
      </w:r>
      <w:r w:rsidRPr="00D13F67">
        <w:rPr>
          <w:vertAlign w:val="superscript"/>
        </w:rPr>
        <w:t xml:space="preserve"> </w:t>
      </w:r>
      <w:r w:rsidRPr="00D13F67">
        <w:rPr>
          <w:vertAlign w:val="superscript"/>
        </w:rPr>
        <w:fldChar w:fldCharType="begin"/>
      </w:r>
      <w:r w:rsidRPr="00D13F67">
        <w:rPr>
          <w:vertAlign w:val="superscript"/>
        </w:rPr>
        <w:instrText xml:space="preserve"> NOTEREF _Ref360185632 \h  \* MERGEFORMAT </w:instrText>
      </w:r>
      <w:r w:rsidRPr="00D13F67">
        <w:rPr>
          <w:vertAlign w:val="superscript"/>
        </w:rPr>
      </w:r>
      <w:r w:rsidRPr="00D13F67">
        <w:rPr>
          <w:vertAlign w:val="superscript"/>
        </w:rPr>
        <w:fldChar w:fldCharType="separate"/>
      </w:r>
      <w:r w:rsidR="00CC0E48">
        <w:rPr>
          <w:vertAlign w:val="superscript"/>
        </w:rPr>
        <w:t>11</w:t>
      </w:r>
      <w:r w:rsidRPr="00D13F67">
        <w:fldChar w:fldCharType="end"/>
      </w:r>
      <w:r w:rsidRPr="00D13F67">
        <w:t xml:space="preserve"> These </w:t>
      </w:r>
      <w:r w:rsidR="0043267E">
        <w:t xml:space="preserve">cases </w:t>
      </w:r>
      <w:r w:rsidRPr="00D13F67">
        <w:t>had the following characteristics</w:t>
      </w:r>
      <w:r w:rsidR="0043267E">
        <w:t xml:space="preserve"> recorded</w:t>
      </w:r>
      <w:r w:rsidRPr="00D13F67">
        <w:t>:</w:t>
      </w:r>
    </w:p>
    <w:p w:rsidR="003800B4" w:rsidRPr="00D13F67" w:rsidRDefault="003800B4" w:rsidP="00447E67">
      <w:pPr>
        <w:pStyle w:val="ListBullet"/>
        <w:numPr>
          <w:ilvl w:val="0"/>
          <w:numId w:val="3"/>
        </w:numPr>
        <w:ind w:left="425" w:hanging="425"/>
      </w:pPr>
      <w:r w:rsidRPr="00D13F67">
        <w:t>Indication (8 of 8): OSA (7), chronic tonsillitis (1)</w:t>
      </w:r>
    </w:p>
    <w:p w:rsidR="003800B4" w:rsidRPr="00D13F67" w:rsidRDefault="003800B4" w:rsidP="00447E67">
      <w:pPr>
        <w:pStyle w:val="ListBullet"/>
        <w:numPr>
          <w:ilvl w:val="0"/>
          <w:numId w:val="3"/>
        </w:numPr>
        <w:ind w:left="425" w:hanging="425"/>
      </w:pPr>
      <w:r w:rsidRPr="00D13F67">
        <w:t>Underlying condition (4 of 8): Down’s syndrome (3), neurologic disorder (1)</w:t>
      </w:r>
    </w:p>
    <w:p w:rsidR="003800B4" w:rsidRPr="00D13F67" w:rsidRDefault="003800B4" w:rsidP="00447E67">
      <w:pPr>
        <w:pStyle w:val="ListBullet"/>
        <w:numPr>
          <w:ilvl w:val="0"/>
          <w:numId w:val="3"/>
        </w:numPr>
        <w:ind w:left="425" w:hanging="425"/>
      </w:pPr>
      <w:r w:rsidRPr="00D13F67">
        <w:t>Outcome (8 of 8): deaths (7), anoxic brain injury (1)</w:t>
      </w:r>
    </w:p>
    <w:p w:rsidR="003800B4" w:rsidRDefault="003800B4" w:rsidP="00447E67">
      <w:pPr>
        <w:pStyle w:val="ListBullet"/>
        <w:numPr>
          <w:ilvl w:val="0"/>
          <w:numId w:val="3"/>
        </w:numPr>
        <w:ind w:left="425" w:hanging="425"/>
      </w:pPr>
      <w:r w:rsidRPr="00D13F67">
        <w:t>UM status (2 of 8): suspected due to high morphine levels (1), confirmed in post-mortem exam (1)</w:t>
      </w:r>
    </w:p>
    <w:p w:rsidR="003800B4" w:rsidRPr="00BC2153" w:rsidRDefault="003800B4" w:rsidP="008337EF">
      <w:r>
        <w:t xml:space="preserve">Dispensing patterns were considered by the FDA in order to consider the size of the patient group who may be affected by the risk. </w:t>
      </w:r>
      <w:r w:rsidRPr="00BC2153">
        <w:t xml:space="preserve">Using data </w:t>
      </w:r>
      <w:r w:rsidR="00DD16CA">
        <w:t xml:space="preserve">extracted in September of 2012 </w:t>
      </w:r>
      <w:r w:rsidRPr="00BC2153">
        <w:t>from the Total Patient Tracker</w:t>
      </w:r>
      <w:r w:rsidR="00DD16CA" w:rsidRPr="00DD16CA">
        <w:t xml:space="preserve"> </w:t>
      </w:r>
      <w:r w:rsidR="00DD16CA">
        <w:t>(</w:t>
      </w:r>
      <w:r w:rsidR="004015D9">
        <w:t xml:space="preserve">health </w:t>
      </w:r>
      <w:r w:rsidR="00DD16CA">
        <w:t xml:space="preserve">software made by information technology company </w:t>
      </w:r>
      <w:r w:rsidR="00DD16CA" w:rsidRPr="00BC2153">
        <w:t>IMS Health</w:t>
      </w:r>
      <w:r w:rsidR="00DD16CA">
        <w:t>),</w:t>
      </w:r>
      <w:r w:rsidRPr="00BC2153">
        <w:t xml:space="preserve"> the FDA estimated the number of paediatric patients receiving dispensed opioids in 2011.</w:t>
      </w:r>
      <w:r w:rsidRPr="00BC2153">
        <w:rPr>
          <w:vertAlign w:val="superscript"/>
        </w:rPr>
        <w:fldChar w:fldCharType="begin"/>
      </w:r>
      <w:r w:rsidRPr="00BC2153">
        <w:rPr>
          <w:vertAlign w:val="superscript"/>
        </w:rPr>
        <w:instrText xml:space="preserve"> NOTEREF _Ref360185632 \h  \* MERGEFORMAT </w:instrText>
      </w:r>
      <w:r w:rsidRPr="00BC2153">
        <w:rPr>
          <w:vertAlign w:val="superscript"/>
        </w:rPr>
      </w:r>
      <w:r w:rsidRPr="00BC2153">
        <w:rPr>
          <w:vertAlign w:val="superscript"/>
        </w:rPr>
        <w:fldChar w:fldCharType="separate"/>
      </w:r>
      <w:r w:rsidR="00CC0E48">
        <w:rPr>
          <w:vertAlign w:val="superscript"/>
        </w:rPr>
        <w:t>11</w:t>
      </w:r>
      <w:r w:rsidRPr="00BC2153">
        <w:rPr>
          <w:vertAlign w:val="superscript"/>
        </w:rPr>
        <w:fldChar w:fldCharType="end"/>
      </w:r>
      <w:r w:rsidRPr="00BC2153">
        <w:t xml:space="preserve"> The estimates for codeine usage in conjunction with paracetamol were:</w:t>
      </w:r>
    </w:p>
    <w:p w:rsidR="003800B4" w:rsidRPr="00BC2153" w:rsidRDefault="003800B4" w:rsidP="00447E67">
      <w:pPr>
        <w:pStyle w:val="ListBullet"/>
        <w:numPr>
          <w:ilvl w:val="0"/>
          <w:numId w:val="3"/>
        </w:numPr>
        <w:ind w:left="425" w:hanging="425"/>
      </w:pPr>
      <w:r w:rsidRPr="00BC2153">
        <w:t xml:space="preserve">0-1 year olds </w:t>
      </w:r>
      <w:r w:rsidR="00B861E0" w:rsidRPr="00BC2153">
        <w:t>approx.</w:t>
      </w:r>
      <w:r w:rsidRPr="00BC2153">
        <w:t xml:space="preserve"> 100,000 patients</w:t>
      </w:r>
    </w:p>
    <w:p w:rsidR="003800B4" w:rsidRPr="00BC2153" w:rsidRDefault="003800B4" w:rsidP="00447E67">
      <w:pPr>
        <w:pStyle w:val="ListBullet"/>
        <w:numPr>
          <w:ilvl w:val="0"/>
          <w:numId w:val="3"/>
        </w:numPr>
        <w:ind w:left="425" w:hanging="425"/>
      </w:pPr>
      <w:r w:rsidRPr="00BC2153">
        <w:t xml:space="preserve">2-5 year olds </w:t>
      </w:r>
      <w:r w:rsidR="00B861E0" w:rsidRPr="00BC2153">
        <w:t>approx.</w:t>
      </w:r>
      <w:r w:rsidRPr="00BC2153">
        <w:t xml:space="preserve"> 350,000 patients</w:t>
      </w:r>
    </w:p>
    <w:p w:rsidR="003800B4" w:rsidRPr="00BC2153" w:rsidRDefault="003800B4" w:rsidP="00447E67">
      <w:pPr>
        <w:pStyle w:val="ListBullet"/>
        <w:numPr>
          <w:ilvl w:val="0"/>
          <w:numId w:val="3"/>
        </w:numPr>
        <w:ind w:left="425" w:hanging="425"/>
      </w:pPr>
      <w:r w:rsidRPr="00BC2153">
        <w:t xml:space="preserve">6-10 year olds </w:t>
      </w:r>
      <w:r w:rsidR="00B861E0" w:rsidRPr="00BC2153">
        <w:t>approx.</w:t>
      </w:r>
      <w:r w:rsidRPr="00BC2153">
        <w:t xml:space="preserve"> 500,000 patients</w:t>
      </w:r>
    </w:p>
    <w:p w:rsidR="003800B4" w:rsidRPr="00BC2153" w:rsidRDefault="003800B4" w:rsidP="00447E67">
      <w:pPr>
        <w:pStyle w:val="ListBullet"/>
        <w:numPr>
          <w:ilvl w:val="0"/>
          <w:numId w:val="3"/>
        </w:numPr>
        <w:ind w:left="425" w:hanging="425"/>
      </w:pPr>
      <w:r w:rsidRPr="00BC2153">
        <w:t xml:space="preserve">11-17 year olds </w:t>
      </w:r>
      <w:r w:rsidR="00B861E0" w:rsidRPr="00BC2153">
        <w:t>approx.</w:t>
      </w:r>
      <w:r w:rsidRPr="00BC2153">
        <w:t xml:space="preserve"> 800,000 patients</w:t>
      </w:r>
    </w:p>
    <w:p w:rsidR="003800B4" w:rsidRDefault="003800B4" w:rsidP="008337EF">
      <w:r w:rsidRPr="00BC2153">
        <w:t>The most common code associated with the use of codeine/acetaminophen in all age groups was “Surgery Follow-Up” (ICD-9 code V67.0).</w:t>
      </w:r>
      <w:r>
        <w:t xml:space="preserve"> </w:t>
      </w:r>
      <w:r w:rsidRPr="008A26E6">
        <w:t xml:space="preserve">The most </w:t>
      </w:r>
      <w:r>
        <w:t xml:space="preserve">clearly </w:t>
      </w:r>
      <w:r w:rsidRPr="008A26E6">
        <w:t>documented cases of death or respiratory arrest after codeine treatment in children</w:t>
      </w:r>
      <w:r w:rsidR="004015D9">
        <w:t xml:space="preserve"> with ultra-rapid metabolism </w:t>
      </w:r>
      <w:r w:rsidRPr="008A26E6">
        <w:t>involved patients who had just u</w:t>
      </w:r>
      <w:r w:rsidR="00F759D8">
        <w:t xml:space="preserve">ndergone </w:t>
      </w:r>
      <w:proofErr w:type="spellStart"/>
      <w:r w:rsidR="00F759D8">
        <w:t>adenotonsillectomy</w:t>
      </w:r>
      <w:proofErr w:type="spellEnd"/>
      <w:r w:rsidR="00F759D8">
        <w:t>.</w:t>
      </w:r>
    </w:p>
    <w:p w:rsidR="003800B4" w:rsidRPr="005B6F50" w:rsidRDefault="003800B4" w:rsidP="00CE6EDB">
      <w:pPr>
        <w:pStyle w:val="Heading4"/>
        <w:numPr>
          <w:ilvl w:val="2"/>
          <w:numId w:val="18"/>
        </w:numPr>
      </w:pPr>
      <w:bookmarkStart w:id="44" w:name="_Toc431378930"/>
      <w:bookmarkStart w:id="45" w:name="_Toc431407231"/>
      <w:r w:rsidRPr="005B6F50">
        <w:t xml:space="preserve">FDA </w:t>
      </w:r>
      <w:r w:rsidR="00723A70" w:rsidRPr="005B6F50">
        <w:t xml:space="preserve">decision and </w:t>
      </w:r>
      <w:r w:rsidR="007567E2" w:rsidRPr="005B6F50">
        <w:t>regulatory action</w:t>
      </w:r>
      <w:bookmarkEnd w:id="44"/>
      <w:bookmarkEnd w:id="45"/>
    </w:p>
    <w:p w:rsidR="003800B4" w:rsidRPr="000900A4" w:rsidRDefault="003800B4" w:rsidP="008337EF">
      <w:r w:rsidRPr="000900A4">
        <w:t xml:space="preserve">As a result of </w:t>
      </w:r>
      <w:r>
        <w:t>the FDA safety review, e</w:t>
      </w:r>
      <w:r w:rsidRPr="000900A4">
        <w:t>xtensive labelling changes for all codeine</w:t>
      </w:r>
      <w:r>
        <w:t>-containing products in the USA were undertaken</w:t>
      </w:r>
      <w:r w:rsidRPr="000900A4">
        <w:t>, with additional labelling</w:t>
      </w:r>
      <w:r>
        <w:t xml:space="preserve"> changes</w:t>
      </w:r>
      <w:r w:rsidRPr="000900A4">
        <w:t xml:space="preserve"> to reinforce the previously noted </w:t>
      </w:r>
      <w:r>
        <w:t xml:space="preserve">FDA </w:t>
      </w:r>
      <w:r w:rsidRPr="000900A4">
        <w:t>concerns over codeine use in breastfeeding mothers.</w:t>
      </w:r>
      <w:r>
        <w:t xml:space="preserve"> The changes were </w:t>
      </w:r>
      <w:r>
        <w:lastRenderedPageBreak/>
        <w:t>applied</w:t>
      </w:r>
      <w:r w:rsidRPr="0028086C">
        <w:t xml:space="preserve"> to all</w:t>
      </w:r>
      <w:r>
        <w:t xml:space="preserve"> codeine-</w:t>
      </w:r>
      <w:r w:rsidRPr="0028086C">
        <w:t>containing products regardless of</w:t>
      </w:r>
      <w:r w:rsidR="00212FE1">
        <w:t xml:space="preserve"> indication (pain, cough/cold), and </w:t>
      </w:r>
      <w:r w:rsidR="00537C8C">
        <w:t>can be</w:t>
      </w:r>
      <w:r>
        <w:t xml:space="preserve"> summarise</w:t>
      </w:r>
      <w:r w:rsidR="003711B3">
        <w:t>d as follows.</w:t>
      </w:r>
    </w:p>
    <w:p w:rsidR="003800B4" w:rsidRPr="0028086C" w:rsidRDefault="003800B4" w:rsidP="001E280D">
      <w:pPr>
        <w:pStyle w:val="Numberbullet0"/>
        <w:numPr>
          <w:ilvl w:val="0"/>
          <w:numId w:val="37"/>
        </w:numPr>
        <w:ind w:left="425" w:hanging="425"/>
      </w:pPr>
      <w:r w:rsidRPr="0028086C">
        <w:t xml:space="preserve">The addition of a Boxed Warning regarding </w:t>
      </w:r>
      <w:r w:rsidR="004015D9">
        <w:t>ultra-rapid</w:t>
      </w:r>
      <w:r w:rsidRPr="0028086C">
        <w:t xml:space="preserve"> metabolism:</w:t>
      </w:r>
    </w:p>
    <w:p w:rsidR="003800B4" w:rsidRPr="003711B3" w:rsidRDefault="003800B4" w:rsidP="003711B3">
      <w:pPr>
        <w:pStyle w:val="Numberbullet0"/>
        <w:numPr>
          <w:ilvl w:val="0"/>
          <w:numId w:val="0"/>
        </w:numPr>
        <w:ind w:left="720"/>
        <w:rPr>
          <w:sz w:val="20"/>
        </w:rPr>
      </w:pPr>
      <w:r w:rsidRPr="003711B3">
        <w:rPr>
          <w:sz w:val="20"/>
        </w:rPr>
        <w:t xml:space="preserve">“WARNING: Death Related to Ultra-Rapid Metabolism of Codeine to Morphine: Respiratory depression and death have occurred in children who received codeine following tonsillectomy and/or adenoidectomy and had evidence of being ultra-rapid </w:t>
      </w:r>
      <w:r w:rsidR="00D97CBD" w:rsidRPr="003711B3">
        <w:rPr>
          <w:sz w:val="20"/>
        </w:rPr>
        <w:t>metabolisers</w:t>
      </w:r>
      <w:r w:rsidRPr="003711B3">
        <w:rPr>
          <w:sz w:val="20"/>
        </w:rPr>
        <w:t xml:space="preserve"> of codeine due to a CYP2D6 polymorphism.”</w:t>
      </w:r>
    </w:p>
    <w:p w:rsidR="003800B4" w:rsidRPr="0028086C" w:rsidRDefault="003800B4" w:rsidP="001E280D">
      <w:pPr>
        <w:pStyle w:val="Numberbullet0"/>
        <w:numPr>
          <w:ilvl w:val="0"/>
          <w:numId w:val="37"/>
        </w:numPr>
        <w:ind w:left="425" w:hanging="425"/>
      </w:pPr>
      <w:r w:rsidRPr="0028086C">
        <w:t>A new contraindication for codeine use in children post- ton</w:t>
      </w:r>
      <w:r w:rsidR="003711B3">
        <w:t>sillectomy and/or adenoidectomy:</w:t>
      </w:r>
    </w:p>
    <w:p w:rsidR="003800B4" w:rsidRPr="003711B3" w:rsidRDefault="003800B4" w:rsidP="003711B3">
      <w:pPr>
        <w:pStyle w:val="Numberbullet0"/>
        <w:numPr>
          <w:ilvl w:val="0"/>
          <w:numId w:val="0"/>
        </w:numPr>
        <w:ind w:left="720"/>
        <w:rPr>
          <w:sz w:val="20"/>
        </w:rPr>
      </w:pPr>
      <w:r w:rsidRPr="003711B3">
        <w:rPr>
          <w:sz w:val="20"/>
        </w:rPr>
        <w:t>“Codeine-containing products are contraindicated for postoperative pain management in children who have undergone tonsillectomy and/or adenoidectomy.”</w:t>
      </w:r>
    </w:p>
    <w:p w:rsidR="003800B4" w:rsidRDefault="003800B4" w:rsidP="001E280D">
      <w:pPr>
        <w:pStyle w:val="Numberbullet0"/>
        <w:numPr>
          <w:ilvl w:val="0"/>
          <w:numId w:val="37"/>
        </w:numPr>
        <w:ind w:left="425" w:hanging="425"/>
      </w:pPr>
      <w:r w:rsidRPr="0028086C">
        <w:t xml:space="preserve">Modifications to Warnings, </w:t>
      </w:r>
      <w:proofErr w:type="spellStart"/>
      <w:r w:rsidRPr="0028086C">
        <w:t>Pediatric</w:t>
      </w:r>
      <w:proofErr w:type="spellEnd"/>
      <w:r w:rsidRPr="0028086C">
        <w:t xml:space="preserve"> Use, Patient Counselling Information sections of the labelling documents. These sections discuss rapid metabolisers, the above mentioned warnings in children for tonsillectomy and/or adenoidectomy and the risks o</w:t>
      </w:r>
      <w:r w:rsidR="00F759D8">
        <w:t>f use in breastfeeding mothers.</w:t>
      </w:r>
    </w:p>
    <w:p w:rsidR="003800B4" w:rsidRPr="008A26E6" w:rsidRDefault="003800B4" w:rsidP="008337EF">
      <w:r w:rsidRPr="008A26E6">
        <w:t>Routine genotyping prior to receiving codeine was considered but not recommended by the</w:t>
      </w:r>
      <w:r w:rsidR="003711B3">
        <w:t xml:space="preserve"> FDA review for several reasons.</w:t>
      </w:r>
    </w:p>
    <w:p w:rsidR="003800B4" w:rsidRPr="008A26E6" w:rsidRDefault="003800B4" w:rsidP="00602915">
      <w:pPr>
        <w:pStyle w:val="ListBullet"/>
        <w:numPr>
          <w:ilvl w:val="0"/>
          <w:numId w:val="3"/>
        </w:numPr>
        <w:ind w:left="425" w:hanging="425"/>
      </w:pPr>
      <w:r w:rsidRPr="008A26E6">
        <w:t>Extensive metabolisers (EM) may, in some cases, convert codeine to morphine at levels similar t</w:t>
      </w:r>
      <w:r w:rsidR="003711B3">
        <w:t>o ultra-rapid metabolisers (UM).</w:t>
      </w:r>
    </w:p>
    <w:p w:rsidR="003800B4" w:rsidRPr="008A26E6" w:rsidRDefault="003800B4" w:rsidP="00602915">
      <w:pPr>
        <w:pStyle w:val="ListBullet"/>
        <w:numPr>
          <w:ilvl w:val="0"/>
          <w:numId w:val="3"/>
        </w:numPr>
        <w:ind w:left="425" w:hanging="425"/>
      </w:pPr>
      <w:r w:rsidRPr="008A26E6">
        <w:t>The positive predictive value of the test is likely low, thus the number needed to screen in order to</w:t>
      </w:r>
      <w:r w:rsidR="003711B3">
        <w:t xml:space="preserve"> prevent one event is very hig</w:t>
      </w:r>
      <w:r w:rsidR="00F759D8">
        <w:t>h.</w:t>
      </w:r>
    </w:p>
    <w:p w:rsidR="003800B4" w:rsidRPr="008A26E6" w:rsidRDefault="003800B4" w:rsidP="00602915">
      <w:pPr>
        <w:pStyle w:val="ListBullet"/>
        <w:numPr>
          <w:ilvl w:val="0"/>
          <w:numId w:val="3"/>
        </w:numPr>
        <w:ind w:left="425" w:hanging="425"/>
      </w:pPr>
      <w:r w:rsidRPr="008A26E6">
        <w:t xml:space="preserve">Genotyping may be difficult to implement because preoperative lab tests are not routinely obtained before </w:t>
      </w:r>
      <w:proofErr w:type="spellStart"/>
      <w:r w:rsidRPr="008A26E6">
        <w:t>adenotonsillectomy</w:t>
      </w:r>
      <w:proofErr w:type="spellEnd"/>
      <w:r w:rsidRPr="008A26E6">
        <w:t>.</w:t>
      </w:r>
    </w:p>
    <w:p w:rsidR="003800B4" w:rsidRPr="00BC2153" w:rsidRDefault="00FA6499" w:rsidP="008337EF">
      <w:r>
        <w:t>Following notification from the FDA, o</w:t>
      </w:r>
      <w:r w:rsidR="003800B4" w:rsidRPr="00BC2153">
        <w:t xml:space="preserve">ther international medicine safety regulators have carried out reviews of this issue, and taken </w:t>
      </w:r>
      <w:r>
        <w:t xml:space="preserve">action as </w:t>
      </w:r>
      <w:r w:rsidR="003800B4">
        <w:t>outlined below.</w:t>
      </w:r>
    </w:p>
    <w:p w:rsidR="003800B4" w:rsidRPr="004015D9" w:rsidRDefault="003800B4" w:rsidP="00CE6EDB">
      <w:pPr>
        <w:pStyle w:val="Heading3"/>
        <w:numPr>
          <w:ilvl w:val="1"/>
          <w:numId w:val="18"/>
        </w:numPr>
      </w:pPr>
      <w:bookmarkStart w:id="46" w:name="_Toc416959627"/>
      <w:bookmarkStart w:id="47" w:name="_Toc431378931"/>
      <w:bookmarkStart w:id="48" w:name="_Toc431407232"/>
      <w:r w:rsidRPr="004015D9">
        <w:t>European Medicines Agency</w:t>
      </w:r>
      <w:bookmarkEnd w:id="46"/>
      <w:bookmarkEnd w:id="47"/>
      <w:bookmarkEnd w:id="48"/>
    </w:p>
    <w:p w:rsidR="003800B4" w:rsidRDefault="003800B4" w:rsidP="008337EF">
      <w:r w:rsidRPr="0050661D">
        <w:t xml:space="preserve">On 14 June 2013, the Pharmacovigilance Risk Assessment Committee (PRAC) of the European Medicines Agency (EMA) published the Committee’s recommended risk minimisation measures to ensure that the </w:t>
      </w:r>
      <w:proofErr w:type="spellStart"/>
      <w:r w:rsidRPr="0050661D">
        <w:t>risk:benefit</w:t>
      </w:r>
      <w:proofErr w:type="spellEnd"/>
      <w:r w:rsidRPr="0050661D">
        <w:t xml:space="preserve"> ratio for children taking codeine is upheld</w:t>
      </w:r>
      <w:bookmarkStart w:id="49" w:name="_Ref360088707"/>
      <w:r w:rsidRPr="0050661D">
        <w:t>.</w:t>
      </w:r>
      <w:bookmarkEnd w:id="49"/>
    </w:p>
    <w:p w:rsidR="00C15FD2" w:rsidRPr="005B6F50" w:rsidRDefault="00C15FD2" w:rsidP="00CE6EDB">
      <w:pPr>
        <w:pStyle w:val="Heading4"/>
        <w:numPr>
          <w:ilvl w:val="2"/>
          <w:numId w:val="18"/>
        </w:numPr>
      </w:pPr>
      <w:bookmarkStart w:id="50" w:name="_Toc431378932"/>
      <w:bookmarkStart w:id="51" w:name="_Toc431407233"/>
      <w:r w:rsidRPr="005B6F50">
        <w:t>PRAC safety review</w:t>
      </w:r>
      <w:bookmarkEnd w:id="50"/>
      <w:bookmarkEnd w:id="51"/>
    </w:p>
    <w:p w:rsidR="00FF0710" w:rsidRDefault="003800B4" w:rsidP="008337EF">
      <w:r>
        <w:t xml:space="preserve">An extensive review of the literature and post-market data </w:t>
      </w:r>
      <w:r w:rsidR="00FF0710">
        <w:t>had been</w:t>
      </w:r>
      <w:r>
        <w:t xml:space="preserve"> conducted by the PRAC regarding codeine use both in children and in breastfeeding mothers.</w:t>
      </w:r>
      <w:bookmarkStart w:id="52" w:name="_Ref431376655"/>
      <w:r>
        <w:rPr>
          <w:rStyle w:val="EndnoteReference"/>
          <w:rFonts w:cstheme="minorHAnsi"/>
        </w:rPr>
        <w:endnoteReference w:id="21"/>
      </w:r>
      <w:bookmarkEnd w:id="52"/>
      <w:r>
        <w:t xml:space="preserve"> The PRAC noted the lack of pharmacokinetic and </w:t>
      </w:r>
      <w:proofErr w:type="spellStart"/>
      <w:r>
        <w:t>pharmacodynamic</w:t>
      </w:r>
      <w:proofErr w:type="spellEnd"/>
      <w:r>
        <w:t xml:space="preserve"> data for children amongst the body of evidence, particularly in relation to the effect of CYP2D6 polymorphism on efficacy.</w:t>
      </w:r>
    </w:p>
    <w:p w:rsidR="003800B4" w:rsidRDefault="00C15FD2" w:rsidP="008337EF">
      <w:r>
        <w:t>The</w:t>
      </w:r>
      <w:r w:rsidR="00FF0710">
        <w:t xml:space="preserve"> </w:t>
      </w:r>
      <w:r w:rsidR="00437CCC">
        <w:t xml:space="preserve">data </w:t>
      </w:r>
      <w:r w:rsidR="00465901">
        <w:t>considered</w:t>
      </w:r>
      <w:r w:rsidR="00437CCC">
        <w:t xml:space="preserve"> in the </w:t>
      </w:r>
      <w:r w:rsidR="00FF0710">
        <w:t>PRAC</w:t>
      </w:r>
      <w:r>
        <w:t xml:space="preserve"> </w:t>
      </w:r>
      <w:r w:rsidR="00FF0710">
        <w:t>review</w:t>
      </w:r>
      <w:r w:rsidR="00C22360">
        <w:t xml:space="preserve"> included</w:t>
      </w:r>
      <w:r>
        <w:t>:</w:t>
      </w:r>
    </w:p>
    <w:p w:rsidR="003800B4" w:rsidRDefault="003800B4" w:rsidP="00C363D1">
      <w:pPr>
        <w:pStyle w:val="ListBullet"/>
        <w:numPr>
          <w:ilvl w:val="0"/>
          <w:numId w:val="22"/>
        </w:numPr>
        <w:ind w:left="425" w:hanging="425"/>
      </w:pPr>
      <w:r>
        <w:t xml:space="preserve">The </w:t>
      </w:r>
      <w:r w:rsidRPr="0030644A">
        <w:t>cases considered by the FDA from the</w:t>
      </w:r>
      <w:r w:rsidR="00F759D8">
        <w:t xml:space="preserve"> international literature.</w:t>
      </w:r>
    </w:p>
    <w:p w:rsidR="003800B4" w:rsidRDefault="003800B4" w:rsidP="00C363D1">
      <w:pPr>
        <w:pStyle w:val="ListBullet"/>
        <w:numPr>
          <w:ilvl w:val="0"/>
          <w:numId w:val="22"/>
        </w:numPr>
        <w:ind w:left="425" w:hanging="425"/>
      </w:pPr>
      <w:r w:rsidRPr="0030644A">
        <w:t xml:space="preserve">An additional 14 fatal adverse event cases </w:t>
      </w:r>
      <w:r w:rsidR="0043267E">
        <w:t xml:space="preserve">that </w:t>
      </w:r>
      <w:r w:rsidRPr="0030644A">
        <w:t xml:space="preserve">were identified in the EMA’s </w:t>
      </w:r>
      <w:proofErr w:type="spellStart"/>
      <w:r w:rsidRPr="0030644A">
        <w:t>EudraVigilance</w:t>
      </w:r>
      <w:proofErr w:type="spellEnd"/>
      <w:r w:rsidRPr="0030644A">
        <w:t xml:space="preserve"> adverse event report system where codeine was used for analgesia in paediatric patients (though most o</w:t>
      </w:r>
      <w:r w:rsidR="00F759D8">
        <w:t>f these are poorly documented).</w:t>
      </w:r>
    </w:p>
    <w:p w:rsidR="005857A0" w:rsidRPr="005857A0" w:rsidRDefault="005857A0" w:rsidP="005857A0">
      <w:pPr>
        <w:pStyle w:val="ListBullet2"/>
        <w:numPr>
          <w:ilvl w:val="0"/>
          <w:numId w:val="42"/>
        </w:numPr>
        <w:ind w:left="851" w:hanging="426"/>
      </w:pPr>
      <w:r>
        <w:t>Seven of the 14 cases</w:t>
      </w:r>
      <w:r w:rsidRPr="005857A0">
        <w:t xml:space="preserve"> were</w:t>
      </w:r>
      <w:r w:rsidR="00F759D8">
        <w:t xml:space="preserve"> between two and six years old.</w:t>
      </w:r>
    </w:p>
    <w:p w:rsidR="003800B4" w:rsidRDefault="003800B4" w:rsidP="00DA7CC7">
      <w:pPr>
        <w:pStyle w:val="ListBullet2"/>
        <w:numPr>
          <w:ilvl w:val="0"/>
          <w:numId w:val="42"/>
        </w:numPr>
        <w:ind w:left="851" w:hanging="426"/>
      </w:pPr>
      <w:r w:rsidRPr="0030644A">
        <w:lastRenderedPageBreak/>
        <w:t xml:space="preserve">Five of </w:t>
      </w:r>
      <w:r w:rsidR="00DA7CC7">
        <w:t>the 14 cases</w:t>
      </w:r>
      <w:r w:rsidRPr="0030644A">
        <w:t xml:space="preserve"> were not relevant due to improper dosing or alternative cause of death. In the remaining nine cases, age ranged from 2-17 years</w:t>
      </w:r>
      <w:r w:rsidR="005857A0">
        <w:t>.</w:t>
      </w:r>
      <w:r w:rsidR="00DA7CC7">
        <w:t xml:space="preserve"> </w:t>
      </w:r>
      <w:r w:rsidR="009F0C9A">
        <w:t xml:space="preserve">Of the </w:t>
      </w:r>
      <w:r w:rsidR="00DA7CC7">
        <w:t xml:space="preserve">same </w:t>
      </w:r>
      <w:r w:rsidR="009F0C9A">
        <w:t>nine cases, f</w:t>
      </w:r>
      <w:r w:rsidRPr="0030644A">
        <w:t xml:space="preserve">our recorded toxic morphine levels, and in </w:t>
      </w:r>
      <w:r w:rsidR="009F0C9A">
        <w:t>two</w:t>
      </w:r>
      <w:r w:rsidR="009F0C9A" w:rsidRPr="0030644A">
        <w:t xml:space="preserve"> </w:t>
      </w:r>
      <w:r w:rsidRPr="0030644A">
        <w:t>cases children “appeared to receive codeine in the range of the recommended dose”. It is not clear from the EMA report document whether these two</w:t>
      </w:r>
      <w:r>
        <w:t xml:space="preserve"> cases were also cases in which</w:t>
      </w:r>
      <w:r w:rsidRPr="0030644A">
        <w:t xml:space="preserve"> toxic</w:t>
      </w:r>
      <w:r w:rsidR="00F759D8">
        <w:t xml:space="preserve"> morphine levels were recorded.</w:t>
      </w:r>
    </w:p>
    <w:p w:rsidR="003800B4" w:rsidRDefault="003800B4" w:rsidP="005857A0">
      <w:pPr>
        <w:pStyle w:val="ListBullet2"/>
        <w:numPr>
          <w:ilvl w:val="0"/>
          <w:numId w:val="42"/>
        </w:numPr>
        <w:ind w:left="851" w:hanging="426"/>
      </w:pPr>
      <w:r w:rsidRPr="0030644A">
        <w:t>Genotype/phenotype was not available for any of the cases, and indication</w:t>
      </w:r>
      <w:r>
        <w:t>s</w:t>
      </w:r>
      <w:r w:rsidRPr="0030644A">
        <w:t xml:space="preserve"> for use were </w:t>
      </w:r>
      <w:proofErr w:type="spellStart"/>
      <w:r w:rsidRPr="0030644A">
        <w:t>adenotonsillectomy</w:t>
      </w:r>
      <w:proofErr w:type="spellEnd"/>
      <w:r w:rsidRPr="0030644A">
        <w:t xml:space="preserve"> (2 cases), headache (1 case)</w:t>
      </w:r>
      <w:r w:rsidR="003711B3">
        <w:t>,</w:t>
      </w:r>
      <w:r w:rsidRPr="0030644A">
        <w:t xml:space="preserve"> sporting injury (1 case), </w:t>
      </w:r>
      <w:proofErr w:type="spellStart"/>
      <w:r w:rsidRPr="0030644A">
        <w:t>aphthous</w:t>
      </w:r>
      <w:proofErr w:type="spellEnd"/>
      <w:r w:rsidRPr="0030644A">
        <w:t xml:space="preserve"> stomatitis </w:t>
      </w:r>
      <w:r w:rsidR="00F759D8">
        <w:t>(1 case) and unknown (4 cases).</w:t>
      </w:r>
    </w:p>
    <w:p w:rsidR="003800B4" w:rsidRDefault="003800B4" w:rsidP="00C363D1">
      <w:pPr>
        <w:pStyle w:val="ListBullet"/>
        <w:numPr>
          <w:ilvl w:val="0"/>
          <w:numId w:val="22"/>
        </w:numPr>
        <w:ind w:left="425" w:hanging="425"/>
      </w:pPr>
      <w:r w:rsidRPr="0030644A">
        <w:t>Cases associated with codeine exposure through breastfeeding</w:t>
      </w:r>
      <w:r>
        <w:t>:</w:t>
      </w:r>
    </w:p>
    <w:p w:rsidR="003800B4" w:rsidRDefault="003800B4" w:rsidP="00C363D1">
      <w:pPr>
        <w:pStyle w:val="ListBullet2"/>
        <w:numPr>
          <w:ilvl w:val="0"/>
          <w:numId w:val="39"/>
        </w:numPr>
        <w:ind w:left="850" w:hanging="425"/>
      </w:pPr>
      <w:proofErr w:type="spellStart"/>
      <w:r w:rsidRPr="0030644A">
        <w:t>Koren</w:t>
      </w:r>
      <w:proofErr w:type="spellEnd"/>
      <w:r w:rsidRPr="0030644A">
        <w:t xml:space="preserve"> G et al (2006)</w:t>
      </w:r>
      <w:r>
        <w:rPr>
          <w:rStyle w:val="EndnoteReference"/>
          <w:rFonts w:cstheme="minorHAnsi"/>
        </w:rPr>
        <w:endnoteReference w:id="22"/>
      </w:r>
      <w:r>
        <w:t xml:space="preserve">, in which </w:t>
      </w:r>
      <w:r w:rsidRPr="00EC758C">
        <w:t xml:space="preserve">oral codeine 30mg and paracetamol 500mg </w:t>
      </w:r>
      <w:r>
        <w:t xml:space="preserve">used </w:t>
      </w:r>
      <w:r w:rsidRPr="00EC758C">
        <w:t xml:space="preserve">twice daily for </w:t>
      </w:r>
      <w:r>
        <w:t>episiotomy pain by a mother later found to be a</w:t>
      </w:r>
      <w:r w:rsidR="00C15FD2">
        <w:t>n</w:t>
      </w:r>
      <w:r>
        <w:t xml:space="preserve"> UM resulted in respiratory depression and death of a 13-day-old infant. Assayed breast milk morphine levels were about four times higher than the expected range for a higher </w:t>
      </w:r>
      <w:r w:rsidR="00F759D8">
        <w:t>and more frequent codeine dose.</w:t>
      </w:r>
    </w:p>
    <w:p w:rsidR="003800B4" w:rsidRDefault="003800B4" w:rsidP="00C363D1">
      <w:pPr>
        <w:pStyle w:val="ListBullet2"/>
        <w:numPr>
          <w:ilvl w:val="0"/>
          <w:numId w:val="39"/>
        </w:numPr>
        <w:ind w:left="850" w:hanging="425"/>
      </w:pPr>
      <w:proofErr w:type="spellStart"/>
      <w:r>
        <w:t>Madadi</w:t>
      </w:r>
      <w:proofErr w:type="spellEnd"/>
      <w:r>
        <w:t xml:space="preserve"> P et al</w:t>
      </w:r>
      <w:r w:rsidRPr="00D12C0C">
        <w:t xml:space="preserve"> (2009)</w:t>
      </w:r>
      <w:r w:rsidRPr="00461113">
        <w:rPr>
          <w:vertAlign w:val="superscript"/>
        </w:rPr>
        <w:endnoteReference w:id="23"/>
      </w:r>
      <w:r w:rsidRPr="00D12C0C">
        <w:t xml:space="preserve"> conducted a review of 72 mother–child pairs which showed that 17 (24%) breastfed infants exhibited </w:t>
      </w:r>
      <w:r>
        <w:t>CNS</w:t>
      </w:r>
      <w:r w:rsidRPr="00D12C0C">
        <w:t xml:space="preserve"> depression while their mothers used codeine. Three </w:t>
      </w:r>
      <w:r>
        <w:t xml:space="preserve">of the </w:t>
      </w:r>
      <w:r w:rsidRPr="00D12C0C">
        <w:t xml:space="preserve">cases (11.8%) </w:t>
      </w:r>
      <w:r>
        <w:t>were found to be UM</w:t>
      </w:r>
      <w:r w:rsidRPr="00D12C0C">
        <w:t>s. One was asymptomatic, and the second was already described above (</w:t>
      </w:r>
      <w:proofErr w:type="spellStart"/>
      <w:r w:rsidRPr="00D12C0C">
        <w:t>Koren</w:t>
      </w:r>
      <w:proofErr w:type="spellEnd"/>
      <w:r w:rsidRPr="00D12C0C">
        <w:t xml:space="preserve"> G et al 2006). In the third UM case, 120 mg/day codeine </w:t>
      </w:r>
      <w:r>
        <w:t xml:space="preserve">was taken </w:t>
      </w:r>
      <w:r w:rsidRPr="00D12C0C">
        <w:t>for severe muscle pain after childbirth</w:t>
      </w:r>
      <w:r>
        <w:t xml:space="preserve"> by the mother</w:t>
      </w:r>
      <w:r w:rsidRPr="00D12C0C">
        <w:t xml:space="preserve">. </w:t>
      </w:r>
      <w:r>
        <w:t>The</w:t>
      </w:r>
      <w:r w:rsidRPr="00D12C0C">
        <w:t xml:space="preserve"> breastfed infant was described as </w:t>
      </w:r>
      <w:r>
        <w:t>“</w:t>
      </w:r>
      <w:r w:rsidRPr="00D12C0C">
        <w:t>extremely drowsy and feeding poorly</w:t>
      </w:r>
      <w:r>
        <w:t>”</w:t>
      </w:r>
      <w:r w:rsidRPr="00D12C0C">
        <w:t xml:space="preserve">. </w:t>
      </w:r>
      <w:r>
        <w:t>A complete switch to formula feeding was undertaken over the first 7 days post-delivery (due to maternal</w:t>
      </w:r>
      <w:r w:rsidRPr="00D12C0C">
        <w:t xml:space="preserve"> exhaustion and </w:t>
      </w:r>
      <w:r>
        <w:t xml:space="preserve">poor feeding), </w:t>
      </w:r>
      <w:r w:rsidRPr="00D12C0C">
        <w:t>and a complete reversal of the infant’s symptoms w</w:t>
      </w:r>
      <w:r w:rsidR="00F759D8">
        <w:t>as noted in the following days.</w:t>
      </w:r>
    </w:p>
    <w:p w:rsidR="003800B4" w:rsidRPr="005A1B06" w:rsidRDefault="003800B4" w:rsidP="00C363D1">
      <w:pPr>
        <w:pStyle w:val="ListBullet2"/>
        <w:numPr>
          <w:ilvl w:val="0"/>
          <w:numId w:val="39"/>
        </w:numPr>
        <w:ind w:left="850" w:hanging="425"/>
      </w:pPr>
      <w:r>
        <w:t>Lam</w:t>
      </w:r>
      <w:r w:rsidRPr="005A1B06">
        <w:t xml:space="preserve"> et al (2012) </w:t>
      </w:r>
      <w:r w:rsidR="00FE0752">
        <w:t>counted</w:t>
      </w:r>
      <w:r w:rsidRPr="005A1B06">
        <w:t xml:space="preserve"> </w:t>
      </w:r>
      <w:r>
        <w:t xml:space="preserve">a total of </w:t>
      </w:r>
      <w:r w:rsidRPr="005A1B06">
        <w:t>44 cases</w:t>
      </w:r>
      <w:r>
        <w:t xml:space="preserve"> reported in the literature</w:t>
      </w:r>
      <w:r w:rsidRPr="005A1B06">
        <w:t xml:space="preserve"> of neonatal respiratory depression in breastfeed infants of mothers who were using codeine</w:t>
      </w:r>
      <w:r>
        <w:t>.</w:t>
      </w:r>
      <w:r w:rsidRPr="00461113">
        <w:rPr>
          <w:vertAlign w:val="superscript"/>
        </w:rPr>
        <w:endnoteReference w:id="24"/>
      </w:r>
    </w:p>
    <w:p w:rsidR="003800B4" w:rsidRDefault="003800B4" w:rsidP="00C363D1">
      <w:pPr>
        <w:pStyle w:val="ListBullet2"/>
        <w:numPr>
          <w:ilvl w:val="0"/>
          <w:numId w:val="39"/>
        </w:numPr>
        <w:ind w:left="850" w:hanging="425"/>
      </w:pPr>
      <w:r>
        <w:t>Davis</w:t>
      </w:r>
      <w:r w:rsidRPr="00195352">
        <w:t xml:space="preserve"> et al (1985)</w:t>
      </w:r>
      <w:r w:rsidRPr="00461113">
        <w:rPr>
          <w:vertAlign w:val="superscript"/>
        </w:rPr>
        <w:endnoteReference w:id="25"/>
      </w:r>
      <w:r w:rsidR="00FE0752" w:rsidRPr="00461113">
        <w:rPr>
          <w:vertAlign w:val="superscript"/>
        </w:rPr>
        <w:t xml:space="preserve"> </w:t>
      </w:r>
      <w:r w:rsidR="00FE0752">
        <w:t>noted</w:t>
      </w:r>
      <w:r w:rsidRPr="00195352">
        <w:t xml:space="preserve"> </w:t>
      </w:r>
      <w:r>
        <w:t xml:space="preserve">neonatal apnoea attacks occurring in </w:t>
      </w:r>
      <w:r w:rsidRPr="00195352">
        <w:t>four near-term breastfed infants 4–6 days after the mothers commenced</w:t>
      </w:r>
      <w:r>
        <w:t xml:space="preserve"> taking 60 mg codeine every 4-6 hours.</w:t>
      </w:r>
    </w:p>
    <w:p w:rsidR="003800B4" w:rsidRDefault="003800B4" w:rsidP="00C363D1">
      <w:pPr>
        <w:pStyle w:val="ListBullet2"/>
        <w:numPr>
          <w:ilvl w:val="0"/>
          <w:numId w:val="39"/>
        </w:numPr>
        <w:ind w:left="850" w:hanging="425"/>
      </w:pPr>
      <w:proofErr w:type="spellStart"/>
      <w:r>
        <w:t>Naumburg</w:t>
      </w:r>
      <w:proofErr w:type="spellEnd"/>
      <w:r>
        <w:t xml:space="preserve"> et al (1987)</w:t>
      </w:r>
      <w:r w:rsidRPr="00461113">
        <w:rPr>
          <w:vertAlign w:val="superscript"/>
        </w:rPr>
        <w:endnoteReference w:id="26"/>
      </w:r>
      <w:r>
        <w:t xml:space="preserve"> reported that</w:t>
      </w:r>
      <w:r w:rsidR="00FE0752">
        <w:t>,</w:t>
      </w:r>
      <w:r>
        <w:t xml:space="preserve"> of a series of 12 full term infants between age 0.5 and 7 days who had unexplained episodes of apnoea, bradycardia and/or cyanosis in hospital, 10 of them had been exposed to opioids through breast milk. In si</w:t>
      </w:r>
      <w:r w:rsidR="00F759D8">
        <w:t>x cases the opioid was codeine.</w:t>
      </w:r>
    </w:p>
    <w:p w:rsidR="003800B4" w:rsidRDefault="003800B4" w:rsidP="00C363D1">
      <w:pPr>
        <w:pStyle w:val="ListBullet2"/>
        <w:numPr>
          <w:ilvl w:val="0"/>
          <w:numId w:val="39"/>
        </w:numPr>
        <w:ind w:left="850" w:hanging="425"/>
      </w:pPr>
      <w:proofErr w:type="spellStart"/>
      <w:r>
        <w:t>Willmann</w:t>
      </w:r>
      <w:proofErr w:type="spellEnd"/>
      <w:r>
        <w:t xml:space="preserve"> A et al (2009)</w:t>
      </w:r>
      <w:r w:rsidR="00461113">
        <w:rPr>
          <w:rStyle w:val="EndnoteReference"/>
        </w:rPr>
        <w:endnoteReference w:id="27"/>
      </w:r>
      <w:r>
        <w:t xml:space="preserve"> conducted a quantitative mechanistic modelling study to study risk to the breast-fed neonate from maternal codeine use. Their physiologically-based PK simulations showed accumulation of morphine in the neonate was determined critically by maternal codeine and morphine clearances, and neonatal morphine clearance.  They also showed that toxic morphine levels could be reached within four days after repeated codeine dosing to the mother, given the low neonatal capacity for morp</w:t>
      </w:r>
      <w:r w:rsidR="00FE0752">
        <w:t>hine elimination. B</w:t>
      </w:r>
      <w:r>
        <w:t>oth EM and UM genotypes conferred comparable risk of opioid poisoning to the neonate.</w:t>
      </w:r>
    </w:p>
    <w:p w:rsidR="003800B4" w:rsidRDefault="003800B4" w:rsidP="00C363D1">
      <w:pPr>
        <w:pStyle w:val="ListBullet2"/>
        <w:numPr>
          <w:ilvl w:val="0"/>
          <w:numId w:val="39"/>
        </w:numPr>
        <w:ind w:left="850" w:hanging="425"/>
      </w:pPr>
      <w:proofErr w:type="spellStart"/>
      <w:r w:rsidRPr="00776341">
        <w:t>Nezvalová-</w:t>
      </w:r>
      <w:r>
        <w:t>Henriksen</w:t>
      </w:r>
      <w:proofErr w:type="spellEnd"/>
      <w:r>
        <w:t xml:space="preserve"> K et al (2011)</w:t>
      </w:r>
      <w:r w:rsidRPr="00461113">
        <w:rPr>
          <w:vertAlign w:val="superscript"/>
        </w:rPr>
        <w:endnoteReference w:id="28"/>
      </w:r>
      <w:r w:rsidRPr="00461113">
        <w:rPr>
          <w:vertAlign w:val="superscript"/>
        </w:rPr>
        <w:t xml:space="preserve"> </w:t>
      </w:r>
      <w:r>
        <w:t xml:space="preserve">examined risk of </w:t>
      </w:r>
      <w:proofErr w:type="spellStart"/>
      <w:r>
        <w:t>transplacental</w:t>
      </w:r>
      <w:proofErr w:type="spellEnd"/>
      <w:r>
        <w:t xml:space="preserve"> morphine transfer in a large population-based cohort study of 2,666 women who used codeine during pregnancy versus 65,316 who used no opioids during pregnancy. Neither i</w:t>
      </w:r>
      <w:r w:rsidRPr="0044333B">
        <w:t xml:space="preserve">nfant survival </w:t>
      </w:r>
      <w:r>
        <w:t>n</w:t>
      </w:r>
      <w:r w:rsidRPr="0044333B">
        <w:t>or congenital malformation rate</w:t>
      </w:r>
      <w:r>
        <w:t xml:space="preserve"> were affected by maternal</w:t>
      </w:r>
      <w:r w:rsidRPr="0044333B">
        <w:t xml:space="preserve"> codeine intake during pregnancy</w:t>
      </w:r>
      <w:r w:rsidR="00F759D8">
        <w:t>.</w:t>
      </w:r>
    </w:p>
    <w:p w:rsidR="003800B4" w:rsidRDefault="003800B4" w:rsidP="00C363D1">
      <w:pPr>
        <w:pStyle w:val="ListBullet2"/>
        <w:numPr>
          <w:ilvl w:val="0"/>
          <w:numId w:val="39"/>
        </w:numPr>
        <w:ind w:left="850" w:hanging="425"/>
      </w:pPr>
      <w:proofErr w:type="spellStart"/>
      <w:r>
        <w:lastRenderedPageBreak/>
        <w:t>Neisters</w:t>
      </w:r>
      <w:proofErr w:type="spellEnd"/>
      <w:r>
        <w:t xml:space="preserve"> et al (2012)</w:t>
      </w:r>
      <w:r w:rsidRPr="00461113">
        <w:rPr>
          <w:vertAlign w:val="superscript"/>
        </w:rPr>
        <w:endnoteReference w:id="29"/>
      </w:r>
      <w:r>
        <w:t xml:space="preserve"> conducted a case</w:t>
      </w:r>
      <w:r w:rsidR="00435CCD">
        <w:t xml:space="preserve"> report review and identified 27</w:t>
      </w:r>
      <w:r>
        <w:t xml:space="preserve"> case</w:t>
      </w:r>
      <w:r w:rsidR="00435CCD">
        <w:t xml:space="preserve">s described in 24 </w:t>
      </w:r>
      <w:r>
        <w:t xml:space="preserve">reports of opioid-induced respiratory depression </w:t>
      </w:r>
      <w:r w:rsidR="00DD16CA">
        <w:t xml:space="preserve">(OIRD) </w:t>
      </w:r>
      <w:r>
        <w:t xml:space="preserve">in children </w:t>
      </w:r>
      <w:r w:rsidR="005B6F50">
        <w:t xml:space="preserve">aged </w:t>
      </w:r>
      <w:r>
        <w:t>12</w:t>
      </w:r>
      <w:r w:rsidR="005B6F50">
        <w:t xml:space="preserve"> years</w:t>
      </w:r>
      <w:r>
        <w:t xml:space="preserve"> or younger </w:t>
      </w:r>
      <w:r w:rsidRPr="003335C7">
        <w:t>receiving</w:t>
      </w:r>
      <w:r>
        <w:t xml:space="preserve"> opioids</w:t>
      </w:r>
      <w:r w:rsidRPr="003335C7">
        <w:t>, either directly for medical reasons or indirectly via their mother</w:t>
      </w:r>
      <w:r>
        <w:t xml:space="preserve">. They all required naloxone, with or without tracheal intubation and/or resuscitation. Seven of the cases were fatal. Four patterns were identified in the dataset: iatrogenic overdose (8 cases), morphine administration to patients with renal impairment (3 cases), codeine use in UMs (7 cases) and opioid use post </w:t>
      </w:r>
      <w:proofErr w:type="spellStart"/>
      <w:r>
        <w:t>adenotonsillectomy</w:t>
      </w:r>
      <w:proofErr w:type="spellEnd"/>
      <w:r>
        <w:t xml:space="preserve"> for OSA/recurrent tonsillitis (5 cases).</w:t>
      </w:r>
    </w:p>
    <w:p w:rsidR="00C15FD2" w:rsidRDefault="00C15FD2" w:rsidP="00C15FD2">
      <w:pPr>
        <w:pStyle w:val="ListBullet3"/>
      </w:pPr>
      <w:r>
        <w:t>In the last of the studies listed above, the authors (</w:t>
      </w:r>
      <w:proofErr w:type="spellStart"/>
      <w:r>
        <w:t>Neisters</w:t>
      </w:r>
      <w:proofErr w:type="spellEnd"/>
      <w:r>
        <w:t xml:space="preserve"> et al) noted that publication bias probably causes underestimation of the true number of cases that occurs:</w:t>
      </w:r>
    </w:p>
    <w:p w:rsidR="003800B4" w:rsidRPr="00FE0752" w:rsidRDefault="00FE0752" w:rsidP="00C15FD2">
      <w:pPr>
        <w:pStyle w:val="ListBullet3"/>
        <w:ind w:left="720"/>
        <w:rPr>
          <w:sz w:val="20"/>
        </w:rPr>
      </w:pPr>
      <w:r>
        <w:rPr>
          <w:sz w:val="20"/>
        </w:rPr>
        <w:t>“</w:t>
      </w:r>
      <w:r w:rsidR="003800B4" w:rsidRPr="00FE0752">
        <w:rPr>
          <w:sz w:val="20"/>
        </w:rPr>
        <w:t>The retrieved cases describe only very serious cases of OIRD that without an intervention would have resulted in the death o</w:t>
      </w:r>
      <w:r w:rsidR="00CC0E48">
        <w:rPr>
          <w:sz w:val="20"/>
        </w:rPr>
        <w:t>f all 28 (sic)</w:t>
      </w:r>
      <w:r w:rsidR="003800B4" w:rsidRPr="00FE0752">
        <w:rPr>
          <w:sz w:val="20"/>
        </w:rPr>
        <w:t xml:space="preserve"> children. Clearly, this is related to the fact that case reports are published based on the policy of the editorial team, and consequently, the majority of cases do not reach the medical literature. Bias of the editorial team towards the more severe cases but also the lack of will of the physician to publish their ‘failures’ and ‘complications’ of opioid the</w:t>
      </w:r>
      <w:r w:rsidR="00C15FD2" w:rsidRPr="00FE0752">
        <w:rPr>
          <w:sz w:val="20"/>
        </w:rPr>
        <w:t>rapy will restrict publication</w:t>
      </w:r>
      <w:r w:rsidR="00C15FD2" w:rsidRPr="00FE0752">
        <w:rPr>
          <w:i/>
          <w:sz w:val="20"/>
        </w:rPr>
        <w:t>.</w:t>
      </w:r>
      <w:r>
        <w:rPr>
          <w:sz w:val="20"/>
        </w:rPr>
        <w:t>”</w:t>
      </w:r>
    </w:p>
    <w:p w:rsidR="00723A70" w:rsidRDefault="00723A70" w:rsidP="00CE6EDB">
      <w:pPr>
        <w:pStyle w:val="Heading4"/>
        <w:numPr>
          <w:ilvl w:val="2"/>
          <w:numId w:val="18"/>
        </w:numPr>
      </w:pPr>
      <w:bookmarkStart w:id="53" w:name="_Toc431378933"/>
      <w:bookmarkStart w:id="54" w:name="_Toc431407234"/>
      <w:r>
        <w:t>PRAC decision and regulatory action</w:t>
      </w:r>
      <w:bookmarkEnd w:id="53"/>
      <w:bookmarkEnd w:id="54"/>
    </w:p>
    <w:p w:rsidR="003800B4" w:rsidRDefault="003800B4" w:rsidP="008337EF">
      <w:r w:rsidRPr="0050661D">
        <w:t xml:space="preserve">Having assessed all the available data, the PRAC </w:t>
      </w:r>
      <w:r>
        <w:t xml:space="preserve">concluded that </w:t>
      </w:r>
      <w:r w:rsidRPr="008738F6">
        <w:t>the reported cases of respiratory depression with codeine indicate that children below 12 years of age may be at increased risk of morphine side effects. In</w:t>
      </w:r>
      <w:r w:rsidRPr="0050661D">
        <w:t xml:space="preserve"> addition, the</w:t>
      </w:r>
      <w:r>
        <w:t>y concluded that the</w:t>
      </w:r>
      <w:r w:rsidRPr="0050661D">
        <w:t xml:space="preserve"> limited data on the effectiveness of codeine </w:t>
      </w:r>
      <w:r>
        <w:t>for</w:t>
      </w:r>
      <w:r w:rsidRPr="0050661D">
        <w:t xml:space="preserve"> pain relief in children suggest that the effect of codeine on pain is not significantly better than non-opioid painkillers su</w:t>
      </w:r>
      <w:r w:rsidR="00F759D8">
        <w:t>ch as paracetamol or ibuprofen.</w:t>
      </w:r>
    </w:p>
    <w:p w:rsidR="003800B4" w:rsidRPr="00BC2153" w:rsidRDefault="003800B4" w:rsidP="008337EF">
      <w:r>
        <w:t>The recommendations</w:t>
      </w:r>
      <w:r w:rsidRPr="00BC2153">
        <w:t xml:space="preserve"> were endorsed by the Co-ordination Group for Mutual Recognition and Decentralised Procedures – Human (</w:t>
      </w:r>
      <w:proofErr w:type="spellStart"/>
      <w:r w:rsidRPr="00BC2153">
        <w:t>CMDh</w:t>
      </w:r>
      <w:proofErr w:type="spellEnd"/>
      <w:r w:rsidRPr="00BC2153">
        <w:t>) on 28 June 2013 for direct implementation by Member States.</w:t>
      </w:r>
      <w:r w:rsidRPr="00BC2153">
        <w:rPr>
          <w:rStyle w:val="EndnoteReference"/>
          <w:rFonts w:cstheme="minorHAnsi"/>
        </w:rPr>
        <w:endnoteReference w:id="30"/>
      </w:r>
      <w:r w:rsidRPr="00BC2153">
        <w:t xml:space="preserve"> The recommendations were:</w:t>
      </w:r>
    </w:p>
    <w:p w:rsidR="003800B4" w:rsidRPr="00BC2153" w:rsidRDefault="003800B4" w:rsidP="0021214E">
      <w:pPr>
        <w:pStyle w:val="ListBullet"/>
        <w:numPr>
          <w:ilvl w:val="0"/>
          <w:numId w:val="3"/>
        </w:numPr>
        <w:ind w:left="425" w:hanging="425"/>
      </w:pPr>
      <w:r w:rsidRPr="00BC2153">
        <w:t>Codeine-containing medicines should only be used to treat acute (short lived) moderate pain in children above 12 years of age, and only if it cannot be relieved by other painkillers such as paracetamol or ibuprofen, because of the risk of respiratory depression associated with codeine use.</w:t>
      </w:r>
    </w:p>
    <w:p w:rsidR="003800B4" w:rsidRPr="00BC2153" w:rsidRDefault="003800B4" w:rsidP="0021214E">
      <w:pPr>
        <w:pStyle w:val="ListBullet"/>
        <w:numPr>
          <w:ilvl w:val="0"/>
          <w:numId w:val="3"/>
        </w:numPr>
        <w:ind w:left="425" w:hanging="425"/>
      </w:pPr>
      <w:r w:rsidRPr="00BC2153">
        <w:t>Codeine should not be used at all in children (aged below 18 years) who undergo surgery for the removal of the tonsils or adenoids to treat obstructive sleep apnoea</w:t>
      </w:r>
      <w:r>
        <w:t xml:space="preserve"> (OSA)</w:t>
      </w:r>
      <w:r w:rsidRPr="00BC2153">
        <w:t>, as these patients are more susceptible to respiratory problems.</w:t>
      </w:r>
    </w:p>
    <w:p w:rsidR="003800B4" w:rsidRPr="00BC2153" w:rsidRDefault="003800B4" w:rsidP="0021214E">
      <w:pPr>
        <w:pStyle w:val="ListBullet"/>
        <w:numPr>
          <w:ilvl w:val="0"/>
          <w:numId w:val="3"/>
        </w:numPr>
        <w:ind w:left="425" w:hanging="425"/>
      </w:pPr>
      <w:r w:rsidRPr="00BC2153">
        <w:t>The prescribing information should carry a warning that children with conditions associated with breathing problems should not use codeine.</w:t>
      </w:r>
    </w:p>
    <w:p w:rsidR="003800B4" w:rsidRDefault="003800B4" w:rsidP="0021214E">
      <w:pPr>
        <w:pStyle w:val="ListBullet"/>
        <w:numPr>
          <w:ilvl w:val="0"/>
          <w:numId w:val="3"/>
        </w:numPr>
        <w:ind w:left="425" w:hanging="425"/>
      </w:pPr>
      <w:r w:rsidRPr="00BC2153">
        <w:t>The PRAC further recommended that, as the risk of side effects with codeine may also apply to adults, codeine should not be used in people of any age who are known to be ultra-rapid metabolisers nor in breastfeeding mothers, because codeine can pass to the baby through breast milk. The prescribing information for codeine should also include general information for healthcare professionals, patients and carers on the risk of morphine side effects with codeine, and how to recognise their symptoms.</w:t>
      </w:r>
    </w:p>
    <w:p w:rsidR="003800B4" w:rsidRDefault="003800B4" w:rsidP="008337EF">
      <w:r>
        <w:t>T</w:t>
      </w:r>
      <w:r w:rsidRPr="009A5CC2">
        <w:t>he EMA</w:t>
      </w:r>
      <w:r>
        <w:t xml:space="preserve"> restrictions have only been applied to codeine-containing products and do </w:t>
      </w:r>
      <w:r w:rsidRPr="009A5CC2">
        <w:t xml:space="preserve">not apply to </w:t>
      </w:r>
      <w:proofErr w:type="spellStart"/>
      <w:r w:rsidRPr="009A5CC2">
        <w:t>dihydrocodeine</w:t>
      </w:r>
      <w:proofErr w:type="spellEnd"/>
      <w:r w:rsidRPr="009A5CC2">
        <w:t xml:space="preserve"> because </w:t>
      </w:r>
      <w:proofErr w:type="spellStart"/>
      <w:r>
        <w:t>dihydrocodeine</w:t>
      </w:r>
      <w:proofErr w:type="spellEnd"/>
      <w:r w:rsidRPr="009A5CC2">
        <w:t xml:space="preserve"> was not included in the </w:t>
      </w:r>
      <w:r>
        <w:t xml:space="preserve">PRAC </w:t>
      </w:r>
      <w:r w:rsidRPr="009A5CC2">
        <w:t>review.</w:t>
      </w:r>
      <w:r>
        <w:t xml:space="preserve"> In the US the FDA boxed warning and label changes were imposed on all codeine-containing products and to a </w:t>
      </w:r>
      <w:proofErr w:type="spellStart"/>
      <w:r w:rsidRPr="0064347F">
        <w:t>dihydrocodeine</w:t>
      </w:r>
      <w:proofErr w:type="spellEnd"/>
      <w:r w:rsidRPr="0064347F">
        <w:t xml:space="preserve"> </w:t>
      </w:r>
      <w:proofErr w:type="spellStart"/>
      <w:r w:rsidRPr="0064347F">
        <w:t>b</w:t>
      </w:r>
      <w:r>
        <w:t>itartrate</w:t>
      </w:r>
      <w:proofErr w:type="spellEnd"/>
      <w:r>
        <w:t>, aspirin and caffeine product (</w:t>
      </w:r>
      <w:proofErr w:type="spellStart"/>
      <w:r>
        <w:t>SynalgosDC</w:t>
      </w:r>
      <w:proofErr w:type="spellEnd"/>
      <w:r>
        <w:t>) and generics. However</w:t>
      </w:r>
      <w:r w:rsidRPr="004E7E1C">
        <w:t xml:space="preserve">, CYP2D6 phenotype has been previously shown to have no major impact on opioid receptor-mediated effects of a single 60 mg </w:t>
      </w:r>
      <w:proofErr w:type="spellStart"/>
      <w:r w:rsidRPr="004E7E1C">
        <w:t>dihydrocodeine</w:t>
      </w:r>
      <w:proofErr w:type="spellEnd"/>
      <w:r w:rsidRPr="004E7E1C">
        <w:t xml:space="preserve"> dose.</w:t>
      </w:r>
      <w:r w:rsidRPr="004E7E1C">
        <w:rPr>
          <w:vertAlign w:val="superscript"/>
        </w:rPr>
        <w:endnoteReference w:id="31"/>
      </w:r>
    </w:p>
    <w:p w:rsidR="003800B4" w:rsidRPr="00F87606" w:rsidRDefault="003800B4" w:rsidP="008337EF">
      <w:r>
        <w:lastRenderedPageBreak/>
        <w:t xml:space="preserve">In March 2015, the EMA also </w:t>
      </w:r>
      <w:r w:rsidRPr="00805E96">
        <w:t>recommended restrictions on the use of codeine-containing medicines for cough and cold in children</w:t>
      </w:r>
      <w:r>
        <w:t>, including contraindication in children under 12, and caution in children 12-18 years old with breathing problems.</w:t>
      </w:r>
      <w:r>
        <w:rPr>
          <w:rStyle w:val="EndnoteReference"/>
          <w:rFonts w:cstheme="minorHAnsi"/>
        </w:rPr>
        <w:endnoteReference w:id="32"/>
      </w:r>
    </w:p>
    <w:p w:rsidR="003800B4" w:rsidRPr="004015D9" w:rsidRDefault="003800B4" w:rsidP="00CE6EDB">
      <w:pPr>
        <w:pStyle w:val="Heading3"/>
        <w:numPr>
          <w:ilvl w:val="1"/>
          <w:numId w:val="18"/>
        </w:numPr>
      </w:pPr>
      <w:bookmarkStart w:id="55" w:name="_Toc416959628"/>
      <w:bookmarkStart w:id="56" w:name="_Toc431378934"/>
      <w:bookmarkStart w:id="57" w:name="_Toc431407235"/>
      <w:r w:rsidRPr="004015D9">
        <w:t>Health Canada</w:t>
      </w:r>
      <w:bookmarkEnd w:id="55"/>
      <w:bookmarkEnd w:id="56"/>
      <w:bookmarkEnd w:id="57"/>
    </w:p>
    <w:p w:rsidR="003800B4" w:rsidRPr="00BC2153" w:rsidRDefault="00164F16" w:rsidP="008337EF">
      <w:r>
        <w:t>Health Canada</w:t>
      </w:r>
      <w:r w:rsidR="003800B4" w:rsidRPr="00BC2153">
        <w:t xml:space="preserve"> released a warning on its website (June 6</w:t>
      </w:r>
      <w:r w:rsidR="003800B4" w:rsidRPr="00BC2153">
        <w:rPr>
          <w:vertAlign w:val="superscript"/>
        </w:rPr>
        <w:t>th</w:t>
      </w:r>
      <w:r w:rsidR="003800B4" w:rsidRPr="00BC2153">
        <w:t>, 2013) stating that they have reviewed the safety of prescription pain and cough medications containing codeine and are no longer recommending their use in children less than 12 years of age. They state</w:t>
      </w:r>
      <w:r>
        <w:t>d</w:t>
      </w:r>
      <w:r w:rsidR="003800B4" w:rsidRPr="00BC2153">
        <w:t xml:space="preserve"> that the use of codeine by </w:t>
      </w:r>
      <w:r w:rsidR="00927AF8">
        <w:t>UMs</w:t>
      </w:r>
      <w:r w:rsidR="003800B4" w:rsidRPr="00BC2153">
        <w:t xml:space="preserve"> can lead to unexpected morphine</w:t>
      </w:r>
      <w:r>
        <w:t xml:space="preserve"> overdose, and that h</w:t>
      </w:r>
      <w:r w:rsidR="003800B4" w:rsidRPr="00BC2153">
        <w:t>ealthcare professionals and consumers should seek alternatives to codeine for the management of mild to moderate pain or cough in children less than 12 years of age.</w:t>
      </w:r>
      <w:r w:rsidR="003800B4" w:rsidRPr="00BC2153">
        <w:rPr>
          <w:rStyle w:val="EndnoteReference"/>
          <w:rFonts w:eastAsia="Calibri" w:cstheme="minorHAnsi"/>
        </w:rPr>
        <w:endnoteReference w:id="33"/>
      </w:r>
    </w:p>
    <w:p w:rsidR="003800B4" w:rsidRPr="004015D9" w:rsidRDefault="003800B4" w:rsidP="00CE6EDB">
      <w:pPr>
        <w:pStyle w:val="Heading3"/>
        <w:numPr>
          <w:ilvl w:val="1"/>
          <w:numId w:val="18"/>
        </w:numPr>
      </w:pPr>
      <w:bookmarkStart w:id="58" w:name="_Toc416959629"/>
      <w:bookmarkStart w:id="59" w:name="_Toc431378935"/>
      <w:bookmarkStart w:id="60" w:name="_Toc431407236"/>
      <w:proofErr w:type="spellStart"/>
      <w:r w:rsidRPr="004015D9">
        <w:t>Medsafe</w:t>
      </w:r>
      <w:proofErr w:type="spellEnd"/>
      <w:r w:rsidRPr="004015D9">
        <w:t xml:space="preserve"> (New Zealand)</w:t>
      </w:r>
      <w:bookmarkEnd w:id="58"/>
      <w:bookmarkEnd w:id="59"/>
      <w:bookmarkEnd w:id="60"/>
    </w:p>
    <w:p w:rsidR="003800B4" w:rsidRPr="00FB4643" w:rsidRDefault="003800B4" w:rsidP="008337EF">
      <w:proofErr w:type="spellStart"/>
      <w:r w:rsidRPr="00BC2153">
        <w:t>Medsafe</w:t>
      </w:r>
      <w:proofErr w:type="spellEnd"/>
      <w:r w:rsidRPr="00BC2153">
        <w:t xml:space="preserve"> also released a web statement (revised 31</w:t>
      </w:r>
      <w:r w:rsidRPr="00BC2153">
        <w:rPr>
          <w:vertAlign w:val="superscript"/>
        </w:rPr>
        <w:t>st</w:t>
      </w:r>
      <w:r w:rsidRPr="00BC2153">
        <w:t xml:space="preserve"> May, 2013) warning of</w:t>
      </w:r>
      <w:r>
        <w:t xml:space="preserve"> the risk to rapid metabolisers</w:t>
      </w:r>
      <w:r w:rsidRPr="00BC2153">
        <w:t>.</w:t>
      </w:r>
      <w:r w:rsidRPr="00BC2153">
        <w:rPr>
          <w:rStyle w:val="EndnoteReference"/>
          <w:rFonts w:eastAsia="Calibri" w:cstheme="minorHAnsi"/>
        </w:rPr>
        <w:endnoteReference w:id="34"/>
      </w:r>
      <w:r>
        <w:t xml:space="preserve"> Recently, the </w:t>
      </w:r>
      <w:r w:rsidRPr="005B578A">
        <w:t>Medicines Adverse Reactions Committee</w:t>
      </w:r>
      <w:r>
        <w:t xml:space="preserve"> (MARC) reviewed the results of </w:t>
      </w:r>
      <w:proofErr w:type="spellStart"/>
      <w:r>
        <w:t>Medsafe’s</w:t>
      </w:r>
      <w:proofErr w:type="spellEnd"/>
      <w:r>
        <w:t xml:space="preserve"> review of codeine use in cough and cold medicines, and agreed that “</w:t>
      </w:r>
      <w:r w:rsidRPr="00733FD5">
        <w:t>the use of codeine-containing medicines for cough and cold in children should be restricted to those aged 12 years and over.</w:t>
      </w:r>
      <w:r>
        <w:t>”</w:t>
      </w:r>
      <w:r>
        <w:rPr>
          <w:rStyle w:val="EndnoteReference"/>
          <w:rFonts w:eastAsia="Calibri" w:cstheme="minorHAnsi"/>
        </w:rPr>
        <w:endnoteReference w:id="35"/>
      </w:r>
    </w:p>
    <w:p w:rsidR="003800B4" w:rsidRPr="00B6478A" w:rsidRDefault="003800B4" w:rsidP="00CE6EDB">
      <w:pPr>
        <w:pStyle w:val="Heading2"/>
        <w:numPr>
          <w:ilvl w:val="0"/>
          <w:numId w:val="18"/>
        </w:numPr>
      </w:pPr>
      <w:bookmarkStart w:id="61" w:name="_Toc416959630"/>
      <w:bookmarkStart w:id="62" w:name="_Toc431378936"/>
      <w:bookmarkStart w:id="63" w:name="_Toc431407237"/>
      <w:r w:rsidRPr="00B6478A">
        <w:t>C</w:t>
      </w:r>
      <w:r>
        <w:t>odeine in Australia</w:t>
      </w:r>
      <w:bookmarkEnd w:id="61"/>
      <w:bookmarkEnd w:id="62"/>
      <w:bookmarkEnd w:id="63"/>
    </w:p>
    <w:p w:rsidR="003800B4" w:rsidRDefault="003800B4" w:rsidP="008337EF">
      <w:r>
        <w:t>Codeine is an ingredient in a wide variety of therapeutic products in Australia and is used as an antitussive or as an analgesic.</w:t>
      </w:r>
    </w:p>
    <w:p w:rsidR="003800B4" w:rsidRPr="004015D9" w:rsidRDefault="00723A70" w:rsidP="00CE6EDB">
      <w:pPr>
        <w:pStyle w:val="Heading3"/>
        <w:numPr>
          <w:ilvl w:val="1"/>
          <w:numId w:val="18"/>
        </w:numPr>
      </w:pPr>
      <w:bookmarkStart w:id="64" w:name="_Toc431378937"/>
      <w:bookmarkStart w:id="65" w:name="_Toc431407238"/>
      <w:r w:rsidRPr="004015D9">
        <w:t>Regulation under the Poisons Standard 2015</w:t>
      </w:r>
      <w:bookmarkEnd w:id="64"/>
      <w:bookmarkEnd w:id="65"/>
    </w:p>
    <w:p w:rsidR="00E30BF4" w:rsidRDefault="003800B4" w:rsidP="003800B4">
      <w:pPr>
        <w:rPr>
          <w:rFonts w:eastAsia="Calibri" w:cstheme="minorHAnsi"/>
        </w:rPr>
      </w:pPr>
      <w:r w:rsidRPr="0008060D">
        <w:rPr>
          <w:rFonts w:eastAsia="Calibri" w:cstheme="minorHAnsi"/>
        </w:rPr>
        <w:t xml:space="preserve">Regulation of codeine-containing products in Australia is complex as the products fall under four different </w:t>
      </w:r>
      <w:r w:rsidR="00E30BF4">
        <w:rPr>
          <w:rFonts w:eastAsia="Calibri" w:cstheme="minorHAnsi"/>
        </w:rPr>
        <w:t>s</w:t>
      </w:r>
      <w:r w:rsidRPr="0008060D">
        <w:rPr>
          <w:rFonts w:eastAsia="Calibri" w:cstheme="minorHAnsi"/>
        </w:rPr>
        <w:t xml:space="preserve">chedules under the </w:t>
      </w:r>
      <w:r>
        <w:rPr>
          <w:rFonts w:eastAsia="Calibri" w:cstheme="minorHAnsi"/>
        </w:rPr>
        <w:t xml:space="preserve">most recent </w:t>
      </w:r>
      <w:r w:rsidRPr="00014F3E">
        <w:rPr>
          <w:rFonts w:eastAsia="Calibri" w:cstheme="minorHAnsi"/>
        </w:rPr>
        <w:t>Standard for the Uniform Scheduling of Medicines and Poisons</w:t>
      </w:r>
      <w:r>
        <w:rPr>
          <w:rFonts w:eastAsia="Calibri" w:cstheme="minorHAnsi"/>
        </w:rPr>
        <w:t xml:space="preserve"> (SUSMP) – SUSMP 6, also known as the </w:t>
      </w:r>
      <w:r w:rsidRPr="0008060D">
        <w:rPr>
          <w:rFonts w:eastAsia="Calibri" w:cstheme="minorHAnsi"/>
        </w:rPr>
        <w:t>Poisons Standard</w:t>
      </w:r>
      <w:r>
        <w:rPr>
          <w:rFonts w:eastAsia="Calibri" w:cstheme="minorHAnsi"/>
        </w:rPr>
        <w:t xml:space="preserve"> 2015.</w:t>
      </w:r>
      <w:r w:rsidRPr="0008060D">
        <w:rPr>
          <w:rFonts w:eastAsia="Calibri" w:cstheme="minorHAnsi"/>
          <w:b/>
          <w:bCs/>
          <w:vertAlign w:val="superscript"/>
        </w:rPr>
        <w:endnoteReference w:id="36"/>
      </w:r>
      <w:r>
        <w:rPr>
          <w:rFonts w:eastAsia="Calibri" w:cstheme="minorHAnsi"/>
        </w:rPr>
        <w:t xml:space="preserve"> </w:t>
      </w:r>
      <w:r w:rsidR="00986C25" w:rsidRPr="00986C25">
        <w:rPr>
          <w:rFonts w:eastAsia="Calibri" w:cstheme="minorHAnsi"/>
        </w:rPr>
        <w:t>As at 29 January 2015, there were 317 entries in the Australian Register of Therapeutic Goods (ARTG) for products that contain codeine: 70 listings for S</w:t>
      </w:r>
      <w:r w:rsidR="00986C25">
        <w:rPr>
          <w:rFonts w:eastAsia="Calibri" w:cstheme="minorHAnsi"/>
        </w:rPr>
        <w:t xml:space="preserve">chedule </w:t>
      </w:r>
      <w:r w:rsidR="00986C25" w:rsidRPr="00986C25">
        <w:rPr>
          <w:rFonts w:eastAsia="Calibri" w:cstheme="minorHAnsi"/>
        </w:rPr>
        <w:t>2</w:t>
      </w:r>
      <w:r w:rsidR="00986C25">
        <w:rPr>
          <w:rFonts w:eastAsia="Calibri" w:cstheme="minorHAnsi"/>
        </w:rPr>
        <w:t xml:space="preserve"> (S2)</w:t>
      </w:r>
      <w:r w:rsidR="00986C25" w:rsidRPr="00986C25">
        <w:rPr>
          <w:rFonts w:eastAsia="Calibri" w:cstheme="minorHAnsi"/>
        </w:rPr>
        <w:t xml:space="preserve"> products, 223 listings for Schedule </w:t>
      </w:r>
      <w:r w:rsidR="00986C25">
        <w:rPr>
          <w:rFonts w:eastAsia="Calibri" w:cstheme="minorHAnsi"/>
        </w:rPr>
        <w:t>(</w:t>
      </w:r>
      <w:r w:rsidR="00986C25" w:rsidRPr="00986C25">
        <w:rPr>
          <w:rFonts w:eastAsia="Calibri" w:cstheme="minorHAnsi"/>
        </w:rPr>
        <w:t>S3</w:t>
      </w:r>
      <w:r w:rsidR="00986C25">
        <w:rPr>
          <w:rFonts w:eastAsia="Calibri" w:cstheme="minorHAnsi"/>
        </w:rPr>
        <w:t>)</w:t>
      </w:r>
      <w:r w:rsidR="00986C25" w:rsidRPr="00986C25">
        <w:rPr>
          <w:rFonts w:eastAsia="Calibri" w:cstheme="minorHAnsi"/>
        </w:rPr>
        <w:t xml:space="preserve"> products, 13 listings for Schedule </w:t>
      </w:r>
      <w:r w:rsidR="00986C25">
        <w:rPr>
          <w:rFonts w:eastAsia="Calibri" w:cstheme="minorHAnsi"/>
        </w:rPr>
        <w:t>(</w:t>
      </w:r>
      <w:r w:rsidR="00986C25" w:rsidRPr="00986C25">
        <w:rPr>
          <w:rFonts w:eastAsia="Calibri" w:cstheme="minorHAnsi"/>
        </w:rPr>
        <w:t>S4</w:t>
      </w:r>
      <w:r w:rsidR="00986C25">
        <w:rPr>
          <w:rFonts w:eastAsia="Calibri" w:cstheme="minorHAnsi"/>
        </w:rPr>
        <w:t>)</w:t>
      </w:r>
      <w:r w:rsidR="00986C25" w:rsidRPr="00986C25">
        <w:rPr>
          <w:rFonts w:eastAsia="Calibri" w:cstheme="minorHAnsi"/>
        </w:rPr>
        <w:t xml:space="preserve"> products and 11 listings for Schedule </w:t>
      </w:r>
      <w:r w:rsidR="00986C25">
        <w:rPr>
          <w:rFonts w:eastAsia="Calibri" w:cstheme="minorHAnsi"/>
        </w:rPr>
        <w:t>(</w:t>
      </w:r>
      <w:r w:rsidR="00986C25" w:rsidRPr="00986C25">
        <w:rPr>
          <w:rFonts w:eastAsia="Calibri" w:cstheme="minorHAnsi"/>
        </w:rPr>
        <w:t>S8</w:t>
      </w:r>
      <w:r w:rsidR="00986C25">
        <w:rPr>
          <w:rFonts w:eastAsia="Calibri" w:cstheme="minorHAnsi"/>
        </w:rPr>
        <w:t>)</w:t>
      </w:r>
      <w:r w:rsidR="00986C25" w:rsidRPr="00986C25">
        <w:rPr>
          <w:rFonts w:eastAsia="Calibri" w:cstheme="minorHAnsi"/>
        </w:rPr>
        <w:t xml:space="preserve"> products.</w:t>
      </w:r>
      <w:r w:rsidR="00986C25" w:rsidRPr="00986C25">
        <w:rPr>
          <w:rFonts w:eastAsia="Calibri" w:cstheme="minorHAnsi"/>
          <w:vertAlign w:val="superscript"/>
        </w:rPr>
        <w:endnoteReference w:id="37"/>
      </w:r>
      <w:r w:rsidR="00986C25" w:rsidRPr="00986C25">
        <w:rPr>
          <w:rFonts w:eastAsia="Calibri" w:cstheme="minorHAnsi"/>
        </w:rPr>
        <w:t xml:space="preserve"> </w:t>
      </w:r>
    </w:p>
    <w:p w:rsidR="00E30BF4" w:rsidRPr="00390B02" w:rsidRDefault="00E30BF4" w:rsidP="00CE6EDB">
      <w:pPr>
        <w:pStyle w:val="Heading4"/>
        <w:numPr>
          <w:ilvl w:val="2"/>
          <w:numId w:val="18"/>
        </w:numPr>
      </w:pPr>
      <w:bookmarkStart w:id="66" w:name="_Toc431378938"/>
      <w:bookmarkStart w:id="67" w:name="_Toc431407239"/>
      <w:r w:rsidRPr="00390B02">
        <w:t>Scheduling of codeine</w:t>
      </w:r>
      <w:bookmarkEnd w:id="66"/>
      <w:bookmarkEnd w:id="67"/>
    </w:p>
    <w:p w:rsidR="003800B4" w:rsidRPr="00BC2153" w:rsidRDefault="003800B4" w:rsidP="003800B4">
      <w:pPr>
        <w:rPr>
          <w:rFonts w:eastAsia="Calibri" w:cstheme="minorHAnsi"/>
          <w:b/>
          <w:bCs/>
        </w:rPr>
      </w:pPr>
      <w:r>
        <w:rPr>
          <w:rFonts w:eastAsia="Calibri" w:cstheme="minorHAnsi"/>
        </w:rPr>
        <w:t xml:space="preserve">The entries relevant to codeine </w:t>
      </w:r>
      <w:r w:rsidRPr="00B6478A">
        <w:rPr>
          <w:rFonts w:eastAsia="Calibri" w:cstheme="minorHAnsi"/>
        </w:rPr>
        <w:t xml:space="preserve">under the </w:t>
      </w:r>
      <w:r w:rsidR="00E30BF4">
        <w:rPr>
          <w:rFonts w:eastAsia="Calibri" w:cstheme="minorHAnsi"/>
        </w:rPr>
        <w:t>s</w:t>
      </w:r>
      <w:r w:rsidRPr="00B6478A">
        <w:rPr>
          <w:rFonts w:eastAsia="Calibri" w:cstheme="minorHAnsi"/>
        </w:rPr>
        <w:t>chedules</w:t>
      </w:r>
      <w:r w:rsidR="00390B02">
        <w:rPr>
          <w:rFonts w:eastAsia="Calibri" w:cstheme="minorHAnsi"/>
        </w:rPr>
        <w:t xml:space="preserve"> are as follows.</w:t>
      </w:r>
    </w:p>
    <w:p w:rsidR="003800B4" w:rsidRPr="00BC7F2C" w:rsidRDefault="003800B4" w:rsidP="005B6F50">
      <w:pPr>
        <w:pStyle w:val="Heading5"/>
        <w:rPr>
          <w:rFonts w:eastAsia="Calibri"/>
        </w:rPr>
      </w:pPr>
      <w:bookmarkStart w:id="68" w:name="_Toc431378939"/>
      <w:bookmarkStart w:id="69" w:name="_Toc431407240"/>
      <w:r w:rsidRPr="00BC7F2C">
        <w:rPr>
          <w:rFonts w:eastAsia="Calibri"/>
        </w:rPr>
        <w:t>Schedule 2</w:t>
      </w:r>
      <w:bookmarkEnd w:id="68"/>
      <w:bookmarkEnd w:id="69"/>
      <w:r w:rsidRPr="00BC7F2C">
        <w:rPr>
          <w:rFonts w:eastAsia="Calibri"/>
        </w:rPr>
        <w:t xml:space="preserve"> </w:t>
      </w:r>
    </w:p>
    <w:p w:rsidR="003800B4" w:rsidRPr="00BC7F2C" w:rsidRDefault="00390B02" w:rsidP="005050E3">
      <w:pPr>
        <w:spacing w:after="120"/>
        <w:ind w:left="567"/>
        <w:rPr>
          <w:rFonts w:eastAsia="Calibri" w:cstheme="minorHAnsi"/>
        </w:rPr>
      </w:pPr>
      <w:r>
        <w:rPr>
          <w:rFonts w:eastAsia="Calibri" w:cstheme="minorHAnsi"/>
        </w:rPr>
        <w:t>“</w:t>
      </w:r>
      <w:r w:rsidR="003800B4" w:rsidRPr="00BC7F2C">
        <w:rPr>
          <w:rFonts w:eastAsia="Calibri" w:cstheme="minorHAnsi"/>
        </w:rPr>
        <w:t>CODEINE in preparations for the treatment of coughs and colds when:</w:t>
      </w:r>
    </w:p>
    <w:p w:rsidR="003800B4" w:rsidRPr="00BC7F2C" w:rsidRDefault="003800B4" w:rsidP="00CE6EDB">
      <w:pPr>
        <w:numPr>
          <w:ilvl w:val="1"/>
          <w:numId w:val="5"/>
        </w:numPr>
        <w:spacing w:before="0" w:after="120" w:line="276" w:lineRule="auto"/>
        <w:ind w:left="1571"/>
        <w:rPr>
          <w:rFonts w:eastAsia="Calibri" w:cstheme="minorHAnsi"/>
        </w:rPr>
      </w:pPr>
      <w:r w:rsidRPr="00BC7F2C">
        <w:rPr>
          <w:rFonts w:eastAsia="Calibri" w:cstheme="minorHAnsi"/>
        </w:rPr>
        <w:t>not combined with any other opiate substance;</w:t>
      </w:r>
    </w:p>
    <w:p w:rsidR="003800B4" w:rsidRPr="00BC7F2C" w:rsidRDefault="003800B4" w:rsidP="00CE6EDB">
      <w:pPr>
        <w:numPr>
          <w:ilvl w:val="1"/>
          <w:numId w:val="5"/>
        </w:numPr>
        <w:spacing w:before="0" w:after="0" w:line="276" w:lineRule="auto"/>
        <w:ind w:left="1571" w:hanging="357"/>
        <w:rPr>
          <w:rFonts w:eastAsia="Calibri" w:cstheme="minorHAnsi"/>
        </w:rPr>
      </w:pPr>
      <w:r w:rsidRPr="00BC7F2C">
        <w:rPr>
          <w:rFonts w:eastAsia="Calibri" w:cstheme="minorHAnsi"/>
        </w:rPr>
        <w:t>compounded with one or more other therapeutically active substances, of which at least one is phenylephrine and not more than one is an analgesic substance:</w:t>
      </w:r>
    </w:p>
    <w:p w:rsidR="003800B4" w:rsidRPr="00BC7F2C" w:rsidRDefault="003800B4" w:rsidP="00CE6EDB">
      <w:pPr>
        <w:numPr>
          <w:ilvl w:val="2"/>
          <w:numId w:val="5"/>
        </w:numPr>
        <w:spacing w:before="0" w:after="0" w:line="276" w:lineRule="auto"/>
        <w:ind w:left="1931" w:hanging="357"/>
        <w:rPr>
          <w:rFonts w:eastAsia="Calibri" w:cstheme="minorHAnsi"/>
        </w:rPr>
      </w:pPr>
      <w:r w:rsidRPr="00BC7F2C">
        <w:rPr>
          <w:rFonts w:eastAsia="Calibri" w:cstheme="minorHAnsi"/>
        </w:rPr>
        <w:t>in divided preparations containing 10 mg or less of codeine per dosage unit; or</w:t>
      </w:r>
    </w:p>
    <w:p w:rsidR="003800B4" w:rsidRPr="00BC7F2C" w:rsidRDefault="003800B4" w:rsidP="00CE6EDB">
      <w:pPr>
        <w:numPr>
          <w:ilvl w:val="2"/>
          <w:numId w:val="5"/>
        </w:numPr>
        <w:spacing w:before="0" w:after="120" w:line="276" w:lineRule="auto"/>
        <w:ind w:left="1931"/>
        <w:rPr>
          <w:rFonts w:eastAsia="Calibri" w:cstheme="minorHAnsi"/>
        </w:rPr>
      </w:pPr>
      <w:r w:rsidRPr="00BC7F2C">
        <w:rPr>
          <w:rFonts w:eastAsia="Calibri" w:cstheme="minorHAnsi"/>
        </w:rPr>
        <w:t>in undivided preparations containing 0.25 per cent or less of codeine;</w:t>
      </w:r>
    </w:p>
    <w:p w:rsidR="003800B4" w:rsidRPr="00BC7F2C" w:rsidRDefault="003800B4" w:rsidP="00CE6EDB">
      <w:pPr>
        <w:numPr>
          <w:ilvl w:val="1"/>
          <w:numId w:val="5"/>
        </w:numPr>
        <w:spacing w:before="0" w:after="120" w:line="276" w:lineRule="auto"/>
        <w:ind w:left="1571"/>
        <w:rPr>
          <w:rFonts w:eastAsia="Calibri" w:cstheme="minorHAnsi"/>
        </w:rPr>
      </w:pPr>
      <w:r w:rsidRPr="00BC7F2C">
        <w:rPr>
          <w:rFonts w:eastAsia="Calibri" w:cstheme="minorHAnsi"/>
        </w:rPr>
        <w:lastRenderedPageBreak/>
        <w:t>labelled with a recommended daily dose not exceeding 60 mg of codeine; and</w:t>
      </w:r>
    </w:p>
    <w:p w:rsidR="003800B4" w:rsidRPr="00BC7F2C" w:rsidRDefault="003800B4" w:rsidP="00CE6EDB">
      <w:pPr>
        <w:numPr>
          <w:ilvl w:val="1"/>
          <w:numId w:val="5"/>
        </w:numPr>
        <w:spacing w:before="0" w:after="120" w:line="276" w:lineRule="auto"/>
        <w:ind w:left="1571"/>
        <w:rPr>
          <w:rFonts w:eastAsia="Calibri" w:cstheme="minorHAnsi"/>
        </w:rPr>
      </w:pPr>
      <w:r w:rsidRPr="00BC7F2C">
        <w:rPr>
          <w:rFonts w:eastAsia="Calibri" w:cstheme="minorHAnsi"/>
        </w:rPr>
        <w:t>in packs containing not more than 6 days' supply at the maximum dose recommended on the label.</w:t>
      </w:r>
      <w:r w:rsidR="00390B02">
        <w:rPr>
          <w:rFonts w:eastAsia="Calibri" w:cstheme="minorHAnsi"/>
        </w:rPr>
        <w:t>”</w:t>
      </w:r>
    </w:p>
    <w:p w:rsidR="003800B4" w:rsidRPr="00BC7F2C" w:rsidRDefault="003800B4" w:rsidP="005B6F50">
      <w:pPr>
        <w:pStyle w:val="Heading5"/>
        <w:rPr>
          <w:rFonts w:eastAsia="Calibri"/>
        </w:rPr>
      </w:pPr>
      <w:bookmarkStart w:id="70" w:name="_Toc431378940"/>
      <w:bookmarkStart w:id="71" w:name="_Toc431407241"/>
      <w:r w:rsidRPr="00BC7F2C">
        <w:rPr>
          <w:rFonts w:eastAsia="Calibri"/>
        </w:rPr>
        <w:t>Schedule 3</w:t>
      </w:r>
      <w:bookmarkEnd w:id="70"/>
      <w:bookmarkEnd w:id="71"/>
    </w:p>
    <w:p w:rsidR="003800B4" w:rsidRPr="00BC7F2C" w:rsidRDefault="00390B02" w:rsidP="00D5538A">
      <w:pPr>
        <w:pStyle w:val="ListParagraph"/>
        <w:autoSpaceDE w:val="0"/>
        <w:autoSpaceDN w:val="0"/>
        <w:adjustRightInd w:val="0"/>
        <w:spacing w:after="120"/>
        <w:ind w:left="567"/>
        <w:contextualSpacing w:val="0"/>
        <w:rPr>
          <w:rFonts w:cstheme="minorHAnsi"/>
        </w:rPr>
      </w:pPr>
      <w:r>
        <w:rPr>
          <w:rFonts w:cstheme="minorHAnsi"/>
        </w:rPr>
        <w:t>“</w:t>
      </w:r>
      <w:r w:rsidR="003800B4" w:rsidRPr="00BC7F2C">
        <w:rPr>
          <w:rFonts w:cstheme="minorHAnsi"/>
        </w:rPr>
        <w:t>CODEINE when:</w:t>
      </w:r>
    </w:p>
    <w:p w:rsidR="003800B4" w:rsidRPr="00BC7F2C" w:rsidRDefault="003800B4" w:rsidP="00CE6EDB">
      <w:pPr>
        <w:pStyle w:val="ListParagraph"/>
        <w:numPr>
          <w:ilvl w:val="1"/>
          <w:numId w:val="6"/>
        </w:numPr>
        <w:autoSpaceDE w:val="0"/>
        <w:autoSpaceDN w:val="0"/>
        <w:adjustRightInd w:val="0"/>
        <w:spacing w:after="120"/>
        <w:ind w:left="1571"/>
        <w:contextualSpacing w:val="0"/>
        <w:rPr>
          <w:rFonts w:cstheme="minorHAnsi"/>
        </w:rPr>
      </w:pPr>
      <w:r w:rsidRPr="00BC7F2C">
        <w:rPr>
          <w:rFonts w:cstheme="minorHAnsi"/>
        </w:rPr>
        <w:t>not combined with any other opiate substance;</w:t>
      </w:r>
    </w:p>
    <w:p w:rsidR="003800B4" w:rsidRPr="00BC7F2C" w:rsidRDefault="003800B4" w:rsidP="00CE6EDB">
      <w:pPr>
        <w:pStyle w:val="ListParagraph"/>
        <w:numPr>
          <w:ilvl w:val="1"/>
          <w:numId w:val="6"/>
        </w:numPr>
        <w:autoSpaceDE w:val="0"/>
        <w:autoSpaceDN w:val="0"/>
        <w:adjustRightInd w:val="0"/>
        <w:spacing w:after="0"/>
        <w:ind w:left="1571" w:hanging="357"/>
        <w:contextualSpacing w:val="0"/>
        <w:rPr>
          <w:rFonts w:cstheme="minorHAnsi"/>
        </w:rPr>
      </w:pPr>
      <w:r w:rsidRPr="00BC7F2C">
        <w:rPr>
          <w:rFonts w:cstheme="minorHAnsi"/>
        </w:rPr>
        <w:t>compounded with one or more other therapeutically active substances, of which not more than one is an analgesic substance:</w:t>
      </w:r>
    </w:p>
    <w:p w:rsidR="003800B4" w:rsidRPr="00BC7F2C" w:rsidRDefault="003800B4" w:rsidP="00CE6EDB">
      <w:pPr>
        <w:pStyle w:val="ListParagraph"/>
        <w:numPr>
          <w:ilvl w:val="2"/>
          <w:numId w:val="6"/>
        </w:numPr>
        <w:autoSpaceDE w:val="0"/>
        <w:autoSpaceDN w:val="0"/>
        <w:adjustRightInd w:val="0"/>
        <w:spacing w:after="0"/>
        <w:ind w:left="1931" w:hanging="357"/>
        <w:contextualSpacing w:val="0"/>
        <w:rPr>
          <w:rFonts w:cstheme="minorHAnsi"/>
        </w:rPr>
      </w:pPr>
      <w:r w:rsidRPr="00BC7F2C">
        <w:rPr>
          <w:rFonts w:cstheme="minorHAnsi"/>
        </w:rPr>
        <w:t>in divided preparations containing 12 mg or less of codeine per dosage unit; or</w:t>
      </w:r>
    </w:p>
    <w:p w:rsidR="003800B4" w:rsidRPr="00BC7F2C" w:rsidRDefault="003800B4" w:rsidP="00CE6EDB">
      <w:pPr>
        <w:pStyle w:val="ListParagraph"/>
        <w:numPr>
          <w:ilvl w:val="2"/>
          <w:numId w:val="6"/>
        </w:numPr>
        <w:autoSpaceDE w:val="0"/>
        <w:autoSpaceDN w:val="0"/>
        <w:adjustRightInd w:val="0"/>
        <w:spacing w:after="120"/>
        <w:ind w:left="1931"/>
        <w:contextualSpacing w:val="0"/>
        <w:rPr>
          <w:rFonts w:cstheme="minorHAnsi"/>
        </w:rPr>
      </w:pPr>
      <w:r w:rsidRPr="00BC7F2C">
        <w:rPr>
          <w:rFonts w:cstheme="minorHAnsi"/>
        </w:rPr>
        <w:t>in undivided preparations containing 0.25 per cent or less of codeine;</w:t>
      </w:r>
    </w:p>
    <w:p w:rsidR="003800B4" w:rsidRPr="00BC7F2C" w:rsidRDefault="003800B4" w:rsidP="00CE6EDB">
      <w:pPr>
        <w:pStyle w:val="ListParagraph"/>
        <w:numPr>
          <w:ilvl w:val="1"/>
          <w:numId w:val="6"/>
        </w:numPr>
        <w:autoSpaceDE w:val="0"/>
        <w:autoSpaceDN w:val="0"/>
        <w:adjustRightInd w:val="0"/>
        <w:spacing w:after="120"/>
        <w:ind w:left="1571"/>
        <w:contextualSpacing w:val="0"/>
        <w:rPr>
          <w:rFonts w:cstheme="minorHAnsi"/>
        </w:rPr>
      </w:pPr>
      <w:r w:rsidRPr="00BC7F2C">
        <w:rPr>
          <w:rFonts w:cstheme="minorHAnsi"/>
        </w:rPr>
        <w:t>labelled with a recommended daily dose not exceeding 100 mg of codeine; and</w:t>
      </w:r>
    </w:p>
    <w:p w:rsidR="003800B4" w:rsidRPr="00BC7F2C" w:rsidRDefault="003800B4" w:rsidP="00CE6EDB">
      <w:pPr>
        <w:pStyle w:val="ListParagraph"/>
        <w:numPr>
          <w:ilvl w:val="1"/>
          <w:numId w:val="6"/>
        </w:numPr>
        <w:autoSpaceDE w:val="0"/>
        <w:autoSpaceDN w:val="0"/>
        <w:adjustRightInd w:val="0"/>
        <w:spacing w:after="120"/>
        <w:ind w:left="1571"/>
        <w:contextualSpacing w:val="0"/>
        <w:rPr>
          <w:rFonts w:cstheme="minorHAnsi"/>
        </w:rPr>
      </w:pPr>
      <w:r w:rsidRPr="00BC7F2C">
        <w:rPr>
          <w:rFonts w:cstheme="minorHAnsi"/>
        </w:rPr>
        <w:t>in packs containing not more than 5 days' of supply at the maximum dose recommended on the label,</w:t>
      </w:r>
    </w:p>
    <w:p w:rsidR="003800B4" w:rsidRPr="00BC7F2C" w:rsidRDefault="003800B4" w:rsidP="003800B4">
      <w:pPr>
        <w:pStyle w:val="ListParagraph"/>
        <w:spacing w:after="120"/>
        <w:ind w:left="1211" w:firstLine="360"/>
        <w:contextualSpacing w:val="0"/>
        <w:rPr>
          <w:rFonts w:cstheme="minorHAnsi"/>
        </w:rPr>
      </w:pPr>
      <w:r w:rsidRPr="00BC7F2C">
        <w:rPr>
          <w:rFonts w:cstheme="minorHAnsi"/>
          <w:b/>
          <w:bCs/>
        </w:rPr>
        <w:t xml:space="preserve">except </w:t>
      </w:r>
      <w:r w:rsidRPr="00BC7F2C">
        <w:rPr>
          <w:rFonts w:cstheme="minorHAnsi"/>
        </w:rPr>
        <w:t>when included in Schedule 2.</w:t>
      </w:r>
      <w:r w:rsidR="00390B02">
        <w:rPr>
          <w:rFonts w:cstheme="minorHAnsi"/>
        </w:rPr>
        <w:t>”</w:t>
      </w:r>
    </w:p>
    <w:p w:rsidR="003800B4" w:rsidRPr="00BC7F2C" w:rsidRDefault="003800B4" w:rsidP="005B6F50">
      <w:pPr>
        <w:pStyle w:val="Heading5"/>
        <w:rPr>
          <w:rFonts w:eastAsia="Calibri"/>
        </w:rPr>
      </w:pPr>
      <w:bookmarkStart w:id="72" w:name="_Toc431378941"/>
      <w:bookmarkStart w:id="73" w:name="_Toc431407242"/>
      <w:r w:rsidRPr="00BC7F2C">
        <w:rPr>
          <w:rFonts w:eastAsia="Calibri"/>
        </w:rPr>
        <w:t>Schedule 4</w:t>
      </w:r>
      <w:bookmarkEnd w:id="72"/>
      <w:bookmarkEnd w:id="73"/>
    </w:p>
    <w:p w:rsidR="003800B4" w:rsidRPr="00BC7F2C" w:rsidRDefault="00390B02" w:rsidP="00D5538A">
      <w:pPr>
        <w:pStyle w:val="ListParagraph"/>
        <w:spacing w:after="120"/>
        <w:ind w:left="567"/>
        <w:contextualSpacing w:val="0"/>
        <w:rPr>
          <w:rFonts w:eastAsia="Calibri" w:cstheme="minorHAnsi"/>
        </w:rPr>
      </w:pPr>
      <w:r>
        <w:rPr>
          <w:rFonts w:eastAsia="Calibri" w:cstheme="minorHAnsi"/>
        </w:rPr>
        <w:t>“</w:t>
      </w:r>
      <w:r w:rsidR="003800B4" w:rsidRPr="00BC7F2C">
        <w:rPr>
          <w:rFonts w:eastAsia="Calibri" w:cstheme="minorHAnsi"/>
        </w:rPr>
        <w:t>CODEINE when compounded with one or more other therapeutically active substances:</w:t>
      </w:r>
    </w:p>
    <w:p w:rsidR="003800B4" w:rsidRPr="00BC7F2C" w:rsidRDefault="003800B4" w:rsidP="00CE6EDB">
      <w:pPr>
        <w:pStyle w:val="ListParagraph"/>
        <w:numPr>
          <w:ilvl w:val="1"/>
          <w:numId w:val="7"/>
        </w:numPr>
        <w:spacing w:after="120"/>
        <w:ind w:left="1571"/>
        <w:contextualSpacing w:val="0"/>
        <w:rPr>
          <w:rFonts w:eastAsia="Calibri" w:cstheme="minorHAnsi"/>
        </w:rPr>
      </w:pPr>
      <w:r w:rsidRPr="00BC7F2C">
        <w:rPr>
          <w:rFonts w:eastAsia="Calibri" w:cstheme="minorHAnsi"/>
        </w:rPr>
        <w:t>in divided preparations containing 30 mg or less of codeine per dosage unit; or</w:t>
      </w:r>
    </w:p>
    <w:p w:rsidR="003800B4" w:rsidRPr="00BC7F2C" w:rsidRDefault="003800B4" w:rsidP="00CE6EDB">
      <w:pPr>
        <w:pStyle w:val="ListParagraph"/>
        <w:numPr>
          <w:ilvl w:val="1"/>
          <w:numId w:val="7"/>
        </w:numPr>
        <w:spacing w:after="120"/>
        <w:ind w:left="1571"/>
        <w:contextualSpacing w:val="0"/>
        <w:rPr>
          <w:rFonts w:eastAsia="Calibri" w:cstheme="minorHAnsi"/>
        </w:rPr>
      </w:pPr>
      <w:r w:rsidRPr="00BC7F2C">
        <w:rPr>
          <w:rFonts w:eastAsia="Calibri" w:cstheme="minorHAnsi"/>
        </w:rPr>
        <w:t>in undivided preparations containing 1 per cent or less of codeine,</w:t>
      </w:r>
    </w:p>
    <w:p w:rsidR="003800B4" w:rsidRPr="00BC7F2C" w:rsidRDefault="003800B4" w:rsidP="003800B4">
      <w:pPr>
        <w:pStyle w:val="ListParagraph"/>
        <w:spacing w:after="120"/>
        <w:ind w:left="1571"/>
        <w:contextualSpacing w:val="0"/>
        <w:rPr>
          <w:rFonts w:eastAsia="Calibri" w:cstheme="minorHAnsi"/>
        </w:rPr>
      </w:pPr>
      <w:r w:rsidRPr="00BC7F2C">
        <w:rPr>
          <w:rFonts w:eastAsia="Calibri" w:cstheme="minorHAnsi"/>
          <w:b/>
        </w:rPr>
        <w:t>except</w:t>
      </w:r>
      <w:r w:rsidRPr="00BC7F2C">
        <w:rPr>
          <w:rFonts w:eastAsia="Calibri" w:cstheme="minorHAnsi"/>
        </w:rPr>
        <w:t xml:space="preserve"> when included in Schedule 2 or 3.</w:t>
      </w:r>
      <w:r w:rsidR="00390B02">
        <w:rPr>
          <w:rFonts w:eastAsia="Calibri" w:cstheme="minorHAnsi"/>
        </w:rPr>
        <w:t>”</w:t>
      </w:r>
    </w:p>
    <w:p w:rsidR="003800B4" w:rsidRPr="00BC7F2C" w:rsidRDefault="003800B4" w:rsidP="005B6F50">
      <w:pPr>
        <w:pStyle w:val="Heading5"/>
        <w:rPr>
          <w:rFonts w:eastAsia="Calibri"/>
        </w:rPr>
      </w:pPr>
      <w:bookmarkStart w:id="74" w:name="_Toc431378942"/>
      <w:bookmarkStart w:id="75" w:name="_Toc431407243"/>
      <w:r w:rsidRPr="00BC7F2C">
        <w:rPr>
          <w:rFonts w:eastAsia="Calibri"/>
        </w:rPr>
        <w:t>Schedule 8</w:t>
      </w:r>
      <w:bookmarkEnd w:id="74"/>
      <w:bookmarkEnd w:id="75"/>
    </w:p>
    <w:p w:rsidR="003800B4" w:rsidRPr="00BC7F2C" w:rsidRDefault="00390B02" w:rsidP="00D5538A">
      <w:pPr>
        <w:spacing w:after="120"/>
        <w:ind w:left="567"/>
        <w:rPr>
          <w:rFonts w:eastAsia="Calibri" w:cstheme="minorHAnsi"/>
        </w:rPr>
      </w:pPr>
      <w:r>
        <w:rPr>
          <w:rFonts w:eastAsia="Calibri" w:cstheme="minorHAnsi"/>
        </w:rPr>
        <w:t>“</w:t>
      </w:r>
      <w:r w:rsidR="003800B4" w:rsidRPr="00BC7F2C">
        <w:rPr>
          <w:rFonts w:eastAsia="Calibri" w:cstheme="minorHAnsi"/>
        </w:rPr>
        <w:t>CODEINE except when included in Schedule 2, 3 or 4.</w:t>
      </w:r>
      <w:r>
        <w:rPr>
          <w:rFonts w:eastAsia="Calibri" w:cstheme="minorHAnsi"/>
        </w:rPr>
        <w:t>”</w:t>
      </w:r>
    </w:p>
    <w:p w:rsidR="00182DFF" w:rsidRPr="00390B02" w:rsidRDefault="00390B02" w:rsidP="00390B02">
      <w:pPr>
        <w:pStyle w:val="Heading4"/>
      </w:pPr>
      <w:bookmarkStart w:id="76" w:name="_Toc431378943"/>
      <w:bookmarkStart w:id="77" w:name="_Toc431407244"/>
      <w:r w:rsidRPr="00390B02">
        <w:t>4.1.2</w:t>
      </w:r>
      <w:r w:rsidRPr="00390B02">
        <w:tab/>
      </w:r>
      <w:r w:rsidR="00E30BF4" w:rsidRPr="00390B02">
        <w:t xml:space="preserve">Mandatory </w:t>
      </w:r>
      <w:r w:rsidR="005B6F50">
        <w:t xml:space="preserve">label </w:t>
      </w:r>
      <w:r w:rsidR="00E30BF4" w:rsidRPr="00390B02">
        <w:t>s</w:t>
      </w:r>
      <w:r w:rsidR="00182DFF" w:rsidRPr="00390B02">
        <w:t>edation warning</w:t>
      </w:r>
      <w:bookmarkEnd w:id="76"/>
      <w:bookmarkEnd w:id="77"/>
    </w:p>
    <w:p w:rsidR="00182DFF" w:rsidRDefault="00182DFF" w:rsidP="00182DFF">
      <w:pPr>
        <w:spacing w:after="120"/>
        <w:rPr>
          <w:rFonts w:eastAsia="Calibri" w:cstheme="minorHAnsi"/>
        </w:rPr>
      </w:pPr>
      <w:r w:rsidRPr="00182DFF">
        <w:rPr>
          <w:rFonts w:eastAsia="Calibri" w:cstheme="minorHAnsi"/>
        </w:rPr>
        <w:t xml:space="preserve">Additional information in the </w:t>
      </w:r>
      <w:r>
        <w:rPr>
          <w:rFonts w:eastAsia="Calibri" w:cstheme="minorHAnsi"/>
        </w:rPr>
        <w:t>a</w:t>
      </w:r>
      <w:r w:rsidRPr="00182DFF">
        <w:rPr>
          <w:rFonts w:eastAsia="Calibri" w:cstheme="minorHAnsi"/>
        </w:rPr>
        <w:t>ppendices to the SUSMP (</w:t>
      </w:r>
      <w:r>
        <w:rPr>
          <w:rFonts w:eastAsia="Calibri" w:cstheme="minorHAnsi"/>
        </w:rPr>
        <w:t>Appendix</w:t>
      </w:r>
      <w:r w:rsidRPr="00182DFF">
        <w:rPr>
          <w:rFonts w:eastAsia="Calibri" w:cstheme="minorHAnsi"/>
        </w:rPr>
        <w:t xml:space="preserve"> K)</w:t>
      </w:r>
      <w:r>
        <w:rPr>
          <w:rFonts w:eastAsia="Calibri" w:cstheme="minorHAnsi"/>
          <w:b/>
        </w:rPr>
        <w:t xml:space="preserve"> </w:t>
      </w:r>
      <w:r w:rsidRPr="00182DFF">
        <w:rPr>
          <w:rFonts w:eastAsia="Calibri" w:cstheme="minorHAnsi"/>
        </w:rPr>
        <w:t>mandates</w:t>
      </w:r>
      <w:r>
        <w:rPr>
          <w:rFonts w:eastAsia="Calibri" w:cstheme="minorHAnsi"/>
        </w:rPr>
        <w:t xml:space="preserve"> that codeine-containing products are to be labelled with a sedation warning. Any of three statements can be chosen for use as the label sedation warning, and these are specified in Appendix</w:t>
      </w:r>
      <w:r w:rsidRPr="00182DFF">
        <w:rPr>
          <w:rFonts w:eastAsia="Calibri" w:cstheme="minorHAnsi"/>
        </w:rPr>
        <w:t xml:space="preserve"> F Part 1</w:t>
      </w:r>
      <w:r>
        <w:rPr>
          <w:rFonts w:eastAsia="Calibri" w:cstheme="minorHAnsi"/>
        </w:rPr>
        <w:t xml:space="preserve"> as follows</w:t>
      </w:r>
      <w:r w:rsidR="00390B02">
        <w:rPr>
          <w:rFonts w:eastAsia="Calibri" w:cstheme="minorHAnsi"/>
        </w:rPr>
        <w:t>.</w:t>
      </w:r>
    </w:p>
    <w:p w:rsidR="003800B4" w:rsidRPr="00BC7F2C" w:rsidRDefault="003800B4" w:rsidP="00C01C18">
      <w:pPr>
        <w:spacing w:after="120"/>
        <w:ind w:left="1483" w:hanging="1483"/>
        <w:rPr>
          <w:rFonts w:eastAsia="Calibri" w:cstheme="minorHAnsi"/>
        </w:rPr>
      </w:pPr>
      <w:r w:rsidRPr="00BC7F2C">
        <w:rPr>
          <w:rFonts w:eastAsia="Calibri" w:cstheme="minorHAnsi"/>
        </w:rPr>
        <w:t xml:space="preserve">Statement 39: </w:t>
      </w:r>
      <w:r w:rsidRPr="00BC7F2C">
        <w:rPr>
          <w:rFonts w:eastAsia="Calibri" w:cstheme="minorHAnsi"/>
        </w:rPr>
        <w:tab/>
        <w:t>This medication may cause drowsiness. If affected do not drive a vehicle or operate machinery. Avoid alcohol.</w:t>
      </w:r>
    </w:p>
    <w:p w:rsidR="003800B4" w:rsidRPr="00BC7F2C" w:rsidRDefault="003800B4" w:rsidP="00C01C18">
      <w:pPr>
        <w:spacing w:after="120"/>
        <w:ind w:left="1483" w:hanging="1483"/>
        <w:rPr>
          <w:rFonts w:eastAsia="Calibri" w:cstheme="minorHAnsi"/>
        </w:rPr>
      </w:pPr>
      <w:r w:rsidRPr="00BC7F2C">
        <w:rPr>
          <w:rFonts w:eastAsia="Calibri" w:cstheme="minorHAnsi"/>
        </w:rPr>
        <w:t xml:space="preserve">Statement 40: </w:t>
      </w:r>
      <w:r w:rsidRPr="00BC7F2C">
        <w:rPr>
          <w:rFonts w:eastAsia="Calibri" w:cstheme="minorHAnsi"/>
        </w:rPr>
        <w:tab/>
        <w:t>This medication may cause drowsiness and may increase the effects of alcohol. If affected do not drive a motor vehicle or operate machinery.</w:t>
      </w:r>
    </w:p>
    <w:p w:rsidR="003800B4" w:rsidRPr="00BC2153" w:rsidRDefault="003800B4" w:rsidP="00C01C18">
      <w:pPr>
        <w:spacing w:after="120"/>
        <w:ind w:left="1483" w:hanging="1483"/>
        <w:rPr>
          <w:rFonts w:eastAsia="Calibri" w:cstheme="minorHAnsi"/>
        </w:rPr>
      </w:pPr>
      <w:r w:rsidRPr="00BC7F2C">
        <w:rPr>
          <w:rFonts w:eastAsia="Calibri" w:cstheme="minorHAnsi"/>
        </w:rPr>
        <w:t xml:space="preserve">Statement 90: </w:t>
      </w:r>
      <w:r w:rsidRPr="00BC7F2C">
        <w:rPr>
          <w:rFonts w:eastAsia="Calibri" w:cstheme="minorHAnsi"/>
        </w:rPr>
        <w:tab/>
        <w:t>This preparation is to aid sleep. Drowsiness may continue the following day. If affected do not drive or operate machinery. Avoid alcohol.</w:t>
      </w:r>
    </w:p>
    <w:p w:rsidR="003800B4" w:rsidRPr="004015D9" w:rsidRDefault="003800B4" w:rsidP="00CE6EDB">
      <w:pPr>
        <w:pStyle w:val="Heading3"/>
        <w:numPr>
          <w:ilvl w:val="1"/>
          <w:numId w:val="18"/>
        </w:numPr>
      </w:pPr>
      <w:bookmarkStart w:id="78" w:name="_Toc416959632"/>
      <w:bookmarkStart w:id="79" w:name="_Toc431378944"/>
      <w:bookmarkStart w:id="80" w:name="_Toc431407245"/>
      <w:bookmarkStart w:id="81" w:name="_Ref360464188"/>
      <w:r w:rsidRPr="004015D9">
        <w:lastRenderedPageBreak/>
        <w:t>Over the counter (S2 and S3) codeine-containing products</w:t>
      </w:r>
      <w:bookmarkEnd w:id="78"/>
      <w:bookmarkEnd w:id="79"/>
      <w:bookmarkEnd w:id="80"/>
    </w:p>
    <w:p w:rsidR="003800B4" w:rsidRPr="0008060D" w:rsidRDefault="003800B4" w:rsidP="008337EF">
      <w:r>
        <w:t xml:space="preserve">As laid out by the </w:t>
      </w:r>
      <w:r w:rsidR="00C01C18">
        <w:t>Poisons Standard,</w:t>
      </w:r>
      <w:r>
        <w:t xml:space="preserve"> antitussive products containing codeine fall under S2, whilst all analgesic codeine-containing products are S3 or above. This section discusses the</w:t>
      </w:r>
      <w:r w:rsidR="00C01C18">
        <w:t xml:space="preserve"> mechanisms of regulation that over-the-counter (OTC; S3 or below) </w:t>
      </w:r>
      <w:r w:rsidRPr="006F5A78">
        <w:t xml:space="preserve">codeine-containing products </w:t>
      </w:r>
      <w:r>
        <w:t>are subject to.</w:t>
      </w:r>
    </w:p>
    <w:p w:rsidR="003800B4" w:rsidRPr="00C01C18" w:rsidRDefault="003800B4" w:rsidP="00CE6EDB">
      <w:pPr>
        <w:pStyle w:val="Heading4"/>
        <w:numPr>
          <w:ilvl w:val="2"/>
          <w:numId w:val="18"/>
        </w:numPr>
      </w:pPr>
      <w:bookmarkStart w:id="82" w:name="_Toc431378945"/>
      <w:bookmarkStart w:id="83" w:name="_Toc431407246"/>
      <w:r w:rsidRPr="00C01C18">
        <w:t>Required Advisory Statements for Medicine Labels</w:t>
      </w:r>
      <w:bookmarkEnd w:id="81"/>
      <w:bookmarkEnd w:id="82"/>
      <w:bookmarkEnd w:id="83"/>
    </w:p>
    <w:p w:rsidR="003800B4" w:rsidRPr="00FB6359" w:rsidRDefault="003800B4" w:rsidP="008337EF">
      <w:r w:rsidRPr="001F77AB">
        <w:t>The labels of over-the-counter medicines are often required to contain particular advisory statements about specific risks related to use of the medicines. These advisory statements are compiled into the Required Advisory Statements for Medicine Labels (RASML).</w:t>
      </w:r>
      <w:r w:rsidRPr="00FB6359">
        <w:rPr>
          <w:vertAlign w:val="superscript"/>
        </w:rPr>
        <w:endnoteReference w:id="38"/>
      </w:r>
    </w:p>
    <w:p w:rsidR="00DE7576" w:rsidRDefault="003800B4" w:rsidP="008337EF">
      <w:r w:rsidRPr="00FB6359">
        <w:t xml:space="preserve">The RASML is registered as a Specification titled </w:t>
      </w:r>
      <w:r w:rsidRPr="00D741C3">
        <w:rPr>
          <w:i/>
        </w:rPr>
        <w:t>Medicines Advisory Statements Specification 2014</w:t>
      </w:r>
      <w:r>
        <w:t xml:space="preserve"> </w:t>
      </w:r>
      <w:r w:rsidRPr="00FB6359">
        <w:t>on the Federal Regi</w:t>
      </w:r>
      <w:r>
        <w:t>ster of Legislative Instruments</w:t>
      </w:r>
      <w:r w:rsidRPr="00FB6359">
        <w:t>.</w:t>
      </w:r>
      <w:r w:rsidR="00E73849">
        <w:rPr>
          <w:rStyle w:val="EndnoteReference"/>
        </w:rPr>
        <w:endnoteReference w:id="39"/>
      </w:r>
      <w:r w:rsidRPr="00FB6359">
        <w:t xml:space="preserve"> The Specification is a legislative instrument under section 3(5A) of the </w:t>
      </w:r>
      <w:r w:rsidRPr="001F77AB">
        <w:rPr>
          <w:i/>
        </w:rPr>
        <w:t>Therapeutic Goods Act 1989</w:t>
      </w:r>
      <w:r w:rsidRPr="00FB6359">
        <w:t xml:space="preserve"> ('the Act').</w:t>
      </w:r>
      <w:r>
        <w:t xml:space="preserve"> </w:t>
      </w:r>
      <w:r w:rsidRPr="00FB6359">
        <w:t>Therapeutic Goods Order No. 69D</w:t>
      </w:r>
      <w:r>
        <w:t xml:space="preserve"> [TGO 69], an Order under section 10 of the Act, is the </w:t>
      </w:r>
      <w:r w:rsidRPr="002E6E78">
        <w:t>am</w:t>
      </w:r>
      <w:r>
        <w:t xml:space="preserve">endment to the Labelling order that </w:t>
      </w:r>
      <w:r w:rsidRPr="00FB6359">
        <w:t>makes it mandatory for medicine labels to include any requirements as specified in the Medicines Advisory Statements Specification</w:t>
      </w:r>
      <w:r>
        <w:t xml:space="preserve"> </w:t>
      </w:r>
      <w:r w:rsidRPr="00FB6359">
        <w:t>tha</w:t>
      </w:r>
      <w:r>
        <w:t xml:space="preserve">t are relevant to the medicine from time to time. </w:t>
      </w:r>
      <w:r w:rsidRPr="00FB6359">
        <w:t>The Specification and TGO 69D commenced on 12 June 2014. To allow for a transition period for sponsors to comply with the updated requirements, the Specification includes two versions of the RASML ('RASML No. 1' and 'RASML No. 2') as Schedule 1 and Schedule 2 to the Specifications, respectively.</w:t>
      </w:r>
      <w:r>
        <w:t xml:space="preserve"> RASML No. 2 is the most up to date version, and </w:t>
      </w:r>
      <w:r w:rsidRPr="00F8331C">
        <w:t>will come into ef</w:t>
      </w:r>
      <w:r w:rsidR="00F759D8">
        <w:t>fect on 12 December 2015.</w:t>
      </w:r>
    </w:p>
    <w:p w:rsidR="00DF1B8B" w:rsidRDefault="003800B4" w:rsidP="00510E78">
      <w:r>
        <w:t xml:space="preserve">RASML No. 2 contains </w:t>
      </w:r>
      <w:r w:rsidR="00510E78">
        <w:t xml:space="preserve">a number of </w:t>
      </w:r>
      <w:r>
        <w:t>labelling</w:t>
      </w:r>
      <w:r w:rsidRPr="00BC2153">
        <w:t xml:space="preserve"> </w:t>
      </w:r>
      <w:r>
        <w:t xml:space="preserve">requirements </w:t>
      </w:r>
      <w:r w:rsidRPr="00BC2153">
        <w:t>pertain</w:t>
      </w:r>
      <w:r>
        <w:t xml:space="preserve">ing to codeine (and </w:t>
      </w:r>
      <w:proofErr w:type="spellStart"/>
      <w:r>
        <w:t>dihydrocodeine</w:t>
      </w:r>
      <w:proofErr w:type="spellEnd"/>
      <w:r>
        <w:t>)</w:t>
      </w:r>
      <w:r w:rsidR="00510E78">
        <w:t>, as outlined in</w:t>
      </w:r>
      <w:r w:rsidR="00DA7CC7">
        <w:t xml:space="preserve"> </w:t>
      </w:r>
      <w:r w:rsidR="00DA7CC7">
        <w:fldChar w:fldCharType="begin"/>
      </w:r>
      <w:r w:rsidR="00DA7CC7">
        <w:instrText xml:space="preserve"> REF _Ref431377367 \h </w:instrText>
      </w:r>
      <w:r w:rsidR="00DA7CC7">
        <w:fldChar w:fldCharType="separate"/>
      </w:r>
      <w:r w:rsidR="00CC0E48">
        <w:t xml:space="preserve">Table </w:t>
      </w:r>
      <w:r w:rsidR="00CC0E48">
        <w:rPr>
          <w:noProof/>
        </w:rPr>
        <w:t>3</w:t>
      </w:r>
      <w:r w:rsidR="00DA7CC7">
        <w:fldChar w:fldCharType="end"/>
      </w:r>
      <w:r w:rsidR="00510E78" w:rsidRPr="00510E78">
        <w:t>.</w:t>
      </w:r>
    </w:p>
    <w:p w:rsidR="00DA7CC7" w:rsidRPr="00F4674A" w:rsidRDefault="00DA7CC7" w:rsidP="00F759D8">
      <w:pPr>
        <w:pStyle w:val="Tabletitle"/>
      </w:pPr>
      <w:bookmarkStart w:id="84" w:name="_Ref431377367"/>
      <w:bookmarkStart w:id="85" w:name="_Ref431377348"/>
      <w:r>
        <w:t xml:space="preserve">Table </w:t>
      </w:r>
      <w:r w:rsidR="00E844E6">
        <w:fldChar w:fldCharType="begin"/>
      </w:r>
      <w:r w:rsidR="00E844E6">
        <w:instrText xml:space="preserve"> SEQ Table \* ARABIC </w:instrText>
      </w:r>
      <w:r w:rsidR="00E844E6">
        <w:fldChar w:fldCharType="separate"/>
      </w:r>
      <w:r w:rsidR="00CC0E48">
        <w:rPr>
          <w:noProof/>
        </w:rPr>
        <w:t>3</w:t>
      </w:r>
      <w:r w:rsidR="00E844E6">
        <w:rPr>
          <w:noProof/>
        </w:rPr>
        <w:fldChar w:fldCharType="end"/>
      </w:r>
      <w:bookmarkEnd w:id="84"/>
      <w:r>
        <w:t xml:space="preserve">. </w:t>
      </w:r>
      <w:r w:rsidRPr="00DA7CC7">
        <w:t xml:space="preserve">Labelling requirements in RASML 2 that pertain to codeine (and </w:t>
      </w:r>
      <w:proofErr w:type="spellStart"/>
      <w:r w:rsidRPr="00DA7CC7">
        <w:t>dihydrocodeine</w:t>
      </w:r>
      <w:proofErr w:type="spellEnd"/>
      <w:r w:rsidRPr="00DA7CC7">
        <w:t>)</w:t>
      </w:r>
      <w:bookmarkEnd w:id="85"/>
    </w:p>
    <w:tbl>
      <w:tblPr>
        <w:tblStyle w:val="TableTGAblue1"/>
        <w:tblW w:w="0" w:type="auto"/>
        <w:tblLook w:val="04A0" w:firstRow="1" w:lastRow="0" w:firstColumn="1" w:lastColumn="0" w:noHBand="0" w:noVBand="1"/>
      </w:tblPr>
      <w:tblGrid>
        <w:gridCol w:w="1384"/>
        <w:gridCol w:w="2552"/>
        <w:gridCol w:w="5350"/>
      </w:tblGrid>
      <w:tr w:rsidR="00DA7CC7" w:rsidRPr="00F4674A" w:rsidTr="00DA7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A7CC7" w:rsidRPr="00DA7CC7" w:rsidRDefault="00DA7CC7" w:rsidP="009D7C7D">
            <w:pPr>
              <w:keepNext w:val="0"/>
              <w:rPr>
                <w:color w:val="FFFFFF" w:themeColor="background1"/>
                <w:szCs w:val="20"/>
              </w:rPr>
            </w:pPr>
            <w:r w:rsidRPr="00DA7CC7">
              <w:rPr>
                <w:color w:val="FFFFFF" w:themeColor="background1"/>
                <w:szCs w:val="20"/>
              </w:rPr>
              <w:t>Entry</w:t>
            </w:r>
          </w:p>
        </w:tc>
        <w:tc>
          <w:tcPr>
            <w:tcW w:w="2552" w:type="dxa"/>
          </w:tcPr>
          <w:p w:rsidR="00DA7CC7" w:rsidRPr="00DA7CC7" w:rsidRDefault="00DA7CC7" w:rsidP="009D7C7D">
            <w:pPr>
              <w:keepNext w:val="0"/>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DA7CC7">
              <w:rPr>
                <w:color w:val="FFFFFF" w:themeColor="background1"/>
                <w:szCs w:val="20"/>
              </w:rPr>
              <w:t>Circumstances</w:t>
            </w:r>
          </w:p>
        </w:tc>
        <w:tc>
          <w:tcPr>
            <w:tcW w:w="5350" w:type="dxa"/>
          </w:tcPr>
          <w:p w:rsidR="00DA7CC7" w:rsidRPr="00DA7CC7" w:rsidRDefault="00DA7CC7" w:rsidP="009D7C7D">
            <w:pPr>
              <w:keepNext w:val="0"/>
              <w:cnfStyle w:val="100000000000" w:firstRow="1" w:lastRow="0" w:firstColumn="0" w:lastColumn="0" w:oddVBand="0" w:evenVBand="0" w:oddHBand="0" w:evenHBand="0" w:firstRowFirstColumn="0" w:firstRowLastColumn="0" w:lastRowFirstColumn="0" w:lastRowLastColumn="0"/>
              <w:rPr>
                <w:color w:val="FFFFFF" w:themeColor="background1"/>
                <w:szCs w:val="20"/>
              </w:rPr>
            </w:pPr>
            <w:r w:rsidRPr="00DA7CC7">
              <w:rPr>
                <w:color w:val="FFFFFF" w:themeColor="background1"/>
                <w:szCs w:val="20"/>
              </w:rPr>
              <w:t>Label statements required</w:t>
            </w:r>
          </w:p>
        </w:tc>
      </w:tr>
      <w:tr w:rsidR="00DA7CC7" w:rsidRPr="00F4674A" w:rsidTr="00DA7CC7">
        <w:tc>
          <w:tcPr>
            <w:cnfStyle w:val="001000000000" w:firstRow="0" w:lastRow="0" w:firstColumn="1" w:lastColumn="0" w:oddVBand="0" w:evenVBand="0" w:oddHBand="0" w:evenHBand="0" w:firstRowFirstColumn="0" w:firstRowLastColumn="0" w:lastRowFirstColumn="0" w:lastRowLastColumn="0"/>
            <w:tcW w:w="1384" w:type="dxa"/>
          </w:tcPr>
          <w:p w:rsidR="00DA7CC7" w:rsidRPr="00F759D8" w:rsidRDefault="00F759D8" w:rsidP="009D7C7D">
            <w:pPr>
              <w:pStyle w:val="Sarahnormaltext"/>
              <w:spacing w:after="0"/>
              <w:rPr>
                <w:sz w:val="20"/>
                <w:szCs w:val="20"/>
              </w:rPr>
            </w:pPr>
            <w:r w:rsidRPr="00F759D8">
              <w:rPr>
                <w:sz w:val="20"/>
                <w:szCs w:val="20"/>
              </w:rPr>
              <w:t>Codeine</w:t>
            </w:r>
          </w:p>
          <w:p w:rsidR="00DA7CC7" w:rsidRPr="00F759D8" w:rsidRDefault="00DA7CC7" w:rsidP="009D7C7D">
            <w:pPr>
              <w:pStyle w:val="Sarahnormaltext"/>
              <w:spacing w:after="0"/>
              <w:rPr>
                <w:sz w:val="20"/>
                <w:szCs w:val="20"/>
              </w:rPr>
            </w:pPr>
            <w:r w:rsidRPr="00F759D8">
              <w:rPr>
                <w:sz w:val="20"/>
                <w:szCs w:val="20"/>
              </w:rPr>
              <w:t>(Entry 1 of 2)</w:t>
            </w:r>
          </w:p>
        </w:tc>
        <w:tc>
          <w:tcPr>
            <w:tcW w:w="2552" w:type="dxa"/>
          </w:tcPr>
          <w:p w:rsidR="00DA7CC7" w:rsidRPr="00F759D8" w:rsidRDefault="00DA7CC7" w:rsidP="009D7C7D">
            <w:pPr>
              <w:pStyle w:val="Sarahnormaltext"/>
              <w:spacing w:after="0"/>
              <w:cnfStyle w:val="000000000000" w:firstRow="0" w:lastRow="0" w:firstColumn="0" w:lastColumn="0" w:oddVBand="0" w:evenVBand="0" w:oddHBand="0" w:evenHBand="0" w:firstRowFirstColumn="0" w:firstRowLastColumn="0" w:lastRowFirstColumn="0" w:lastRowLastColumn="0"/>
              <w:rPr>
                <w:sz w:val="20"/>
                <w:szCs w:val="20"/>
              </w:rPr>
            </w:pPr>
            <w:r w:rsidRPr="00F759D8">
              <w:rPr>
                <w:sz w:val="20"/>
                <w:szCs w:val="20"/>
              </w:rPr>
              <w:t>In oral preparations indicated for cough, cold or flu which DO NOT include dosage instructions for children aged under 12 years</w:t>
            </w:r>
          </w:p>
        </w:tc>
        <w:tc>
          <w:tcPr>
            <w:tcW w:w="5350" w:type="dxa"/>
          </w:tcPr>
          <w:p w:rsidR="00DA7CC7" w:rsidRPr="00F759D8" w:rsidRDefault="00DA7CC7" w:rsidP="00DA7CC7">
            <w:pPr>
              <w:pStyle w:val="Sarahnormaltext"/>
              <w:numPr>
                <w:ilvl w:val="0"/>
                <w:numId w:val="9"/>
              </w:numPr>
              <w:spacing w:after="0"/>
              <w:ind w:left="317" w:hanging="317"/>
              <w:cnfStyle w:val="000000000000" w:firstRow="0" w:lastRow="0" w:firstColumn="0" w:lastColumn="0" w:oddVBand="0" w:evenVBand="0" w:oddHBand="0" w:evenHBand="0" w:firstRowFirstColumn="0" w:firstRowLastColumn="0" w:lastRowFirstColumn="0" w:lastRowLastColumn="0"/>
              <w:rPr>
                <w:sz w:val="20"/>
                <w:szCs w:val="20"/>
              </w:rPr>
            </w:pPr>
            <w:r w:rsidRPr="00F759D8">
              <w:rPr>
                <w:sz w:val="20"/>
                <w:szCs w:val="20"/>
              </w:rPr>
              <w:t>Do not give to children under 12 years of age.</w:t>
            </w:r>
          </w:p>
        </w:tc>
      </w:tr>
      <w:tr w:rsidR="00DA7CC7" w:rsidRPr="00F4674A" w:rsidTr="00DA7CC7">
        <w:tc>
          <w:tcPr>
            <w:cnfStyle w:val="001000000000" w:firstRow="0" w:lastRow="0" w:firstColumn="1" w:lastColumn="0" w:oddVBand="0" w:evenVBand="0" w:oddHBand="0" w:evenHBand="0" w:firstRowFirstColumn="0" w:firstRowLastColumn="0" w:lastRowFirstColumn="0" w:lastRowLastColumn="0"/>
            <w:tcW w:w="1384" w:type="dxa"/>
          </w:tcPr>
          <w:p w:rsidR="00DA7CC7" w:rsidRPr="00F759D8" w:rsidRDefault="00DA7CC7" w:rsidP="009D7C7D">
            <w:pPr>
              <w:pStyle w:val="Sarahnormaltext"/>
              <w:spacing w:after="0"/>
              <w:rPr>
                <w:sz w:val="20"/>
                <w:szCs w:val="20"/>
              </w:rPr>
            </w:pPr>
            <w:r w:rsidRPr="00F759D8">
              <w:rPr>
                <w:sz w:val="20"/>
                <w:szCs w:val="20"/>
              </w:rPr>
              <w:t xml:space="preserve">Codeine </w:t>
            </w:r>
          </w:p>
          <w:p w:rsidR="00DA7CC7" w:rsidRPr="00F759D8" w:rsidRDefault="00DA7CC7" w:rsidP="009D7C7D">
            <w:pPr>
              <w:pStyle w:val="Sarahnormaltext"/>
              <w:spacing w:after="0"/>
              <w:rPr>
                <w:sz w:val="20"/>
                <w:szCs w:val="20"/>
              </w:rPr>
            </w:pPr>
            <w:r w:rsidRPr="00F759D8">
              <w:rPr>
                <w:sz w:val="20"/>
                <w:szCs w:val="20"/>
              </w:rPr>
              <w:t xml:space="preserve">(Entry 2 of 2) </w:t>
            </w:r>
          </w:p>
          <w:p w:rsidR="00DA7CC7" w:rsidRPr="00F759D8" w:rsidRDefault="00DA7CC7" w:rsidP="009D7C7D">
            <w:pPr>
              <w:pStyle w:val="Sarahnormaltext"/>
              <w:spacing w:after="0"/>
              <w:rPr>
                <w:sz w:val="20"/>
                <w:szCs w:val="20"/>
              </w:rPr>
            </w:pPr>
          </w:p>
        </w:tc>
        <w:tc>
          <w:tcPr>
            <w:tcW w:w="2552" w:type="dxa"/>
          </w:tcPr>
          <w:p w:rsidR="00DA7CC7" w:rsidRPr="00F759D8" w:rsidRDefault="00DA7CC7" w:rsidP="009D7C7D">
            <w:pPr>
              <w:pStyle w:val="Sarahnormaltext"/>
              <w:spacing w:after="0"/>
              <w:cnfStyle w:val="000000000000" w:firstRow="0" w:lastRow="0" w:firstColumn="0" w:lastColumn="0" w:oddVBand="0" w:evenVBand="0" w:oddHBand="0" w:evenHBand="0" w:firstRowFirstColumn="0" w:firstRowLastColumn="0" w:lastRowFirstColumn="0" w:lastRowLastColumn="0"/>
              <w:rPr>
                <w:sz w:val="20"/>
                <w:szCs w:val="20"/>
              </w:rPr>
            </w:pPr>
            <w:r w:rsidRPr="00F759D8">
              <w:rPr>
                <w:sz w:val="20"/>
                <w:szCs w:val="20"/>
              </w:rPr>
              <w:t>In oral preparations indicated for cough, cold or flu which include dosage instructions for children aged from ‘x’ to 11 years (where ‘x’ is 6, 7, 8, 9, 10 or 11)</w:t>
            </w:r>
          </w:p>
        </w:tc>
        <w:tc>
          <w:tcPr>
            <w:tcW w:w="5350" w:type="dxa"/>
          </w:tcPr>
          <w:p w:rsidR="00DA7CC7" w:rsidRPr="00F759D8" w:rsidRDefault="00DA7CC7" w:rsidP="005050E3">
            <w:pPr>
              <w:pStyle w:val="Sarahnormaltext"/>
              <w:numPr>
                <w:ilvl w:val="0"/>
                <w:numId w:val="47"/>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F759D8">
              <w:rPr>
                <w:sz w:val="20"/>
                <w:szCs w:val="20"/>
              </w:rPr>
              <w:t>Do not give to children under ‘x’ years of age.</w:t>
            </w:r>
          </w:p>
          <w:p w:rsidR="00DA7CC7" w:rsidRPr="00F759D8" w:rsidRDefault="00DA7CC7" w:rsidP="005050E3">
            <w:pPr>
              <w:pStyle w:val="Sarahnormaltext"/>
              <w:numPr>
                <w:ilvl w:val="0"/>
                <w:numId w:val="8"/>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F759D8">
              <w:rPr>
                <w:sz w:val="20"/>
                <w:szCs w:val="20"/>
              </w:rPr>
              <w:t xml:space="preserve"> either (if ‘x’ is 11)</w:t>
            </w:r>
          </w:p>
          <w:p w:rsidR="00DA7CC7" w:rsidRPr="00F759D8" w:rsidRDefault="00DA7CC7" w:rsidP="005050E3">
            <w:pPr>
              <w:pStyle w:val="Sarahnormaltext"/>
              <w:numPr>
                <w:ilvl w:val="0"/>
                <w:numId w:val="46"/>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F759D8">
              <w:rPr>
                <w:sz w:val="20"/>
                <w:szCs w:val="20"/>
              </w:rPr>
              <w:t>Do not give to children aged 11 years, except on the advice of a doctor, pharmacist or nurse practitioner.</w:t>
            </w:r>
          </w:p>
          <w:p w:rsidR="00DA7CC7" w:rsidRPr="00F759D8" w:rsidRDefault="00DA7CC7" w:rsidP="009D7C7D">
            <w:pPr>
              <w:pStyle w:val="Sarahnormaltext"/>
              <w:numPr>
                <w:ilvl w:val="0"/>
                <w:numId w:val="8"/>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F759D8">
              <w:rPr>
                <w:sz w:val="20"/>
                <w:szCs w:val="20"/>
              </w:rPr>
              <w:t>or (if ‘x’ is 6, 7, 8, 9 or 10)</w:t>
            </w:r>
          </w:p>
          <w:p w:rsidR="00DA7CC7" w:rsidRPr="00F759D8" w:rsidRDefault="00DA7CC7" w:rsidP="005050E3">
            <w:pPr>
              <w:pStyle w:val="Sarahnormaltext"/>
              <w:numPr>
                <w:ilvl w:val="0"/>
                <w:numId w:val="46"/>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F759D8">
              <w:rPr>
                <w:sz w:val="20"/>
                <w:szCs w:val="20"/>
              </w:rPr>
              <w:t>Do not give to children aged between ‘x’ and 11 years of age, except on the advice of a doctor, pharmacist or nurse practitioner.</w:t>
            </w:r>
          </w:p>
        </w:tc>
      </w:tr>
    </w:tbl>
    <w:p w:rsidR="00CC0E48" w:rsidRDefault="00CC0E48" w:rsidP="00CC0E48">
      <w:r>
        <w:t>These entries in RASML were brought about due to a review of the risk-benefit ratio of cough and cold preparations for children that was completed by the TGA in 2012.</w:t>
      </w:r>
      <w:r w:rsidRPr="00E96C54">
        <w:rPr>
          <w:vertAlign w:val="superscript"/>
        </w:rPr>
        <w:endnoteReference w:id="40"/>
      </w:r>
      <w:r w:rsidRPr="00BC2153">
        <w:t xml:space="preserve"> </w:t>
      </w:r>
      <w:r>
        <w:t>Similar international reviews had raised concerns that efficacy data was not strong enough to justify risk for a number of ingredients seen in these medicines, including codeine and antihistamines.</w:t>
      </w:r>
      <w:r w:rsidRPr="00BC2153">
        <w:t xml:space="preserve"> </w:t>
      </w:r>
      <w:r>
        <w:t xml:space="preserve">The TGA review recommended that children under the age of 6 should not be treated with </w:t>
      </w:r>
      <w:r>
        <w:lastRenderedPageBreak/>
        <w:t xml:space="preserve">codeine for cough. As a result, sponsors of </w:t>
      </w:r>
      <w:r w:rsidRPr="002F4C1B">
        <w:t xml:space="preserve">all </w:t>
      </w:r>
      <w:r>
        <w:t xml:space="preserve">cough and cold </w:t>
      </w:r>
      <w:r w:rsidRPr="002F4C1B">
        <w:t xml:space="preserve">products containing codeine </w:t>
      </w:r>
      <w:r>
        <w:t>were mandated to remove any dosing instructions that allowed administration to children under the age of 6 years and the above entries regarding codeine were added to the RASML. The result of these actions wa</w:t>
      </w:r>
      <w:r w:rsidRPr="00BC2153">
        <w:t xml:space="preserve">s that codeine-containing </w:t>
      </w:r>
      <w:r>
        <w:t xml:space="preserve">OTC </w:t>
      </w:r>
      <w:r w:rsidRPr="00BC2153">
        <w:t xml:space="preserve">medicines indicated for cough and cold </w:t>
      </w:r>
      <w:r>
        <w:t>(i.e. S2 medicines) are</w:t>
      </w:r>
      <w:r w:rsidRPr="00BC2153">
        <w:t xml:space="preserve"> </w:t>
      </w:r>
      <w:r>
        <w:t xml:space="preserve">not recommended for use in children under 6, and are </w:t>
      </w:r>
      <w:r w:rsidRPr="00BC2153">
        <w:t>to be used in children aged 6-11 years only on the advice of a doctor, ph</w:t>
      </w:r>
      <w:r>
        <w:t>armacist or nurse practitioner.</w:t>
      </w:r>
    </w:p>
    <w:p w:rsidR="00CC0E48" w:rsidRDefault="00CC0E48" w:rsidP="00CC0E48">
      <w:r>
        <w:t>T</w:t>
      </w:r>
      <w:r w:rsidRPr="00BC2153">
        <w:t>he RASML does not</w:t>
      </w:r>
      <w:r>
        <w:t>, however,</w:t>
      </w:r>
      <w:r w:rsidRPr="00BC2153">
        <w:t xml:space="preserve"> contain any requirements for </w:t>
      </w:r>
      <w:r>
        <w:t xml:space="preserve">specific </w:t>
      </w:r>
      <w:r w:rsidRPr="00BC2153">
        <w:t xml:space="preserve">labelling of codeine-containing products </w:t>
      </w:r>
      <w:r>
        <w:t>for any other indication, and so these restrictions only affect S2 and S3 codeine-containing products indicated for coughs and colds.</w:t>
      </w:r>
    </w:p>
    <w:p w:rsidR="003800B4" w:rsidRPr="00485F72" w:rsidRDefault="003800B4" w:rsidP="00CE6EDB">
      <w:pPr>
        <w:pStyle w:val="Heading4"/>
        <w:numPr>
          <w:ilvl w:val="2"/>
          <w:numId w:val="18"/>
        </w:numPr>
      </w:pPr>
      <w:bookmarkStart w:id="86" w:name="_Toc431378946"/>
      <w:bookmarkStart w:id="87" w:name="_Toc431407247"/>
      <w:r w:rsidRPr="00485F72">
        <w:t>Australian regulatory guidelines for over-the-counter medicines</w:t>
      </w:r>
      <w:bookmarkEnd w:id="86"/>
      <w:bookmarkEnd w:id="87"/>
    </w:p>
    <w:p w:rsidR="003800B4" w:rsidRDefault="003800B4" w:rsidP="008337EF">
      <w:r>
        <w:t xml:space="preserve">To ensure that future registration applications for OTC products also adhere to the recommendations regarding codeine-containing cough and cold medicines in children made by the 2012 review, text was added to Appendix 5 of the </w:t>
      </w:r>
      <w:r w:rsidRPr="00803CF7">
        <w:t>Australian regulatory guidelines for over-the-counter medicines</w:t>
      </w:r>
      <w:r>
        <w:t xml:space="preserve"> (ARGOM) document: </w:t>
      </w:r>
      <w:r w:rsidRPr="00803CF7">
        <w:rPr>
          <w:i/>
        </w:rPr>
        <w:t>Guidelines on OTC application for specific substances</w:t>
      </w:r>
      <w:r>
        <w:t>.</w:t>
      </w:r>
      <w:r>
        <w:rPr>
          <w:rStyle w:val="EndnoteReference"/>
        </w:rPr>
        <w:endnoteReference w:id="41"/>
      </w:r>
      <w:r>
        <w:t xml:space="preserve"> The ARGOM guidelines have been prepared to guide sponsors in the preparation of applications that are in keeping with the TGA’s stance on particular issues, encouraging a more efficient registration process.</w:t>
      </w:r>
    </w:p>
    <w:p w:rsidR="003800B4" w:rsidRDefault="003800B4" w:rsidP="008337EF">
      <w:r>
        <w:t xml:space="preserve">The added text </w:t>
      </w:r>
      <w:r w:rsidR="00485F72">
        <w:t>regarding codeine is as follows.</w:t>
      </w:r>
    </w:p>
    <w:p w:rsidR="003800B4" w:rsidRPr="00485F72" w:rsidRDefault="003800B4" w:rsidP="008337EF">
      <w:pPr>
        <w:pStyle w:val="Sarahnormaltext"/>
        <w:spacing w:after="120"/>
        <w:ind w:left="284"/>
        <w:rPr>
          <w:sz w:val="20"/>
          <w:szCs w:val="20"/>
        </w:rPr>
      </w:pPr>
      <w:r w:rsidRPr="00803CF7">
        <w:rPr>
          <w:i/>
        </w:rPr>
        <w:t>“</w:t>
      </w:r>
      <w:r w:rsidRPr="00485F72">
        <w:rPr>
          <w:sz w:val="20"/>
          <w:szCs w:val="20"/>
        </w:rPr>
        <w:t>A review by the TGA of OTC cough and cold medicines for children aged 2-12 years has concluded that, in light of the current lack of evidence of efficacy and the historical profile of adverse drug reactions (ADRs) in Australia and overseas, it is likely that the risks associated with the use of cough and cold preparations in children outweigh the benefits for children below the age of 6 years. There is currently a lack of evidence of efficacy for cough and cold medicines in children aged 6 to 12 years of age. Additionally, the historical profile of adverse drug reactions indicates that there are potential risks involved in use of the</w:t>
      </w:r>
      <w:r w:rsidR="009E7C17">
        <w:rPr>
          <w:sz w:val="20"/>
          <w:szCs w:val="20"/>
        </w:rPr>
        <w:t>se medicines in that age group.</w:t>
      </w:r>
    </w:p>
    <w:p w:rsidR="003800B4" w:rsidRPr="00485F72" w:rsidRDefault="00485F72" w:rsidP="008337EF">
      <w:pPr>
        <w:pStyle w:val="Sarahnormaltext"/>
        <w:spacing w:after="120"/>
        <w:ind w:left="284"/>
        <w:rPr>
          <w:sz w:val="20"/>
          <w:szCs w:val="20"/>
        </w:rPr>
      </w:pPr>
      <w:r>
        <w:rPr>
          <w:sz w:val="20"/>
          <w:szCs w:val="20"/>
        </w:rPr>
        <w:t>“</w:t>
      </w:r>
      <w:r w:rsidR="003800B4" w:rsidRPr="00485F72">
        <w:rPr>
          <w:sz w:val="20"/>
          <w:szCs w:val="20"/>
        </w:rPr>
        <w:t>Following this review, the TGA has agreed that OTC cough and cold products containing any of the following ingredients should not be used for the treatment of children under 6 years of age, and should only be administered to children aged 6-11 years on the advice of a doctor, pharmacist or nurse practitioner.”</w:t>
      </w:r>
    </w:p>
    <w:p w:rsidR="00514884" w:rsidRDefault="003800B4" w:rsidP="008337EF">
      <w:r w:rsidRPr="008337EF">
        <w:t xml:space="preserve">The list of ingredients following that section of text includes codeine, </w:t>
      </w:r>
      <w:proofErr w:type="spellStart"/>
      <w:r w:rsidRPr="008337EF">
        <w:t>dihydrocodeine</w:t>
      </w:r>
      <w:proofErr w:type="spellEnd"/>
      <w:r w:rsidRPr="008337EF">
        <w:t xml:space="preserve"> and </w:t>
      </w:r>
      <w:proofErr w:type="spellStart"/>
      <w:r w:rsidRPr="008337EF">
        <w:t>pholcodine</w:t>
      </w:r>
      <w:proofErr w:type="spellEnd"/>
      <w:r w:rsidRPr="008337EF">
        <w:t>. Again, however, these guidelines specify that the risk outweighs the potential benefit when used as an antitussive, and so these restrictions do not provide protection to children who may be given codeine as an analgesic</w:t>
      </w:r>
      <w:r>
        <w:t>.</w:t>
      </w:r>
    </w:p>
    <w:p w:rsidR="003800B4" w:rsidRPr="00485F72" w:rsidRDefault="003800B4" w:rsidP="00CE6EDB">
      <w:pPr>
        <w:pStyle w:val="Heading4"/>
        <w:numPr>
          <w:ilvl w:val="2"/>
          <w:numId w:val="18"/>
        </w:numPr>
      </w:pPr>
      <w:bookmarkStart w:id="88" w:name="_Toc431378947"/>
      <w:bookmarkStart w:id="89" w:name="_Toc431407248"/>
      <w:r w:rsidRPr="00485F72">
        <w:t>Product Information and Consumer Medicine Information</w:t>
      </w:r>
      <w:bookmarkEnd w:id="88"/>
      <w:bookmarkEnd w:id="89"/>
    </w:p>
    <w:p w:rsidR="003800B4" w:rsidRDefault="003800B4" w:rsidP="008337EF">
      <w:pPr>
        <w:rPr>
          <w:rFonts w:eastAsia="Calibri"/>
        </w:rPr>
      </w:pPr>
      <w:r w:rsidRPr="00431ED3">
        <w:t xml:space="preserve">Product Information (PI) </w:t>
      </w:r>
      <w:r>
        <w:t xml:space="preserve">and </w:t>
      </w:r>
      <w:r w:rsidRPr="00431ED3">
        <w:t>Consumer Medicine Information (CMI) documents</w:t>
      </w:r>
      <w:r>
        <w:t xml:space="preserve"> are used by the TGA to provide safety information to pharmacists/prescribers and consumers of medicines respectively.</w:t>
      </w:r>
      <w:r w:rsidRPr="00431ED3">
        <w:t xml:space="preserve"> </w:t>
      </w:r>
      <w:r>
        <w:t xml:space="preserve">S2 </w:t>
      </w:r>
      <w:r w:rsidRPr="00BC2153">
        <w:t xml:space="preserve">products are not required to have </w:t>
      </w:r>
      <w:r>
        <w:t>these documents, but</w:t>
      </w:r>
      <w:r w:rsidRPr="00BC2153">
        <w:t xml:space="preserve"> </w:t>
      </w:r>
      <w:r>
        <w:rPr>
          <w:rFonts w:eastAsia="Calibri"/>
        </w:rPr>
        <w:t>S3 prod</w:t>
      </w:r>
      <w:r w:rsidR="009E7C17">
        <w:rPr>
          <w:rFonts w:eastAsia="Calibri"/>
        </w:rPr>
        <w:t>ucts are required to have both.</w:t>
      </w:r>
    </w:p>
    <w:p w:rsidR="003800B4" w:rsidRDefault="003800B4" w:rsidP="008337EF">
      <w:pPr>
        <w:rPr>
          <w:rFonts w:eastAsia="Calibri"/>
        </w:rPr>
      </w:pPr>
      <w:r>
        <w:rPr>
          <w:rFonts w:eastAsia="Calibri"/>
        </w:rPr>
        <w:t>In 2010, codeine products for analgesia were rescheduled from S2 to S3. Some of these products did not have a PI, being S</w:t>
      </w:r>
      <w:r w:rsidR="00485F72">
        <w:rPr>
          <w:rFonts w:eastAsia="Calibri"/>
        </w:rPr>
        <w:t>2 previously, and some were</w:t>
      </w:r>
      <w:r>
        <w:rPr>
          <w:rFonts w:eastAsia="Calibri"/>
        </w:rPr>
        <w:t xml:space="preserve"> originally introduced into the ARTG by the “grandfather” process, meaning they had not been fully evaluated previously by the TGA. As a result, there were a large number of products which needed to introduce new PI documents at the same time. In order to assist sponsors and to encourage consistency between products, the TGA and Australian Self Medication Industry (ASMI) developed a set of</w:t>
      </w:r>
      <w:r w:rsidRPr="00BC2153">
        <w:rPr>
          <w:rFonts w:eastAsia="Calibri"/>
        </w:rPr>
        <w:t xml:space="preserve"> basic template information </w:t>
      </w:r>
      <w:r>
        <w:rPr>
          <w:rFonts w:eastAsia="Calibri"/>
        </w:rPr>
        <w:t>documents (“core” PI and CMI documents)</w:t>
      </w:r>
      <w:r>
        <w:rPr>
          <w:rStyle w:val="EndnoteReference"/>
          <w:rFonts w:eastAsia="Calibri"/>
        </w:rPr>
        <w:endnoteReference w:id="42"/>
      </w:r>
      <w:r>
        <w:rPr>
          <w:rFonts w:eastAsia="Calibri"/>
        </w:rPr>
        <w:t xml:space="preserve"> for codeine </w:t>
      </w:r>
      <w:r w:rsidRPr="00BC2153">
        <w:rPr>
          <w:rFonts w:eastAsia="Calibri"/>
        </w:rPr>
        <w:t>in combination with asp</w:t>
      </w:r>
      <w:r>
        <w:rPr>
          <w:rFonts w:eastAsia="Calibri"/>
        </w:rPr>
        <w:t xml:space="preserve">irin, paracetamol and ibuprofen. By conforming to the wording in these documents, sponsors </w:t>
      </w:r>
      <w:r>
        <w:rPr>
          <w:rFonts w:eastAsia="Calibri"/>
        </w:rPr>
        <w:lastRenderedPageBreak/>
        <w:t>could introduce their PI in a streamlined way</w:t>
      </w:r>
      <w:r w:rsidRPr="00E3699B">
        <w:t xml:space="preserve"> </w:t>
      </w:r>
      <w:r>
        <w:rPr>
          <w:rFonts w:eastAsia="Calibri"/>
        </w:rPr>
        <w:t>via</w:t>
      </w:r>
      <w:r w:rsidRPr="00E3699B">
        <w:rPr>
          <w:rFonts w:eastAsia="Calibri"/>
        </w:rPr>
        <w:t xml:space="preserve"> a notification application at that time</w:t>
      </w:r>
      <w:r>
        <w:rPr>
          <w:rFonts w:eastAsia="Calibri"/>
        </w:rPr>
        <w:t>. PI applications not conforming to the required information had to</w:t>
      </w:r>
      <w:r w:rsidR="009E7C17">
        <w:rPr>
          <w:rFonts w:eastAsia="Calibri"/>
        </w:rPr>
        <w:t xml:space="preserve"> undergo individual evaluation.</w:t>
      </w:r>
    </w:p>
    <w:p w:rsidR="003800B4" w:rsidRDefault="003800B4" w:rsidP="008337EF">
      <w:pPr>
        <w:rPr>
          <w:rFonts w:eastAsia="Calibri" w:cstheme="minorHAnsi"/>
        </w:rPr>
      </w:pPr>
      <w:r w:rsidRPr="00BC2153">
        <w:rPr>
          <w:rFonts w:eastAsia="Calibri" w:cstheme="minorHAnsi"/>
        </w:rPr>
        <w:t xml:space="preserve">The core PI documents do not contain warnings regarding </w:t>
      </w:r>
      <w:r w:rsidR="004015D9">
        <w:rPr>
          <w:rFonts w:eastAsia="Calibri" w:cstheme="minorHAnsi"/>
        </w:rPr>
        <w:t xml:space="preserve">ultra-rapid </w:t>
      </w:r>
      <w:r w:rsidRPr="00BC2153">
        <w:rPr>
          <w:rFonts w:eastAsia="Calibri" w:cstheme="minorHAnsi"/>
        </w:rPr>
        <w:t xml:space="preserve">metabolisers or children post </w:t>
      </w:r>
      <w:proofErr w:type="spellStart"/>
      <w:r w:rsidRPr="00BC2153">
        <w:rPr>
          <w:rFonts w:eastAsia="Calibri" w:cstheme="minorHAnsi"/>
        </w:rPr>
        <w:t>adenotonsillectomy</w:t>
      </w:r>
      <w:proofErr w:type="spellEnd"/>
      <w:r w:rsidRPr="00BC2153">
        <w:rPr>
          <w:rFonts w:eastAsia="Calibri" w:cstheme="minorHAnsi"/>
        </w:rPr>
        <w:t xml:space="preserve"> but do </w:t>
      </w:r>
      <w:r>
        <w:rPr>
          <w:rFonts w:eastAsia="Calibri" w:cstheme="minorHAnsi"/>
        </w:rPr>
        <w:t>advise</w:t>
      </w:r>
      <w:r w:rsidRPr="00BC2153">
        <w:rPr>
          <w:rFonts w:eastAsia="Calibri" w:cstheme="minorHAnsi"/>
        </w:rPr>
        <w:t xml:space="preserve"> caution in pre-existing respiratory depression or decreased respiratory </w:t>
      </w:r>
      <w:r w:rsidRPr="00122F36">
        <w:t>reserve. Use during lactation is not recommended unless the risk to the infant is outweighed by the benefit of the medicine to the mother. There are no specific warnings regarding use in children for</w:t>
      </w:r>
      <w:r w:rsidRPr="00BC2153">
        <w:rPr>
          <w:rFonts w:eastAsia="Calibri" w:cstheme="minorHAnsi"/>
        </w:rPr>
        <w:t xml:space="preserve"> the paracetamol-codeine or the ibuprofen-codeine analgesic products.</w:t>
      </w:r>
      <w:r>
        <w:rPr>
          <w:rFonts w:eastAsia="Calibri" w:cstheme="minorHAnsi"/>
        </w:rPr>
        <w:t xml:space="preserve"> The aspirin-codeine combination core PI states that it should only be given to children under 12 on medical advice due to the aspirin content. </w:t>
      </w:r>
      <w:r w:rsidRPr="0010617F">
        <w:rPr>
          <w:rFonts w:eastAsia="Calibri" w:cstheme="minorHAnsi"/>
        </w:rPr>
        <w:t>T</w:t>
      </w:r>
      <w:r>
        <w:rPr>
          <w:rFonts w:eastAsia="Calibri" w:cstheme="minorHAnsi"/>
        </w:rPr>
        <w:t>here are</w:t>
      </w:r>
      <w:r w:rsidRPr="0010617F">
        <w:rPr>
          <w:rFonts w:eastAsia="Calibri" w:cstheme="minorHAnsi"/>
        </w:rPr>
        <w:t xml:space="preserve"> no consistent </w:t>
      </w:r>
      <w:r>
        <w:rPr>
          <w:rFonts w:eastAsia="Calibri" w:cstheme="minorHAnsi"/>
        </w:rPr>
        <w:t xml:space="preserve">PI </w:t>
      </w:r>
      <w:r w:rsidRPr="0010617F">
        <w:rPr>
          <w:rFonts w:eastAsia="Calibri" w:cstheme="minorHAnsi"/>
        </w:rPr>
        <w:t>requirement</w:t>
      </w:r>
      <w:r>
        <w:rPr>
          <w:rFonts w:eastAsia="Calibri" w:cstheme="minorHAnsi"/>
        </w:rPr>
        <w:t>s</w:t>
      </w:r>
      <w:r w:rsidRPr="0010617F">
        <w:rPr>
          <w:rFonts w:eastAsia="Calibri" w:cstheme="minorHAnsi"/>
        </w:rPr>
        <w:t xml:space="preserve"> </w:t>
      </w:r>
      <w:r>
        <w:rPr>
          <w:rFonts w:eastAsia="Calibri" w:cstheme="minorHAnsi"/>
        </w:rPr>
        <w:t xml:space="preserve">for </w:t>
      </w:r>
      <w:r w:rsidRPr="0010617F">
        <w:rPr>
          <w:rFonts w:eastAsia="Calibri" w:cstheme="minorHAnsi"/>
        </w:rPr>
        <w:t xml:space="preserve">Schedule 3 products in terms of codeine dosing recommendations for children, or inclusion of safety information regarding </w:t>
      </w:r>
      <w:r w:rsidR="004015D9">
        <w:rPr>
          <w:rFonts w:eastAsia="Calibri" w:cstheme="minorHAnsi"/>
        </w:rPr>
        <w:t>ultra-rapid</w:t>
      </w:r>
      <w:r w:rsidRPr="0010617F">
        <w:rPr>
          <w:rFonts w:eastAsia="Calibri" w:cstheme="minorHAnsi"/>
        </w:rPr>
        <w:t xml:space="preserve"> metabolisers.</w:t>
      </w:r>
    </w:p>
    <w:p w:rsidR="009A128D" w:rsidRDefault="003800B4" w:rsidP="008337EF">
      <w:pPr>
        <w:rPr>
          <w:rFonts w:eastAsia="Calibri" w:cstheme="minorHAnsi"/>
        </w:rPr>
      </w:pPr>
      <w:r w:rsidRPr="00AD0A6A">
        <w:rPr>
          <w:rFonts w:eastAsia="Calibri" w:cstheme="minorHAnsi"/>
        </w:rPr>
        <w:t xml:space="preserve">Thorough review of all of the PIs for codeine-containing schedule 3 products has not been performed as there are </w:t>
      </w:r>
      <w:r w:rsidR="001B20F1">
        <w:rPr>
          <w:rFonts w:eastAsia="Calibri" w:cstheme="minorHAnsi"/>
        </w:rPr>
        <w:t xml:space="preserve">around 300 </w:t>
      </w:r>
      <w:r w:rsidRPr="00AD0A6A">
        <w:rPr>
          <w:rFonts w:eastAsia="Calibri" w:cstheme="minorHAnsi"/>
        </w:rPr>
        <w:t>such products on the ARTG</w:t>
      </w:r>
      <w:r w:rsidR="001B20F1">
        <w:rPr>
          <w:rFonts w:eastAsia="Calibri" w:cstheme="minorHAnsi"/>
        </w:rPr>
        <w:t xml:space="preserve"> (as at June 2015)</w:t>
      </w:r>
      <w:r w:rsidRPr="00AD0A6A">
        <w:rPr>
          <w:rFonts w:eastAsia="Calibri" w:cstheme="minorHAnsi"/>
        </w:rPr>
        <w:t xml:space="preserve">, a number of which may </w:t>
      </w:r>
      <w:r>
        <w:rPr>
          <w:rFonts w:eastAsia="Calibri" w:cstheme="minorHAnsi"/>
        </w:rPr>
        <w:t xml:space="preserve">be </w:t>
      </w:r>
      <w:r w:rsidRPr="00AD0A6A">
        <w:rPr>
          <w:rFonts w:eastAsia="Calibri" w:cstheme="minorHAnsi"/>
        </w:rPr>
        <w:t>vestigial registrations</w:t>
      </w:r>
      <w:r>
        <w:rPr>
          <w:rFonts w:eastAsia="Calibri" w:cstheme="minorHAnsi"/>
        </w:rPr>
        <w:t xml:space="preserve">/non-marketed products, products indicated for cough or products for which electronic PI documents are not </w:t>
      </w:r>
      <w:r w:rsidR="001B20F1">
        <w:rPr>
          <w:rFonts w:eastAsia="Calibri" w:cstheme="minorHAnsi"/>
        </w:rPr>
        <w:t xml:space="preserve">readily </w:t>
      </w:r>
      <w:r>
        <w:rPr>
          <w:rFonts w:eastAsia="Calibri" w:cstheme="minorHAnsi"/>
        </w:rPr>
        <w:t>available</w:t>
      </w:r>
      <w:r w:rsidRPr="00AD0A6A">
        <w:rPr>
          <w:rFonts w:eastAsia="Calibri" w:cstheme="minorHAnsi"/>
        </w:rPr>
        <w:t>.</w:t>
      </w:r>
      <w:r>
        <w:rPr>
          <w:rFonts w:eastAsia="Calibri" w:cstheme="minorHAnsi"/>
        </w:rPr>
        <w:t xml:space="preserve"> However, for the purposes of this review </w:t>
      </w:r>
      <w:r w:rsidR="009A128D">
        <w:rPr>
          <w:rFonts w:eastAsia="Calibri" w:cstheme="minorHAnsi"/>
        </w:rPr>
        <w:t xml:space="preserve">the PIs (current as at January 1, 2013) for </w:t>
      </w:r>
      <w:r w:rsidR="00E9352F">
        <w:rPr>
          <w:rFonts w:eastAsia="Calibri" w:cstheme="minorHAnsi"/>
        </w:rPr>
        <w:t>two</w:t>
      </w:r>
      <w:r w:rsidR="009A128D">
        <w:rPr>
          <w:rFonts w:eastAsia="Calibri" w:cstheme="minorHAnsi"/>
        </w:rPr>
        <w:t xml:space="preserve"> codeine-containing product</w:t>
      </w:r>
      <w:r w:rsidR="00E9352F">
        <w:rPr>
          <w:rFonts w:eastAsia="Calibri" w:cstheme="minorHAnsi"/>
        </w:rPr>
        <w:t>s</w:t>
      </w:r>
      <w:r w:rsidR="009A128D">
        <w:rPr>
          <w:rFonts w:eastAsia="Calibri" w:cstheme="minorHAnsi"/>
        </w:rPr>
        <w:t xml:space="preserve"> indicated for</w:t>
      </w:r>
      <w:r w:rsidR="009E7C17">
        <w:rPr>
          <w:rFonts w:eastAsia="Calibri" w:cstheme="minorHAnsi"/>
        </w:rPr>
        <w:t xml:space="preserve"> use in children were reviewed.</w:t>
      </w:r>
    </w:p>
    <w:p w:rsidR="009A128D" w:rsidRDefault="009A128D" w:rsidP="008337EF">
      <w:pPr>
        <w:rPr>
          <w:rFonts w:eastAsia="Calibri" w:cstheme="minorHAnsi"/>
        </w:rPr>
      </w:pPr>
      <w:r>
        <w:rPr>
          <w:rFonts w:eastAsia="Calibri" w:cstheme="minorHAnsi"/>
        </w:rPr>
        <w:t>The following safety information was included in both PIs:</w:t>
      </w:r>
    </w:p>
    <w:p w:rsidR="003800B4" w:rsidRPr="00DE633D" w:rsidRDefault="009A128D" w:rsidP="0021214E">
      <w:pPr>
        <w:pStyle w:val="ListBullet"/>
        <w:numPr>
          <w:ilvl w:val="0"/>
          <w:numId w:val="3"/>
        </w:numPr>
        <w:ind w:left="425" w:hanging="425"/>
      </w:pPr>
      <w:r>
        <w:t>Contraindications</w:t>
      </w:r>
      <w:r w:rsidR="003800B4" w:rsidRPr="00DE633D">
        <w:t xml:space="preserve"> </w:t>
      </w:r>
      <w:r>
        <w:t>for use in</w:t>
      </w:r>
      <w:r w:rsidR="003800B4" w:rsidRPr="00DE633D">
        <w:t xml:space="preserve"> children under </w:t>
      </w:r>
      <w:r>
        <w:t>the age of six years</w:t>
      </w:r>
      <w:r w:rsidR="003800B4" w:rsidRPr="00DE633D">
        <w:t xml:space="preserve"> post tonsillectomy and/or adenoidectomy for OSA</w:t>
      </w:r>
      <w:r w:rsidR="003800B4">
        <w:t>.</w:t>
      </w:r>
    </w:p>
    <w:p w:rsidR="003800B4" w:rsidRDefault="003800B4" w:rsidP="0021214E">
      <w:pPr>
        <w:pStyle w:val="ListBullet"/>
        <w:numPr>
          <w:ilvl w:val="0"/>
          <w:numId w:val="3"/>
        </w:numPr>
        <w:ind w:left="425" w:hanging="425"/>
      </w:pPr>
      <w:r w:rsidRPr="00DE633D">
        <w:t xml:space="preserve">Not recommended for breastfeeding mothers unless the potential benefits to the patient outweigh </w:t>
      </w:r>
      <w:r>
        <w:t>the possible risk to the infant.</w:t>
      </w:r>
    </w:p>
    <w:p w:rsidR="009A128D" w:rsidRPr="00D70D6C" w:rsidRDefault="009A128D" w:rsidP="009A128D">
      <w:pPr>
        <w:pStyle w:val="ListBullet2"/>
      </w:pPr>
      <w:r>
        <w:t xml:space="preserve">The </w:t>
      </w:r>
      <w:r w:rsidR="003800B4">
        <w:t>CMI</w:t>
      </w:r>
      <w:r>
        <w:t>s</w:t>
      </w:r>
      <w:r w:rsidR="003800B4">
        <w:t xml:space="preserve"> </w:t>
      </w:r>
      <w:r>
        <w:t xml:space="preserve">for the same products were identified and </w:t>
      </w:r>
      <w:r w:rsidR="003800B4">
        <w:t>contain similar warnings.</w:t>
      </w:r>
      <w:r>
        <w:t xml:space="preserve"> </w:t>
      </w:r>
      <w:r w:rsidRPr="00DE633D">
        <w:t xml:space="preserve">There </w:t>
      </w:r>
      <w:r>
        <w:t>was</w:t>
      </w:r>
      <w:r w:rsidRPr="00DE633D">
        <w:t xml:space="preserve"> n</w:t>
      </w:r>
      <w:r>
        <w:t>o mention of UM in either of the PI documents.</w:t>
      </w:r>
    </w:p>
    <w:p w:rsidR="009A128D" w:rsidRPr="004015D9" w:rsidRDefault="003800B4" w:rsidP="00CE6EDB">
      <w:pPr>
        <w:pStyle w:val="Heading3"/>
        <w:numPr>
          <w:ilvl w:val="1"/>
          <w:numId w:val="18"/>
        </w:numPr>
      </w:pPr>
      <w:bookmarkStart w:id="90" w:name="_Toc416959633"/>
      <w:bookmarkStart w:id="91" w:name="_Toc431378948"/>
      <w:bookmarkStart w:id="92" w:name="_Toc431407249"/>
      <w:r w:rsidRPr="004015D9">
        <w:t>Prescribed (S4 and S8) codeine-containing products</w:t>
      </w:r>
      <w:bookmarkEnd w:id="90"/>
      <w:bookmarkEnd w:id="91"/>
      <w:bookmarkEnd w:id="92"/>
    </w:p>
    <w:p w:rsidR="009A128D" w:rsidRDefault="009A128D" w:rsidP="009A128D">
      <w:bookmarkStart w:id="93" w:name="_Ref360463083"/>
      <w:bookmarkStart w:id="94" w:name="_Ref360463150"/>
      <w:r>
        <w:t xml:space="preserve">The PIs for all </w:t>
      </w:r>
      <w:r w:rsidRPr="00BC2153">
        <w:t xml:space="preserve">Schedule 4 </w:t>
      </w:r>
      <w:r>
        <w:t xml:space="preserve">and Schedule 8 </w:t>
      </w:r>
      <w:r w:rsidRPr="00BC2153">
        <w:t>codeine-containing products</w:t>
      </w:r>
      <w:r>
        <w:t xml:space="preserve"> </w:t>
      </w:r>
      <w:bookmarkEnd w:id="93"/>
      <w:bookmarkEnd w:id="94"/>
      <w:r>
        <w:t>were reviewed</w:t>
      </w:r>
      <w:r w:rsidRPr="00BC2153">
        <w:t>.</w:t>
      </w:r>
      <w:r>
        <w:t xml:space="preserve"> Areas of concern were noted throughout the</w:t>
      </w:r>
      <w:r w:rsidRPr="00BC2153">
        <w:t xml:space="preserve"> PIs</w:t>
      </w:r>
      <w:r>
        <w:t>, which were also inconsistent with each other in the safety information provided in a number of areas. The areas of concern included:</w:t>
      </w:r>
    </w:p>
    <w:p w:rsidR="009A128D" w:rsidRDefault="009A128D" w:rsidP="009309E8">
      <w:pPr>
        <w:pStyle w:val="ListBullet"/>
        <w:numPr>
          <w:ilvl w:val="0"/>
          <w:numId w:val="3"/>
        </w:numPr>
        <w:ind w:left="425" w:hanging="425"/>
      </w:pPr>
      <w:r>
        <w:t>Dosing information regarding suitability in children is not consistent.</w:t>
      </w:r>
    </w:p>
    <w:p w:rsidR="009A128D" w:rsidRDefault="009A128D" w:rsidP="009309E8">
      <w:pPr>
        <w:pStyle w:val="ListBullet"/>
        <w:numPr>
          <w:ilvl w:val="0"/>
          <w:numId w:val="3"/>
        </w:numPr>
        <w:ind w:left="425" w:hanging="425"/>
      </w:pPr>
      <w:r>
        <w:t xml:space="preserve">Contraindications </w:t>
      </w:r>
      <w:r w:rsidRPr="00BA3ADE">
        <w:t>regarding use in children post-</w:t>
      </w:r>
      <w:proofErr w:type="spellStart"/>
      <w:r w:rsidRPr="00BA3ADE">
        <w:t>adenotonsillectomy</w:t>
      </w:r>
      <w:proofErr w:type="spellEnd"/>
      <w:r w:rsidRPr="00BA3ADE">
        <w:t xml:space="preserve"> </w:t>
      </w:r>
      <w:r>
        <w:t>are</w:t>
      </w:r>
      <w:r w:rsidRPr="00BA3ADE">
        <w:t xml:space="preserve"> not </w:t>
      </w:r>
      <w:r>
        <w:t xml:space="preserve">consistently </w:t>
      </w:r>
      <w:r w:rsidRPr="00BA3ADE">
        <w:t>present</w:t>
      </w:r>
      <w:r>
        <w:t>.</w:t>
      </w:r>
    </w:p>
    <w:p w:rsidR="009A128D" w:rsidRDefault="009A128D" w:rsidP="009309E8">
      <w:pPr>
        <w:pStyle w:val="ListBullet"/>
        <w:numPr>
          <w:ilvl w:val="0"/>
          <w:numId w:val="3"/>
        </w:numPr>
        <w:ind w:left="425" w:hanging="425"/>
      </w:pPr>
      <w:r>
        <w:t>Contraindications regarding UM are not consistently present and existing warnings are not consistent. In some PIs, UM is mentioned on</w:t>
      </w:r>
      <w:r w:rsidR="00485F72">
        <w:t xml:space="preserve">ly in context of breastfeeding, </w:t>
      </w:r>
      <w:r>
        <w:t>and in some PIs there was no text at all regarding the possibility of UM.</w:t>
      </w:r>
    </w:p>
    <w:p w:rsidR="009A128D" w:rsidRDefault="009A128D" w:rsidP="009309E8">
      <w:pPr>
        <w:pStyle w:val="ListBullet"/>
        <w:numPr>
          <w:ilvl w:val="0"/>
          <w:numId w:val="3"/>
        </w:numPr>
        <w:ind w:left="425" w:hanging="425"/>
      </w:pPr>
      <w:r>
        <w:t xml:space="preserve">Some PIs contained outdated text regarding use in breastfeeding, including statements such as </w:t>
      </w:r>
      <w:r w:rsidRPr="007A7C4A">
        <w:t>that codeine use in breastfeeding mothers “should be avoided” rather than contraindicated</w:t>
      </w:r>
      <w:r>
        <w:t xml:space="preserve">. Also missing, </w:t>
      </w:r>
      <w:r w:rsidR="00485F72">
        <w:t>from some</w:t>
      </w:r>
      <w:r>
        <w:t xml:space="preserve"> PIs, was the advice that alternative arrangements should be made for feeding a breastfed infant whilst their mother was exposed to codeine.</w:t>
      </w:r>
    </w:p>
    <w:p w:rsidR="009A128D" w:rsidRDefault="009A128D" w:rsidP="009309E8">
      <w:pPr>
        <w:pStyle w:val="ListBullet"/>
        <w:numPr>
          <w:ilvl w:val="0"/>
          <w:numId w:val="3"/>
        </w:numPr>
        <w:ind w:left="425" w:hanging="425"/>
      </w:pPr>
      <w:r>
        <w:t>A lack of specific instruction regarding use in children, often only including an adult dose but not specifying any advice for use in children. Some products did not include a minimum age recommendation at all.</w:t>
      </w:r>
    </w:p>
    <w:p w:rsidR="009A128D" w:rsidRDefault="009A128D" w:rsidP="009309E8">
      <w:pPr>
        <w:pStyle w:val="ListBullet"/>
        <w:numPr>
          <w:ilvl w:val="0"/>
          <w:numId w:val="3"/>
        </w:numPr>
        <w:ind w:left="425" w:hanging="425"/>
      </w:pPr>
      <w:r>
        <w:t>One product does not specify a minimum time between doses.</w:t>
      </w:r>
    </w:p>
    <w:p w:rsidR="003800B4" w:rsidRPr="004015D9" w:rsidRDefault="003800B4" w:rsidP="00CE6EDB">
      <w:pPr>
        <w:pStyle w:val="Heading3"/>
        <w:numPr>
          <w:ilvl w:val="1"/>
          <w:numId w:val="18"/>
        </w:numPr>
        <w:rPr>
          <w:rFonts w:eastAsia="Calibri" w:cstheme="minorHAnsi"/>
        </w:rPr>
      </w:pPr>
      <w:r w:rsidRPr="004015D9">
        <w:lastRenderedPageBreak/>
        <w:t xml:space="preserve"> </w:t>
      </w:r>
      <w:bookmarkStart w:id="95" w:name="_Toc416959634"/>
      <w:bookmarkStart w:id="96" w:name="_Toc431378949"/>
      <w:bookmarkStart w:id="97" w:name="_Toc431407250"/>
      <w:r w:rsidRPr="004015D9">
        <w:t>Other Australian prescribing guidelines</w:t>
      </w:r>
      <w:bookmarkEnd w:id="95"/>
      <w:bookmarkEnd w:id="96"/>
      <w:bookmarkEnd w:id="97"/>
    </w:p>
    <w:p w:rsidR="003800B4" w:rsidRPr="00BC2153" w:rsidRDefault="003800B4" w:rsidP="003800B4">
      <w:pPr>
        <w:spacing w:after="120"/>
        <w:rPr>
          <w:rFonts w:eastAsia="Calibri" w:cstheme="minorHAnsi"/>
        </w:rPr>
      </w:pPr>
      <w:r w:rsidRPr="00BC2153">
        <w:rPr>
          <w:rFonts w:eastAsia="Calibri" w:cstheme="minorHAnsi"/>
        </w:rPr>
        <w:t xml:space="preserve">Sources of prescribing information other than the PI are often used in a clinical setting by practitioners in making treatment decisions. Three </w:t>
      </w:r>
      <w:r>
        <w:rPr>
          <w:rFonts w:eastAsia="Calibri" w:cstheme="minorHAnsi"/>
        </w:rPr>
        <w:t>such</w:t>
      </w:r>
      <w:r w:rsidRPr="00BC2153">
        <w:rPr>
          <w:rFonts w:eastAsia="Calibri" w:cstheme="minorHAnsi"/>
        </w:rPr>
        <w:t xml:space="preserve"> resources</w:t>
      </w:r>
      <w:r>
        <w:rPr>
          <w:rFonts w:eastAsia="Calibri" w:cstheme="minorHAnsi"/>
        </w:rPr>
        <w:t xml:space="preserve"> </w:t>
      </w:r>
      <w:r w:rsidRPr="00BC2153">
        <w:rPr>
          <w:rFonts w:eastAsia="Calibri" w:cstheme="minorHAnsi"/>
        </w:rPr>
        <w:t>are the MIMS guide,</w:t>
      </w:r>
      <w:r w:rsidRPr="000015CB">
        <w:rPr>
          <w:rFonts w:eastAsia="Calibri" w:cstheme="minorHAnsi"/>
          <w:vertAlign w:val="superscript"/>
        </w:rPr>
        <w:endnoteReference w:id="43"/>
      </w:r>
      <w:r w:rsidRPr="00BC2153">
        <w:rPr>
          <w:rFonts w:eastAsia="Calibri" w:cstheme="minorHAnsi"/>
        </w:rPr>
        <w:t xml:space="preserve"> the Australian Medicines Handbook</w:t>
      </w:r>
      <w:r w:rsidRPr="00BC2153">
        <w:rPr>
          <w:rStyle w:val="EndnoteReference"/>
          <w:rFonts w:eastAsia="Calibri" w:cstheme="minorHAnsi"/>
        </w:rPr>
        <w:endnoteReference w:id="44"/>
      </w:r>
      <w:r w:rsidRPr="00BC2153">
        <w:rPr>
          <w:rFonts w:eastAsia="Calibri" w:cstheme="minorHAnsi"/>
        </w:rPr>
        <w:t xml:space="preserve"> and the Australian Therapeutic Guidelines (TG).</w:t>
      </w:r>
      <w:r w:rsidRPr="00BC2153">
        <w:rPr>
          <w:rStyle w:val="EndnoteReference"/>
          <w:rFonts w:eastAsia="Calibri" w:cstheme="minorHAnsi"/>
        </w:rPr>
        <w:endnoteReference w:id="45"/>
      </w:r>
    </w:p>
    <w:p w:rsidR="003800B4" w:rsidRPr="00BC2153" w:rsidRDefault="003800B4" w:rsidP="003800B4">
      <w:pPr>
        <w:spacing w:after="120"/>
        <w:rPr>
          <w:rFonts w:eastAsia="Calibri" w:cstheme="minorHAnsi"/>
        </w:rPr>
      </w:pPr>
      <w:r w:rsidRPr="00BC2153">
        <w:rPr>
          <w:rFonts w:eastAsia="Calibri" w:cstheme="minorHAnsi"/>
        </w:rPr>
        <w:t xml:space="preserve">The </w:t>
      </w:r>
      <w:r w:rsidRPr="00F16B55">
        <w:rPr>
          <w:rFonts w:eastAsia="Calibri" w:cstheme="minorHAnsi"/>
          <w:i/>
        </w:rPr>
        <w:t>T</w:t>
      </w:r>
      <w:r w:rsidR="00F16B55" w:rsidRPr="00F16B55">
        <w:rPr>
          <w:rFonts w:eastAsia="Calibri" w:cstheme="minorHAnsi"/>
          <w:i/>
        </w:rPr>
        <w:t xml:space="preserve">herapeutic </w:t>
      </w:r>
      <w:r w:rsidRPr="00F16B55">
        <w:rPr>
          <w:rFonts w:eastAsia="Calibri" w:cstheme="minorHAnsi"/>
          <w:i/>
        </w:rPr>
        <w:t>G</w:t>
      </w:r>
      <w:r w:rsidR="00F16B55" w:rsidRPr="00F16B55">
        <w:rPr>
          <w:rFonts w:eastAsia="Calibri" w:cstheme="minorHAnsi"/>
          <w:i/>
        </w:rPr>
        <w:t>uidelines</w:t>
      </w:r>
      <w:r w:rsidRPr="00F16B55">
        <w:rPr>
          <w:rFonts w:eastAsia="Calibri" w:cstheme="minorHAnsi"/>
          <w:i/>
        </w:rPr>
        <w:t>: Analgesia</w:t>
      </w:r>
      <w:r w:rsidRPr="00BC2153">
        <w:rPr>
          <w:rFonts w:eastAsia="Calibri" w:cstheme="minorHAnsi"/>
        </w:rPr>
        <w:t xml:space="preserve"> currently recommends th</w:t>
      </w:r>
      <w:r w:rsidR="00485F72">
        <w:rPr>
          <w:rFonts w:eastAsia="Calibri" w:cstheme="minorHAnsi"/>
        </w:rPr>
        <w:t xml:space="preserve">at codeine dosing in children </w:t>
      </w:r>
      <w:r w:rsidRPr="00BC2153">
        <w:rPr>
          <w:rFonts w:eastAsia="Calibri" w:cstheme="minorHAnsi"/>
        </w:rPr>
        <w:t>be restricted to:</w:t>
      </w:r>
    </w:p>
    <w:p w:rsidR="003800B4" w:rsidRPr="00460CCF" w:rsidRDefault="00AB0244" w:rsidP="00460CCF">
      <w:pPr>
        <w:pStyle w:val="eptext"/>
        <w:spacing w:before="0" w:after="120" w:line="276" w:lineRule="auto"/>
        <w:ind w:left="425"/>
        <w:rPr>
          <w:rFonts w:asciiTheme="minorHAnsi" w:hAnsiTheme="minorHAnsi" w:cstheme="minorHAnsi"/>
          <w:sz w:val="20"/>
          <w:szCs w:val="20"/>
        </w:rPr>
      </w:pPr>
      <w:r>
        <w:rPr>
          <w:rFonts w:asciiTheme="minorHAnsi" w:hAnsiTheme="minorHAnsi" w:cstheme="minorHAnsi"/>
          <w:sz w:val="20"/>
          <w:szCs w:val="20"/>
        </w:rPr>
        <w:t>“</w:t>
      </w:r>
      <w:r w:rsidR="003800B4" w:rsidRPr="00460CCF">
        <w:rPr>
          <w:rFonts w:asciiTheme="minorHAnsi" w:hAnsiTheme="minorHAnsi" w:cstheme="minorHAnsi"/>
          <w:sz w:val="20"/>
          <w:szCs w:val="20"/>
        </w:rPr>
        <w:t>0.5 to 1 mg/kg orally, 4- to 6-hourly</w:t>
      </w:r>
    </w:p>
    <w:p w:rsidR="003800B4" w:rsidRPr="00460CCF" w:rsidRDefault="003800B4" w:rsidP="00460CCF">
      <w:pPr>
        <w:pStyle w:val="eptext"/>
        <w:spacing w:before="0" w:after="120" w:line="276" w:lineRule="auto"/>
        <w:ind w:left="425"/>
        <w:rPr>
          <w:rFonts w:asciiTheme="minorHAnsi" w:hAnsiTheme="minorHAnsi" w:cstheme="minorHAnsi"/>
          <w:sz w:val="20"/>
          <w:szCs w:val="20"/>
        </w:rPr>
      </w:pPr>
      <w:r w:rsidRPr="00460CCF">
        <w:rPr>
          <w:rFonts w:asciiTheme="minorHAnsi" w:hAnsiTheme="minorHAnsi" w:cstheme="minorHAnsi"/>
          <w:sz w:val="20"/>
          <w:szCs w:val="20"/>
        </w:rPr>
        <w:t>maximum 3 mg/kg/day up to 240 mg/day</w:t>
      </w:r>
      <w:r w:rsidR="00AB0244">
        <w:rPr>
          <w:rFonts w:asciiTheme="minorHAnsi" w:hAnsiTheme="minorHAnsi" w:cstheme="minorHAnsi"/>
          <w:sz w:val="20"/>
          <w:szCs w:val="20"/>
        </w:rPr>
        <w:t>”</w:t>
      </w:r>
    </w:p>
    <w:p w:rsidR="003800B4" w:rsidRPr="00BC2153" w:rsidRDefault="003800B4" w:rsidP="003800B4">
      <w:pPr>
        <w:spacing w:after="120"/>
        <w:rPr>
          <w:rFonts w:eastAsia="Calibri" w:cstheme="minorHAnsi"/>
        </w:rPr>
      </w:pPr>
      <w:r w:rsidRPr="00BC2153">
        <w:rPr>
          <w:rFonts w:eastAsia="Calibri" w:cstheme="minorHAnsi"/>
        </w:rPr>
        <w:t xml:space="preserve">The </w:t>
      </w:r>
      <w:r>
        <w:rPr>
          <w:rFonts w:eastAsia="Calibri" w:cstheme="minorHAnsi"/>
        </w:rPr>
        <w:t>TG</w:t>
      </w:r>
      <w:r w:rsidRPr="00BC2153">
        <w:rPr>
          <w:rFonts w:eastAsia="Calibri" w:cstheme="minorHAnsi"/>
        </w:rPr>
        <w:t xml:space="preserve"> also states:</w:t>
      </w:r>
      <w:r w:rsidR="00FC75AA">
        <w:rPr>
          <w:rFonts w:eastAsia="Calibri" w:cstheme="minorHAnsi"/>
        </w:rPr>
        <w:t xml:space="preserve"> (underlining added for emphasis)</w:t>
      </w:r>
    </w:p>
    <w:p w:rsidR="003800B4" w:rsidRPr="00485F72" w:rsidRDefault="00485F72" w:rsidP="00460CCF">
      <w:pPr>
        <w:pStyle w:val="eptext"/>
        <w:spacing w:before="0" w:after="120" w:line="276" w:lineRule="auto"/>
        <w:ind w:left="425"/>
        <w:rPr>
          <w:rFonts w:asciiTheme="minorHAnsi" w:hAnsiTheme="minorHAnsi" w:cstheme="minorHAnsi"/>
          <w:sz w:val="20"/>
          <w:szCs w:val="20"/>
        </w:rPr>
      </w:pPr>
      <w:r>
        <w:rPr>
          <w:rFonts w:asciiTheme="minorHAnsi" w:hAnsiTheme="minorHAnsi" w:cstheme="minorHAnsi"/>
          <w:sz w:val="20"/>
          <w:szCs w:val="20"/>
        </w:rPr>
        <w:t>“</w:t>
      </w:r>
      <w:r w:rsidR="003800B4" w:rsidRPr="00485F72">
        <w:rPr>
          <w:rFonts w:asciiTheme="minorHAnsi" w:hAnsiTheme="minorHAnsi" w:cstheme="minorHAnsi"/>
          <w:sz w:val="20"/>
          <w:szCs w:val="20"/>
        </w:rPr>
        <w:t xml:space="preserve">Many children’s hospitals internationally have removed codeine from their formularies due to its risk in </w:t>
      </w:r>
      <w:r w:rsidR="003800B4" w:rsidRPr="00485F72">
        <w:rPr>
          <w:rFonts w:asciiTheme="minorHAnsi" w:hAnsiTheme="minorHAnsi" w:cstheme="minorHAnsi"/>
          <w:sz w:val="20"/>
          <w:szCs w:val="20"/>
          <w:u w:val="single"/>
        </w:rPr>
        <w:t>ultrarapid metabolisers</w:t>
      </w:r>
      <w:r w:rsidR="003800B4" w:rsidRPr="00485F72">
        <w:rPr>
          <w:rFonts w:asciiTheme="minorHAnsi" w:hAnsiTheme="minorHAnsi" w:cstheme="minorHAnsi"/>
          <w:sz w:val="20"/>
          <w:szCs w:val="20"/>
        </w:rPr>
        <w:t>. However, until the utility and safety of alternatives to codeine have been investigated in the community setting, codeine is likely to have a continued role for some years.</w:t>
      </w:r>
    </w:p>
    <w:p w:rsidR="003800B4" w:rsidRPr="00460CCF" w:rsidRDefault="003800B4" w:rsidP="00460CCF">
      <w:pPr>
        <w:pStyle w:val="eptext"/>
        <w:spacing w:before="0" w:after="120" w:line="276" w:lineRule="auto"/>
        <w:ind w:left="425"/>
        <w:rPr>
          <w:rFonts w:asciiTheme="minorHAnsi" w:hAnsiTheme="minorHAnsi" w:cstheme="minorHAnsi"/>
          <w:sz w:val="20"/>
          <w:szCs w:val="20"/>
        </w:rPr>
      </w:pPr>
      <w:r w:rsidRPr="00460CCF">
        <w:rPr>
          <w:rFonts w:asciiTheme="minorHAnsi" w:hAnsiTheme="minorHAnsi" w:cstheme="minorHAnsi"/>
          <w:sz w:val="20"/>
          <w:szCs w:val="20"/>
        </w:rPr>
        <w:t>During loading and titration, regularly assess pain severity, the analgesic response, and the incidence of adverse effects (particularly sedation, nausea and vomiting).</w:t>
      </w:r>
    </w:p>
    <w:p w:rsidR="003800B4" w:rsidRPr="00460CCF" w:rsidRDefault="003800B4" w:rsidP="00460CCF">
      <w:pPr>
        <w:pStyle w:val="eptext"/>
        <w:spacing w:before="0" w:after="120" w:line="276" w:lineRule="auto"/>
        <w:ind w:left="425"/>
        <w:rPr>
          <w:rFonts w:asciiTheme="minorHAnsi" w:hAnsiTheme="minorHAnsi" w:cstheme="minorHAnsi"/>
          <w:sz w:val="20"/>
          <w:szCs w:val="20"/>
        </w:rPr>
      </w:pPr>
      <w:r w:rsidRPr="00460CCF">
        <w:rPr>
          <w:rFonts w:asciiTheme="minorHAnsi" w:hAnsiTheme="minorHAnsi" w:cstheme="minorHAnsi"/>
          <w:sz w:val="20"/>
          <w:szCs w:val="20"/>
        </w:rPr>
        <w:t>Monitor for sedation, which is the earliest sign of opioid-induced respiratory depression.</w:t>
      </w:r>
    </w:p>
    <w:p w:rsidR="003800B4" w:rsidRPr="00460CCF" w:rsidRDefault="003800B4" w:rsidP="00460CCF">
      <w:pPr>
        <w:pStyle w:val="eptext"/>
        <w:spacing w:before="0" w:after="120" w:line="276" w:lineRule="auto"/>
        <w:ind w:left="425"/>
        <w:rPr>
          <w:rFonts w:asciiTheme="minorHAnsi" w:hAnsiTheme="minorHAnsi" w:cstheme="minorHAnsi"/>
          <w:sz w:val="20"/>
          <w:szCs w:val="20"/>
        </w:rPr>
      </w:pPr>
      <w:r w:rsidRPr="00460CCF">
        <w:rPr>
          <w:rFonts w:asciiTheme="minorHAnsi" w:hAnsiTheme="minorHAnsi" w:cstheme="minorHAnsi"/>
          <w:sz w:val="20"/>
          <w:szCs w:val="20"/>
        </w:rPr>
        <w:t>Codeine efficacy in children is variable, particularly in poor metabolisers (neonates and 10% to 46% of children may have low cytochrome P450 2D6 activity). If ineffective, consider alternatives. Ultrarapid metabolisers may experience morphine-related adverse effects.</w:t>
      </w:r>
      <w:r w:rsidR="00485F72" w:rsidRPr="00460CCF">
        <w:rPr>
          <w:rFonts w:asciiTheme="minorHAnsi" w:hAnsiTheme="minorHAnsi" w:cstheme="minorHAnsi"/>
          <w:sz w:val="20"/>
          <w:szCs w:val="20"/>
        </w:rPr>
        <w:t>”</w:t>
      </w:r>
    </w:p>
    <w:p w:rsidR="003800B4" w:rsidRDefault="003800B4" w:rsidP="003800B4">
      <w:pPr>
        <w:spacing w:after="120"/>
        <w:rPr>
          <w:rFonts w:eastAsia="Calibri" w:cstheme="minorHAnsi"/>
        </w:rPr>
      </w:pPr>
      <w:r>
        <w:rPr>
          <w:rFonts w:eastAsia="Calibri" w:cstheme="minorHAnsi"/>
        </w:rPr>
        <w:t>The Australian Medicines Handbook monograph for codeine in analgesic preparations contains the following information:</w:t>
      </w:r>
    </w:p>
    <w:p w:rsidR="003800B4" w:rsidRPr="00485F72" w:rsidRDefault="00485F72" w:rsidP="008337EF">
      <w:pPr>
        <w:spacing w:after="120"/>
        <w:ind w:left="284"/>
        <w:rPr>
          <w:rFonts w:eastAsia="Calibri" w:cstheme="minorHAnsi"/>
          <w:sz w:val="20"/>
        </w:rPr>
      </w:pPr>
      <w:r>
        <w:rPr>
          <w:rFonts w:eastAsia="Calibri" w:cstheme="minorHAnsi"/>
          <w:sz w:val="20"/>
        </w:rPr>
        <w:t>“</w:t>
      </w:r>
      <w:r w:rsidR="003800B4" w:rsidRPr="00485F72">
        <w:rPr>
          <w:rFonts w:eastAsia="Calibri" w:cstheme="minorHAnsi"/>
          <w:sz w:val="20"/>
        </w:rPr>
        <w:t>Precautions – Breastfeeding – Avoid use as an infant death has occurred.</w:t>
      </w:r>
    </w:p>
    <w:p w:rsidR="003800B4" w:rsidRPr="00485F72" w:rsidRDefault="003800B4" w:rsidP="008337EF">
      <w:pPr>
        <w:spacing w:after="120"/>
        <w:ind w:left="284"/>
        <w:rPr>
          <w:rFonts w:eastAsia="Calibri" w:cstheme="minorHAnsi"/>
          <w:sz w:val="20"/>
        </w:rPr>
      </w:pPr>
      <w:r w:rsidRPr="00485F72">
        <w:rPr>
          <w:rFonts w:eastAsia="Calibri" w:cstheme="minorHAnsi"/>
          <w:sz w:val="20"/>
        </w:rPr>
        <w:t>Dosage – Codeine – Child &gt;1 year – Oral, 0.5–1 mg/kg every 4–6 hours if needed; maximum 240 mg in 24 hours.</w:t>
      </w:r>
    </w:p>
    <w:p w:rsidR="003800B4" w:rsidRPr="00485F72" w:rsidRDefault="003800B4" w:rsidP="008337EF">
      <w:pPr>
        <w:spacing w:after="120"/>
        <w:ind w:left="284"/>
        <w:rPr>
          <w:rFonts w:eastAsia="Calibri" w:cstheme="minorHAnsi"/>
          <w:sz w:val="20"/>
        </w:rPr>
      </w:pPr>
      <w:r w:rsidRPr="00485F72">
        <w:rPr>
          <w:rFonts w:eastAsia="Calibri" w:cstheme="minorHAnsi"/>
          <w:sz w:val="20"/>
        </w:rPr>
        <w:t>Practice points</w:t>
      </w:r>
    </w:p>
    <w:p w:rsidR="00AB0244" w:rsidRDefault="00AB0244" w:rsidP="00AB0244">
      <w:pPr>
        <w:pStyle w:val="ListBullet2"/>
        <w:numPr>
          <w:ilvl w:val="0"/>
          <w:numId w:val="31"/>
        </w:numPr>
        <w:rPr>
          <w:rFonts w:eastAsia="Calibri" w:cstheme="minorHAnsi"/>
          <w:sz w:val="20"/>
        </w:rPr>
      </w:pPr>
      <w:r>
        <w:t>c</w:t>
      </w:r>
      <w:r w:rsidR="003800B4" w:rsidRPr="00460CCF">
        <w:t>odeine</w:t>
      </w:r>
      <w:r w:rsidR="003800B4" w:rsidRPr="00485F72">
        <w:rPr>
          <w:rFonts w:eastAsia="Calibri" w:cstheme="minorHAnsi"/>
          <w:sz w:val="20"/>
        </w:rPr>
        <w:t xml:space="preserve"> is not recommended; if an opioid is required, it may be more appropriate to use morphine</w:t>
      </w:r>
    </w:p>
    <w:p w:rsidR="003800B4" w:rsidRPr="00AB0244" w:rsidRDefault="003800B4" w:rsidP="00AB0244">
      <w:pPr>
        <w:pStyle w:val="ListBullet2"/>
        <w:numPr>
          <w:ilvl w:val="0"/>
          <w:numId w:val="31"/>
        </w:numPr>
        <w:rPr>
          <w:rFonts w:eastAsia="Calibri" w:cstheme="minorHAnsi"/>
          <w:sz w:val="20"/>
        </w:rPr>
      </w:pPr>
      <w:r w:rsidRPr="00AB0244">
        <w:rPr>
          <w:rFonts w:eastAsia="Calibri" w:cstheme="minorHAnsi"/>
          <w:sz w:val="20"/>
        </w:rPr>
        <w:t>regulatory authorities overseas state that all codeine-containing products are:</w:t>
      </w:r>
    </w:p>
    <w:p w:rsidR="003800B4" w:rsidRPr="00485F72" w:rsidRDefault="003800B4" w:rsidP="00AB0244">
      <w:pPr>
        <w:pStyle w:val="ListParagraph"/>
        <w:numPr>
          <w:ilvl w:val="0"/>
          <w:numId w:val="32"/>
        </w:numPr>
        <w:spacing w:after="120"/>
        <w:rPr>
          <w:rFonts w:eastAsia="Calibri" w:cstheme="minorHAnsi"/>
          <w:sz w:val="20"/>
          <w:szCs w:val="20"/>
        </w:rPr>
      </w:pPr>
      <w:r w:rsidRPr="00485F72">
        <w:rPr>
          <w:rFonts w:eastAsia="Calibri" w:cstheme="minorHAnsi"/>
          <w:sz w:val="20"/>
          <w:szCs w:val="20"/>
        </w:rPr>
        <w:t>contraindicated in children &lt;18 years undergoing tonsillectomy and/or adenoidectomy (all children in USA; if surgery is for sleep apnoea in Europe) as deaths have occurred</w:t>
      </w:r>
    </w:p>
    <w:p w:rsidR="003800B4" w:rsidRPr="00485F72" w:rsidRDefault="003800B4" w:rsidP="00AB0244">
      <w:pPr>
        <w:pStyle w:val="ListParagraph"/>
        <w:numPr>
          <w:ilvl w:val="0"/>
          <w:numId w:val="32"/>
        </w:numPr>
        <w:spacing w:after="120"/>
        <w:rPr>
          <w:rFonts w:eastAsia="Calibri" w:cstheme="minorHAnsi"/>
          <w:sz w:val="20"/>
          <w:szCs w:val="20"/>
        </w:rPr>
      </w:pPr>
      <w:r w:rsidRPr="00485F72">
        <w:rPr>
          <w:rFonts w:eastAsia="Calibri" w:cstheme="minorHAnsi"/>
          <w:sz w:val="20"/>
          <w:szCs w:val="20"/>
        </w:rPr>
        <w:t>not be taken by children &lt;12 years for the treatment of pain (Europe, Canada)</w:t>
      </w:r>
    </w:p>
    <w:p w:rsidR="003800B4" w:rsidRPr="00485F72" w:rsidRDefault="003800B4" w:rsidP="00AB0244">
      <w:pPr>
        <w:pStyle w:val="ListParagraph"/>
        <w:numPr>
          <w:ilvl w:val="0"/>
          <w:numId w:val="32"/>
        </w:numPr>
        <w:spacing w:after="120"/>
        <w:rPr>
          <w:rFonts w:eastAsia="Calibri" w:cstheme="minorHAnsi"/>
          <w:sz w:val="20"/>
          <w:szCs w:val="20"/>
        </w:rPr>
      </w:pPr>
      <w:r w:rsidRPr="00485F72">
        <w:rPr>
          <w:rFonts w:eastAsia="Calibri" w:cstheme="minorHAnsi"/>
          <w:sz w:val="20"/>
          <w:szCs w:val="20"/>
        </w:rPr>
        <w:t>not be taken while breastfeeding (Europe)</w:t>
      </w:r>
    </w:p>
    <w:p w:rsidR="003800B4" w:rsidRPr="00485F72" w:rsidRDefault="003800B4" w:rsidP="00AB0244">
      <w:pPr>
        <w:pStyle w:val="ListParagraph"/>
        <w:numPr>
          <w:ilvl w:val="0"/>
          <w:numId w:val="32"/>
        </w:numPr>
        <w:spacing w:after="120"/>
        <w:rPr>
          <w:rFonts w:eastAsia="Calibri" w:cstheme="minorHAnsi"/>
          <w:sz w:val="20"/>
          <w:szCs w:val="20"/>
        </w:rPr>
      </w:pPr>
      <w:r w:rsidRPr="00485F72">
        <w:rPr>
          <w:rFonts w:eastAsia="Calibri" w:cstheme="minorHAnsi"/>
          <w:sz w:val="20"/>
          <w:szCs w:val="20"/>
        </w:rPr>
        <w:t>contraindicated in all patients who are ultra-rapid metabolisers (Europe)</w:t>
      </w:r>
    </w:p>
    <w:p w:rsidR="00AB0244" w:rsidRDefault="003800B4" w:rsidP="00AB0244">
      <w:pPr>
        <w:pStyle w:val="ListBullet2"/>
        <w:numPr>
          <w:ilvl w:val="0"/>
          <w:numId w:val="33"/>
        </w:numPr>
        <w:ind w:left="709" w:hanging="425"/>
        <w:rPr>
          <w:rFonts w:eastAsia="Calibri" w:cstheme="minorHAnsi"/>
          <w:sz w:val="20"/>
        </w:rPr>
      </w:pPr>
      <w:r w:rsidRPr="00485F72">
        <w:rPr>
          <w:rFonts w:eastAsia="Calibri" w:cstheme="minorHAnsi"/>
          <w:sz w:val="20"/>
        </w:rPr>
        <w:t>codeine (a prodrug) is metabolised to morphine; people with normal codeine metabolism metabolise 30 mg of codeine to approximately 4.5 mg of morphine</w:t>
      </w:r>
    </w:p>
    <w:p w:rsidR="003800B4" w:rsidRPr="00AB0244" w:rsidRDefault="003800B4" w:rsidP="00AB0244">
      <w:pPr>
        <w:pStyle w:val="ListBullet2"/>
        <w:numPr>
          <w:ilvl w:val="0"/>
          <w:numId w:val="33"/>
        </w:numPr>
        <w:ind w:left="709" w:hanging="425"/>
        <w:rPr>
          <w:rFonts w:eastAsia="Calibri" w:cstheme="minorHAnsi"/>
          <w:sz w:val="20"/>
        </w:rPr>
      </w:pPr>
      <w:r w:rsidRPr="00AB0244">
        <w:rPr>
          <w:rFonts w:eastAsia="Calibri" w:cstheme="minorHAnsi"/>
          <w:sz w:val="20"/>
        </w:rPr>
        <w:t>codeine is metabolised by CYP2D6:</w:t>
      </w:r>
    </w:p>
    <w:p w:rsidR="003800B4" w:rsidRPr="00485F72" w:rsidRDefault="003800B4" w:rsidP="00AB0244">
      <w:pPr>
        <w:pStyle w:val="ListParagraph"/>
        <w:numPr>
          <w:ilvl w:val="0"/>
          <w:numId w:val="32"/>
        </w:numPr>
        <w:spacing w:after="120"/>
        <w:rPr>
          <w:rFonts w:eastAsia="Calibri" w:cstheme="minorHAnsi"/>
          <w:sz w:val="20"/>
          <w:szCs w:val="20"/>
        </w:rPr>
      </w:pPr>
      <w:r w:rsidRPr="00485F72">
        <w:rPr>
          <w:rFonts w:eastAsia="Calibri" w:cstheme="minorHAnsi"/>
          <w:sz w:val="20"/>
          <w:szCs w:val="20"/>
        </w:rPr>
        <w:t xml:space="preserve">some people are unlikely to obtain analgesia with codeine due to a genetic lack of CYP2D6, </w:t>
      </w:r>
      <w:proofErr w:type="spellStart"/>
      <w:r w:rsidRPr="00485F72">
        <w:rPr>
          <w:rFonts w:eastAsia="Calibri" w:cstheme="minorHAnsi"/>
          <w:sz w:val="20"/>
          <w:szCs w:val="20"/>
        </w:rPr>
        <w:t>eg</w:t>
      </w:r>
      <w:proofErr w:type="spellEnd"/>
      <w:r w:rsidRPr="00485F72">
        <w:rPr>
          <w:rFonts w:eastAsia="Calibri" w:cstheme="minorHAnsi"/>
          <w:sz w:val="20"/>
          <w:szCs w:val="20"/>
        </w:rPr>
        <w:t xml:space="preserve"> 6–10% of Caucasians and 1–2% of Asians</w:t>
      </w:r>
    </w:p>
    <w:p w:rsidR="003800B4" w:rsidRPr="00485F72" w:rsidRDefault="003800B4" w:rsidP="00AB0244">
      <w:pPr>
        <w:pStyle w:val="ListParagraph"/>
        <w:numPr>
          <w:ilvl w:val="0"/>
          <w:numId w:val="32"/>
        </w:numPr>
        <w:spacing w:after="120"/>
        <w:rPr>
          <w:rFonts w:eastAsia="Calibri" w:cstheme="minorHAnsi"/>
          <w:sz w:val="20"/>
          <w:szCs w:val="20"/>
        </w:rPr>
      </w:pPr>
      <w:r w:rsidRPr="00485F72">
        <w:rPr>
          <w:rFonts w:eastAsia="Calibri" w:cstheme="minorHAnsi"/>
          <w:sz w:val="20"/>
          <w:szCs w:val="20"/>
        </w:rPr>
        <w:t xml:space="preserve">some people are ultra-rapid metabolisers, </w:t>
      </w:r>
      <w:proofErr w:type="spellStart"/>
      <w:r w:rsidRPr="00485F72">
        <w:rPr>
          <w:rFonts w:eastAsia="Calibri" w:cstheme="minorHAnsi"/>
          <w:sz w:val="20"/>
          <w:szCs w:val="20"/>
        </w:rPr>
        <w:t>eg</w:t>
      </w:r>
      <w:proofErr w:type="spellEnd"/>
      <w:r w:rsidRPr="00485F72">
        <w:rPr>
          <w:rFonts w:eastAsia="Calibri" w:cstheme="minorHAnsi"/>
          <w:sz w:val="20"/>
          <w:szCs w:val="20"/>
        </w:rPr>
        <w:t xml:space="preserve"> up to 10% of Caucasians, 1–2% of Asians and 29% of Ethiopians, and may achieve higher morphine concentrations, increasing their risk of toxicity</w:t>
      </w:r>
    </w:p>
    <w:p w:rsidR="003800B4" w:rsidRPr="00AB0244" w:rsidRDefault="003800B4" w:rsidP="00AB0244">
      <w:pPr>
        <w:pStyle w:val="ListBullet2"/>
        <w:numPr>
          <w:ilvl w:val="0"/>
          <w:numId w:val="33"/>
        </w:numPr>
        <w:ind w:left="709" w:hanging="425"/>
        <w:rPr>
          <w:rFonts w:eastAsia="Calibri" w:cstheme="minorHAnsi"/>
          <w:sz w:val="20"/>
        </w:rPr>
      </w:pPr>
      <w:r w:rsidRPr="00AB0244">
        <w:rPr>
          <w:rFonts w:eastAsia="Calibri" w:cstheme="minorHAnsi"/>
          <w:sz w:val="20"/>
        </w:rPr>
        <w:t xml:space="preserve">beware of potential for misuse leading to dependence and over-use of OTC codeine fixed-dose combinations; this has resulted in toxicity from the non-opioid analgesic, </w:t>
      </w:r>
      <w:proofErr w:type="spellStart"/>
      <w:r w:rsidRPr="00AB0244">
        <w:rPr>
          <w:rFonts w:eastAsia="Calibri" w:cstheme="minorHAnsi"/>
          <w:sz w:val="20"/>
        </w:rPr>
        <w:t>eg</w:t>
      </w:r>
      <w:proofErr w:type="spellEnd"/>
      <w:r w:rsidRPr="00AB0244">
        <w:rPr>
          <w:rFonts w:eastAsia="Calibri" w:cstheme="minorHAnsi"/>
          <w:sz w:val="20"/>
        </w:rPr>
        <w:t xml:space="preserve"> acute renal failure and GI perforation from ibuprofen</w:t>
      </w:r>
    </w:p>
    <w:p w:rsidR="002312ED" w:rsidRPr="00AB0244" w:rsidRDefault="003800B4" w:rsidP="00AB0244">
      <w:pPr>
        <w:pStyle w:val="ListBullet2"/>
        <w:numPr>
          <w:ilvl w:val="0"/>
          <w:numId w:val="33"/>
        </w:numPr>
        <w:ind w:left="709" w:hanging="425"/>
        <w:rPr>
          <w:rFonts w:eastAsia="Calibri" w:cstheme="minorHAnsi"/>
          <w:sz w:val="20"/>
        </w:rPr>
      </w:pPr>
      <w:r w:rsidRPr="00AB0244">
        <w:rPr>
          <w:rFonts w:eastAsia="Calibri" w:cstheme="minorHAnsi"/>
          <w:sz w:val="20"/>
        </w:rPr>
        <w:lastRenderedPageBreak/>
        <w:t>there is no conclusive evidence that products containing 8–15 mg of codeine per tablet with paracetamol, aspirin or ibuprofen have any benefits over these non-opioids alone</w:t>
      </w:r>
      <w:bookmarkStart w:id="98" w:name="_Ref416168507"/>
      <w:bookmarkStart w:id="99" w:name="_Ref416168512"/>
      <w:bookmarkStart w:id="100" w:name="_Ref416168525"/>
      <w:bookmarkStart w:id="101" w:name="_Ref416168530"/>
      <w:bookmarkStart w:id="102" w:name="_Ref416168533"/>
      <w:bookmarkStart w:id="103" w:name="_Ref416168543"/>
      <w:bookmarkStart w:id="104" w:name="_Toc416959635"/>
      <w:r w:rsidR="00437CCC" w:rsidRPr="00AB0244">
        <w:rPr>
          <w:rFonts w:eastAsia="Calibri" w:cstheme="minorHAnsi"/>
          <w:sz w:val="20"/>
        </w:rPr>
        <w:t>.</w:t>
      </w:r>
      <w:r w:rsidR="00C700E0" w:rsidRPr="00AB0244">
        <w:rPr>
          <w:rFonts w:eastAsia="Calibri" w:cstheme="minorHAnsi"/>
          <w:sz w:val="20"/>
        </w:rPr>
        <w:t>”</w:t>
      </w:r>
    </w:p>
    <w:p w:rsidR="003800B4" w:rsidRPr="004015D9" w:rsidRDefault="003800B4" w:rsidP="00CE6EDB">
      <w:pPr>
        <w:pStyle w:val="Heading3"/>
        <w:numPr>
          <w:ilvl w:val="1"/>
          <w:numId w:val="18"/>
        </w:numPr>
        <w:rPr>
          <w:rFonts w:eastAsia="Calibri" w:cstheme="minorHAnsi"/>
        </w:rPr>
      </w:pPr>
      <w:bookmarkStart w:id="105" w:name="_Toc431378950"/>
      <w:bookmarkStart w:id="106" w:name="_Toc431407251"/>
      <w:r w:rsidRPr="004015D9">
        <w:t>Adverse Events in Australia</w:t>
      </w:r>
      <w:bookmarkEnd w:id="98"/>
      <w:bookmarkEnd w:id="99"/>
      <w:bookmarkEnd w:id="100"/>
      <w:bookmarkEnd w:id="101"/>
      <w:bookmarkEnd w:id="102"/>
      <w:bookmarkEnd w:id="103"/>
      <w:bookmarkEnd w:id="104"/>
      <w:bookmarkEnd w:id="105"/>
      <w:bookmarkEnd w:id="106"/>
    </w:p>
    <w:p w:rsidR="003800B4" w:rsidRPr="00AB0244" w:rsidRDefault="003800B4" w:rsidP="00CE6EDB">
      <w:pPr>
        <w:pStyle w:val="Heading4"/>
        <w:numPr>
          <w:ilvl w:val="2"/>
          <w:numId w:val="18"/>
        </w:numPr>
      </w:pPr>
      <w:bookmarkStart w:id="107" w:name="_Toc431378951"/>
      <w:bookmarkStart w:id="108" w:name="_Toc431407252"/>
      <w:r w:rsidRPr="00AB0244">
        <w:t>ADRS database</w:t>
      </w:r>
      <w:bookmarkEnd w:id="107"/>
      <w:bookmarkEnd w:id="108"/>
    </w:p>
    <w:p w:rsidR="003800B4" w:rsidRPr="000D7529" w:rsidRDefault="003800B4" w:rsidP="003800B4">
      <w:pPr>
        <w:spacing w:after="120"/>
        <w:rPr>
          <w:rFonts w:eastAsia="Calibri" w:cstheme="minorHAnsi"/>
        </w:rPr>
      </w:pPr>
      <w:r w:rsidRPr="000D7529">
        <w:rPr>
          <w:rFonts w:eastAsia="Calibri" w:cstheme="minorHAnsi"/>
        </w:rPr>
        <w:t>The TGA Adverse Drug Reactions System (ADRS) database was searched for cases in which index patients were aged between 0 and 18 years old and where codeine was included in a suspected medication. 102 such reports were identified.</w:t>
      </w:r>
      <w:r w:rsidRPr="000D7529">
        <w:rPr>
          <w:rStyle w:val="EndnoteReference"/>
          <w:rFonts w:eastAsia="Calibri" w:cstheme="minorHAnsi"/>
        </w:rPr>
        <w:endnoteReference w:id="46"/>
      </w:r>
    </w:p>
    <w:p w:rsidR="003800B4" w:rsidRDefault="003800B4" w:rsidP="003800B4">
      <w:pPr>
        <w:spacing w:after="120"/>
        <w:rPr>
          <w:rFonts w:eastAsia="Calibri" w:cstheme="minorHAnsi"/>
        </w:rPr>
      </w:pPr>
      <w:r w:rsidRPr="00897009">
        <w:rPr>
          <w:rFonts w:eastAsia="Calibri" w:cstheme="minorHAnsi"/>
        </w:rPr>
        <w:t>There were no reports of paediatric deaths with codeine as a sole suspected drug.</w:t>
      </w:r>
    </w:p>
    <w:p w:rsidR="003800B4" w:rsidRPr="008D2AA4" w:rsidRDefault="003800B4" w:rsidP="003800B4">
      <w:pPr>
        <w:spacing w:after="120"/>
        <w:rPr>
          <w:rFonts w:eastAsia="Calibri" w:cstheme="minorHAnsi"/>
        </w:rPr>
      </w:pPr>
      <w:r w:rsidRPr="008D2AA4">
        <w:rPr>
          <w:rFonts w:eastAsia="Calibri" w:cstheme="minorHAnsi"/>
        </w:rPr>
        <w:t xml:space="preserve">The case line listing was then reviewed </w:t>
      </w:r>
      <w:r>
        <w:rPr>
          <w:rFonts w:eastAsia="Calibri" w:cstheme="minorHAnsi"/>
        </w:rPr>
        <w:t>to identify any</w:t>
      </w:r>
      <w:r w:rsidRPr="008D2AA4">
        <w:rPr>
          <w:rFonts w:eastAsia="Calibri" w:cstheme="minorHAnsi"/>
        </w:rPr>
        <w:t xml:space="preserve"> cases suggesting exaggerated effect</w:t>
      </w:r>
      <w:r>
        <w:rPr>
          <w:rFonts w:eastAsia="Calibri" w:cstheme="minorHAnsi"/>
        </w:rPr>
        <w:t xml:space="preserve"> of codeine</w:t>
      </w:r>
      <w:r w:rsidRPr="008D2AA4">
        <w:rPr>
          <w:rFonts w:eastAsia="Calibri" w:cstheme="minorHAnsi"/>
        </w:rPr>
        <w:t>, possibly secondary to ultra-rapid metabolism</w:t>
      </w:r>
      <w:r>
        <w:rPr>
          <w:rFonts w:eastAsia="Calibri" w:cstheme="minorHAnsi"/>
        </w:rPr>
        <w:t>, or for features suggestive of respiratory depression</w:t>
      </w:r>
      <w:r w:rsidRPr="008D2AA4">
        <w:rPr>
          <w:rFonts w:eastAsia="Calibri" w:cstheme="minorHAnsi"/>
        </w:rPr>
        <w:t xml:space="preserve">. </w:t>
      </w:r>
      <w:r>
        <w:rPr>
          <w:rFonts w:eastAsia="Calibri" w:cstheme="minorHAnsi"/>
        </w:rPr>
        <w:t>Twelve case</w:t>
      </w:r>
      <w:r w:rsidRPr="008D2AA4">
        <w:rPr>
          <w:rFonts w:eastAsia="Calibri" w:cstheme="minorHAnsi"/>
        </w:rPr>
        <w:t xml:space="preserve">s </w:t>
      </w:r>
      <w:r>
        <w:rPr>
          <w:rFonts w:eastAsia="Calibri" w:cstheme="minorHAnsi"/>
        </w:rPr>
        <w:t>were identified, with report dates between 1990 and 2013</w:t>
      </w:r>
      <w:r w:rsidR="00DF1397">
        <w:rPr>
          <w:rFonts w:eastAsia="Calibri" w:cstheme="minorHAnsi"/>
        </w:rPr>
        <w:t>. The a</w:t>
      </w:r>
      <w:r>
        <w:rPr>
          <w:rFonts w:eastAsia="Calibri" w:cstheme="minorHAnsi"/>
        </w:rPr>
        <w:t>ges of the children range from less than one year of age to 17 years old, and five of the reports are confounded by the concurrent administration of other sedating medication.</w:t>
      </w:r>
    </w:p>
    <w:p w:rsidR="003800B4" w:rsidRDefault="003800B4" w:rsidP="003800B4">
      <w:pPr>
        <w:spacing w:after="120"/>
        <w:rPr>
          <w:rFonts w:eastAsia="Calibri" w:cstheme="minorHAnsi"/>
        </w:rPr>
      </w:pPr>
      <w:r>
        <w:rPr>
          <w:rFonts w:eastAsia="Calibri" w:cstheme="minorHAnsi"/>
        </w:rPr>
        <w:t>Although none of these cases reported fatalities and most are confounded or do not provide enough information for adequate assessment, it is clear that there have been occasions when Australian children have been exposed to codeine and exhibited signs consistent with morphine overdose.</w:t>
      </w:r>
    </w:p>
    <w:p w:rsidR="001D1457" w:rsidRPr="00AB0244" w:rsidRDefault="003800B4" w:rsidP="00CE6EDB">
      <w:pPr>
        <w:pStyle w:val="Heading4"/>
        <w:numPr>
          <w:ilvl w:val="2"/>
          <w:numId w:val="18"/>
        </w:numPr>
      </w:pPr>
      <w:bookmarkStart w:id="109" w:name="_Toc431378952"/>
      <w:bookmarkStart w:id="110" w:name="_Toc431407253"/>
      <w:r w:rsidRPr="00AB0244">
        <w:t>Coronial data</w:t>
      </w:r>
      <w:bookmarkEnd w:id="109"/>
      <w:bookmarkEnd w:id="110"/>
    </w:p>
    <w:p w:rsidR="003800B4" w:rsidRPr="006F7C7D" w:rsidRDefault="001D1457" w:rsidP="00DA7CC7">
      <w:pPr>
        <w:pStyle w:val="Heading5"/>
        <w:numPr>
          <w:ilvl w:val="3"/>
          <w:numId w:val="18"/>
        </w:numPr>
      </w:pPr>
      <w:bookmarkStart w:id="111" w:name="_Toc431378953"/>
      <w:bookmarkStart w:id="112" w:name="_Toc431407254"/>
      <w:r>
        <w:t>C</w:t>
      </w:r>
      <w:r w:rsidR="003800B4" w:rsidRPr="006F7C7D">
        <w:t>hild deaths involving codeine</w:t>
      </w:r>
      <w:bookmarkEnd w:id="111"/>
      <w:bookmarkEnd w:id="112"/>
    </w:p>
    <w:p w:rsidR="003800B4" w:rsidRPr="00BC2153" w:rsidRDefault="002B2016" w:rsidP="001D1457">
      <w:r>
        <w:t xml:space="preserve">Data was sought from the </w:t>
      </w:r>
      <w:r w:rsidR="003800B4" w:rsidRPr="00BC2153">
        <w:t xml:space="preserve">National Coronial Information System </w:t>
      </w:r>
      <w:r w:rsidR="00DF1397">
        <w:t xml:space="preserve">(NCIS) </w:t>
      </w:r>
      <w:r>
        <w:t>regarding</w:t>
      </w:r>
      <w:r w:rsidR="003800B4" w:rsidRPr="00BC2153">
        <w:t xml:space="preserve"> child deaths and codeine</w:t>
      </w:r>
      <w:r w:rsidR="00DF1397">
        <w:t xml:space="preserve">. </w:t>
      </w:r>
      <w:r w:rsidR="003800B4" w:rsidRPr="00BC2153">
        <w:t xml:space="preserve">There were 17 deaths identified as notified to an Australian Coroner between 01/07/2000 and 31/12/2012 which involved persons under the age of 18 and which were at least partly attributed to the administration of codeine (codeine related). All these cases had undergone coronial investigation </w:t>
      </w:r>
      <w:r w:rsidR="003800B4">
        <w:t>that</w:t>
      </w:r>
      <w:r w:rsidR="003800B4" w:rsidRPr="00BC2153">
        <w:t xml:space="preserve"> had been</w:t>
      </w:r>
      <w:r w:rsidR="001A6FAB">
        <w:t xml:space="preserve"> formally concluded and closed.</w:t>
      </w:r>
    </w:p>
    <w:p w:rsidR="003800B4" w:rsidRPr="00DA4A23" w:rsidRDefault="003800B4" w:rsidP="001D1457">
      <w:r w:rsidRPr="00BC2153">
        <w:t>Five of the deaths involved hospi</w:t>
      </w:r>
      <w:r>
        <w:t xml:space="preserve">tal or medicinal use of codeine, but none </w:t>
      </w:r>
      <w:r w:rsidRPr="00BC2153">
        <w:t>one of these were associated with tonsillectomy or adenoidectomy</w:t>
      </w:r>
      <w:r>
        <w:t>.</w:t>
      </w:r>
    </w:p>
    <w:p w:rsidR="003800B4" w:rsidRPr="006F7C7D" w:rsidRDefault="001D1457" w:rsidP="00DA7CC7">
      <w:pPr>
        <w:pStyle w:val="Heading5"/>
        <w:numPr>
          <w:ilvl w:val="3"/>
          <w:numId w:val="18"/>
        </w:numPr>
      </w:pPr>
      <w:bookmarkStart w:id="113" w:name="_Toc431378954"/>
      <w:bookmarkStart w:id="114" w:name="_Toc431407255"/>
      <w:r>
        <w:t>C</w:t>
      </w:r>
      <w:r w:rsidR="003800B4" w:rsidRPr="006F7C7D">
        <w:t xml:space="preserve">hild deaths post </w:t>
      </w:r>
      <w:proofErr w:type="spellStart"/>
      <w:r w:rsidR="003800B4" w:rsidRPr="006F7C7D">
        <w:t>adenotonsillectomy</w:t>
      </w:r>
      <w:bookmarkEnd w:id="113"/>
      <w:bookmarkEnd w:id="114"/>
      <w:proofErr w:type="spellEnd"/>
    </w:p>
    <w:p w:rsidR="003800B4" w:rsidRPr="00BC2153" w:rsidRDefault="001B0924" w:rsidP="001D1457">
      <w:r>
        <w:t xml:space="preserve">Data regarding </w:t>
      </w:r>
      <w:r w:rsidRPr="00BC2153">
        <w:t xml:space="preserve">child deaths within 14 days (two weeks) of </w:t>
      </w:r>
      <w:proofErr w:type="spellStart"/>
      <w:r w:rsidRPr="00BC2153">
        <w:t>adenotonsillectomy</w:t>
      </w:r>
      <w:proofErr w:type="spellEnd"/>
      <w:r w:rsidR="00DF1397">
        <w:t xml:space="preserve"> was also so</w:t>
      </w:r>
      <w:r>
        <w:t xml:space="preserve">ught from the </w:t>
      </w:r>
      <w:r w:rsidR="00DF1397">
        <w:t>NCIS.</w:t>
      </w:r>
      <w:r w:rsidR="003800B4" w:rsidRPr="00BC2153">
        <w:t xml:space="preserve"> There were three (3) closed cases identified as reported to an Australian Coroner between July 2000 and May 2013 that involved a child (a person under 18 years of age) and occurred within two weeks of a procedure to remove tonsils and/or adenoids. All deaths reported were closed cases that ha</w:t>
      </w:r>
      <w:r w:rsidR="00AB0244">
        <w:t>d</w:t>
      </w:r>
      <w:r w:rsidR="003800B4" w:rsidRPr="00BC2153">
        <w:t xml:space="preserve"> been formally concluded by coronial investigation. None of these cases of deaths in children after </w:t>
      </w:r>
      <w:proofErr w:type="spellStart"/>
      <w:r w:rsidR="003800B4" w:rsidRPr="00BC2153">
        <w:t>adenotonsillectomy</w:t>
      </w:r>
      <w:proofErr w:type="spellEnd"/>
      <w:r w:rsidR="003800B4" w:rsidRPr="00BC2153">
        <w:t xml:space="preserve"> in Australia related to the use of codei</w:t>
      </w:r>
      <w:r w:rsidR="001A6FAB">
        <w:t>ne in the post-surgical period.</w:t>
      </w:r>
    </w:p>
    <w:p w:rsidR="003800B4" w:rsidRPr="00D72E1C" w:rsidRDefault="003800B4" w:rsidP="00CE6EDB">
      <w:pPr>
        <w:pStyle w:val="Heading2"/>
        <w:numPr>
          <w:ilvl w:val="0"/>
          <w:numId w:val="18"/>
        </w:numPr>
      </w:pPr>
      <w:bookmarkStart w:id="115" w:name="_Toc416959636"/>
      <w:bookmarkStart w:id="116" w:name="_Toc431378955"/>
      <w:bookmarkStart w:id="117" w:name="_Toc431407256"/>
      <w:r>
        <w:lastRenderedPageBreak/>
        <w:t>Alternatives to codeine for pa</w:t>
      </w:r>
      <w:r w:rsidRPr="00F06C2E">
        <w:t>ediatric analgesia</w:t>
      </w:r>
      <w:bookmarkEnd w:id="115"/>
      <w:bookmarkEnd w:id="116"/>
      <w:bookmarkEnd w:id="117"/>
    </w:p>
    <w:p w:rsidR="003800B4" w:rsidRPr="004015D9" w:rsidRDefault="003800B4" w:rsidP="00CE6EDB">
      <w:pPr>
        <w:pStyle w:val="Heading3"/>
        <w:numPr>
          <w:ilvl w:val="1"/>
          <w:numId w:val="18"/>
        </w:numPr>
        <w:rPr>
          <w:rFonts w:eastAsia="Calibri"/>
        </w:rPr>
      </w:pPr>
      <w:bookmarkStart w:id="118" w:name="_Toc416959637"/>
      <w:bookmarkStart w:id="119" w:name="_Toc431378956"/>
      <w:bookmarkStart w:id="120" w:name="_Toc431407257"/>
      <w:r w:rsidRPr="004015D9">
        <w:rPr>
          <w:rFonts w:eastAsia="Calibri"/>
        </w:rPr>
        <w:t>World Health Organisation guidelines on paediatric analgesia</w:t>
      </w:r>
      <w:bookmarkEnd w:id="118"/>
      <w:bookmarkEnd w:id="119"/>
      <w:bookmarkEnd w:id="120"/>
    </w:p>
    <w:p w:rsidR="003800B4" w:rsidRDefault="003800B4" w:rsidP="001D1457">
      <w:r>
        <w:t xml:space="preserve">The most recent </w:t>
      </w:r>
      <w:r w:rsidRPr="00F06C2E">
        <w:t xml:space="preserve">World Health Organisation </w:t>
      </w:r>
      <w:r>
        <w:t>(WHO) guidelines o</w:t>
      </w:r>
      <w:r w:rsidR="00AB0244">
        <w:t xml:space="preserve">n the pharmacological treatment </w:t>
      </w:r>
      <w:r>
        <w:t>of persisting pain in children with medical illnesses reflects the way paediatric analgesia recommendations from the pre-eminent medical authorities have changed in recent years.</w:t>
      </w:r>
      <w:r>
        <w:rPr>
          <w:rStyle w:val="EndnoteReference"/>
          <w:rFonts w:eastAsia="Calibri"/>
        </w:rPr>
        <w:endnoteReference w:id="47"/>
      </w:r>
    </w:p>
    <w:p w:rsidR="003800B4" w:rsidRDefault="003800B4" w:rsidP="001D1457">
      <w:r>
        <w:t>The WHO guidelines describe the previously recommended three step approach, in which a middle step of using “milder” opioid analgesics such as tramadol and codeine sat between the first step (simple analgesia such as paracetamol or ibuprofen) and the third step (stronger opioids such as morphine). However, codeine is now considered an “excluded medicine for pain relief” and the middle step has been removed, reducing the</w:t>
      </w:r>
      <w:r w:rsidR="001A6FAB">
        <w:t xml:space="preserve"> method to a two-step approach.</w:t>
      </w:r>
    </w:p>
    <w:p w:rsidR="003800B4" w:rsidRDefault="003800B4" w:rsidP="001D1457">
      <w:r>
        <w:t>The concerns around codeine and tramadol are summarised on page 39 of the document:</w:t>
      </w:r>
    </w:p>
    <w:p w:rsidR="003800B4" w:rsidRPr="00AB0244" w:rsidRDefault="00AB0244" w:rsidP="008337EF">
      <w:pPr>
        <w:pStyle w:val="Sarahnormaltext"/>
        <w:spacing w:after="120"/>
        <w:ind w:left="284"/>
        <w:rPr>
          <w:rFonts w:eastAsia="Calibri"/>
          <w:sz w:val="20"/>
          <w:szCs w:val="20"/>
        </w:rPr>
      </w:pPr>
      <w:r w:rsidRPr="00AB0244">
        <w:rPr>
          <w:rFonts w:eastAsia="Calibri"/>
          <w:sz w:val="20"/>
          <w:szCs w:val="20"/>
        </w:rPr>
        <w:t>“</w:t>
      </w:r>
      <w:r w:rsidR="003800B4" w:rsidRPr="00AB0244">
        <w:rPr>
          <w:rFonts w:eastAsia="Calibri"/>
          <w:sz w:val="20"/>
          <w:szCs w:val="20"/>
        </w:rPr>
        <w:t xml:space="preserve">Codeine is a “weak” opioid that is widely available and has been previously recommended to control moderate pain. However, it presents well-known safety and efficacy problems related to genetic variability in biotransformation. Codeine is a prodrug that is converted into its active metabolite morphine by the enzyme CYP2D6. The efficacy of a prodrug depends on the amount of active metabolite formed. Variable expressions of the enzymes involved in the biotransformation of prodrugs can lead to substantial inter-individual and inter-ethnic differences in the conversion rate and the plasma concentration of the active metabolite. In the </w:t>
      </w:r>
      <w:proofErr w:type="spellStart"/>
      <w:r w:rsidR="003800B4" w:rsidRPr="00AB0244">
        <w:rPr>
          <w:rFonts w:eastAsia="Calibri"/>
          <w:sz w:val="20"/>
          <w:szCs w:val="20"/>
        </w:rPr>
        <w:t>fetus</w:t>
      </w:r>
      <w:proofErr w:type="spellEnd"/>
      <w:r w:rsidR="003800B4" w:rsidRPr="00AB0244">
        <w:rPr>
          <w:rFonts w:eastAsia="Calibri"/>
          <w:sz w:val="20"/>
          <w:szCs w:val="20"/>
        </w:rPr>
        <w:t>, CYP2D6 activity is absent or less than 1% of adult values. It increases after birth, but it is estimated to be no higher than 25% of the adult values in children below five years. As a consequence, the analgesic effect is (very) low or absent in neonates and young children.</w:t>
      </w:r>
    </w:p>
    <w:p w:rsidR="003800B4" w:rsidRPr="00AB0244" w:rsidRDefault="001D1457" w:rsidP="008337EF">
      <w:pPr>
        <w:pStyle w:val="Sarahnormaltext"/>
        <w:spacing w:after="120"/>
        <w:ind w:left="284"/>
        <w:rPr>
          <w:rFonts w:eastAsia="Calibri"/>
          <w:sz w:val="20"/>
          <w:szCs w:val="20"/>
        </w:rPr>
      </w:pPr>
      <w:r w:rsidRPr="00AB0244">
        <w:rPr>
          <w:rFonts w:eastAsia="Calibri"/>
          <w:sz w:val="20"/>
          <w:szCs w:val="20"/>
        </w:rPr>
        <w:t xml:space="preserve">Furthermore, the </w:t>
      </w:r>
      <w:r w:rsidR="003800B4" w:rsidRPr="00AB0244">
        <w:rPr>
          <w:rFonts w:eastAsia="Calibri"/>
          <w:sz w:val="20"/>
          <w:szCs w:val="20"/>
        </w:rPr>
        <w:t xml:space="preserve">percentage of poor </w:t>
      </w:r>
      <w:proofErr w:type="spellStart"/>
      <w:r w:rsidR="003800B4" w:rsidRPr="00AB0244">
        <w:rPr>
          <w:rFonts w:eastAsia="Calibri"/>
          <w:sz w:val="20"/>
          <w:szCs w:val="20"/>
        </w:rPr>
        <w:t>metabolizers</w:t>
      </w:r>
      <w:proofErr w:type="spellEnd"/>
      <w:r w:rsidR="003800B4" w:rsidRPr="00AB0244">
        <w:rPr>
          <w:rFonts w:eastAsia="Calibri"/>
          <w:sz w:val="20"/>
          <w:szCs w:val="20"/>
        </w:rPr>
        <w:t xml:space="preserve"> can vary in ethnic groups from 1% to 30%, resulting in ineffectiveness in large numbers of patients, including children. Conversely, individuals who metabolize codeine quickly and extensively are at risk of severe opioid toxicity, given the high and uncontrolled conversion of codeine into morphine.</w:t>
      </w:r>
    </w:p>
    <w:p w:rsidR="003800B4" w:rsidRPr="00AB0244" w:rsidRDefault="003800B4" w:rsidP="008337EF">
      <w:pPr>
        <w:pStyle w:val="Sarahnormaltext"/>
        <w:spacing w:after="120"/>
        <w:ind w:left="284"/>
        <w:rPr>
          <w:rFonts w:eastAsia="Calibri"/>
          <w:sz w:val="20"/>
          <w:szCs w:val="20"/>
        </w:rPr>
      </w:pPr>
      <w:r w:rsidRPr="00AB0244">
        <w:rPr>
          <w:rFonts w:eastAsia="Calibri"/>
          <w:sz w:val="20"/>
          <w:szCs w:val="20"/>
        </w:rPr>
        <w:t>Tramadol is another analgesic with opioid effects that has been considered for the control of moderate pain. However, there is currently no available evidence for its comparative effectiveness and safety in children. Furthermore, tramadol is not licensed for paediatric use in several countries. More research on tramadol and other interme</w:t>
      </w:r>
      <w:r w:rsidR="00437CCC" w:rsidRPr="00AB0244">
        <w:rPr>
          <w:rFonts w:eastAsia="Calibri"/>
          <w:sz w:val="20"/>
          <w:szCs w:val="20"/>
        </w:rPr>
        <w:t>diate potency opioids is needed</w:t>
      </w:r>
      <w:r w:rsidR="00AB0244" w:rsidRPr="00AB0244">
        <w:rPr>
          <w:rFonts w:eastAsia="Calibri"/>
          <w:sz w:val="20"/>
          <w:szCs w:val="20"/>
        </w:rPr>
        <w:t>.”</w:t>
      </w:r>
    </w:p>
    <w:p w:rsidR="003800B4" w:rsidRDefault="003800B4" w:rsidP="001D1457">
      <w:r>
        <w:t xml:space="preserve">The WHO guidelines conclude that </w:t>
      </w:r>
      <w:r w:rsidRPr="00982DF9">
        <w:t>the risks associated with strong opioids are acceptable when compared with the uncertainty associated with the response to codeine and tramadol in children</w:t>
      </w:r>
      <w:r>
        <w:t>. Therefore, t</w:t>
      </w:r>
      <w:r w:rsidRPr="00982DF9">
        <w:t xml:space="preserve">he benefits of using an effective strong opioid analgesic </w:t>
      </w:r>
      <w:r>
        <w:t xml:space="preserve">are believed to </w:t>
      </w:r>
      <w:r w:rsidRPr="00982DF9">
        <w:t>outweigh the benefits of intermediate potency opioids in the paediatric population</w:t>
      </w:r>
      <w:r>
        <w:t xml:space="preserve"> and these are preferred in a situation where simple analgesia is not controlling pain.</w:t>
      </w:r>
    </w:p>
    <w:p w:rsidR="003800B4" w:rsidRPr="004015D9" w:rsidRDefault="003800B4" w:rsidP="000A28CA">
      <w:pPr>
        <w:pStyle w:val="Heading3"/>
        <w:numPr>
          <w:ilvl w:val="1"/>
          <w:numId w:val="18"/>
        </w:numPr>
        <w:rPr>
          <w:rFonts w:eastAsia="Calibri"/>
        </w:rPr>
      </w:pPr>
      <w:bookmarkStart w:id="121" w:name="_Toc416959638"/>
      <w:bookmarkStart w:id="122" w:name="_Toc431378957"/>
      <w:bookmarkStart w:id="123" w:name="_Toc431407258"/>
      <w:r w:rsidRPr="004015D9">
        <w:rPr>
          <w:rFonts w:eastAsia="Calibri"/>
        </w:rPr>
        <w:t>Post-</w:t>
      </w:r>
      <w:proofErr w:type="spellStart"/>
      <w:r w:rsidRPr="004015D9">
        <w:rPr>
          <w:rFonts w:eastAsia="Calibri"/>
        </w:rPr>
        <w:t>adenotonsillectomy</w:t>
      </w:r>
      <w:proofErr w:type="spellEnd"/>
      <w:r w:rsidRPr="004015D9">
        <w:rPr>
          <w:rFonts w:eastAsia="Calibri"/>
        </w:rPr>
        <w:t xml:space="preserve"> analgesia in Australia and internationally</w:t>
      </w:r>
      <w:bookmarkEnd w:id="121"/>
      <w:bookmarkEnd w:id="122"/>
      <w:bookmarkEnd w:id="123"/>
    </w:p>
    <w:p w:rsidR="003800B4" w:rsidRPr="00DA0B49" w:rsidRDefault="003800B4" w:rsidP="00070216">
      <w:r w:rsidRPr="00547B9D">
        <w:t xml:space="preserve">Acute pain management is a complex discipline and multiple non-pharmacological </w:t>
      </w:r>
      <w:r>
        <w:t>methods</w:t>
      </w:r>
      <w:r w:rsidRPr="00547B9D">
        <w:t xml:space="preserve"> of post-operative pain management </w:t>
      </w:r>
      <w:r>
        <w:t xml:space="preserve">are involved. These include </w:t>
      </w:r>
      <w:r w:rsidRPr="00DA0B49">
        <w:t xml:space="preserve">parental ability to recognise and assess a child's pain, parental misconceptions about analgesics, child refusal to take medication, </w:t>
      </w:r>
      <w:r w:rsidRPr="00DA0B49">
        <w:lastRenderedPageBreak/>
        <w:t>poor discha</w:t>
      </w:r>
      <w:r>
        <w:t xml:space="preserve">rge instructions, difficulty </w:t>
      </w:r>
      <w:r w:rsidRPr="00DA0B49">
        <w:t>obtaining medication and lack of information provision to caregivers.</w:t>
      </w:r>
      <w:r w:rsidRPr="00DA0B49">
        <w:rPr>
          <w:vertAlign w:val="superscript"/>
        </w:rPr>
        <w:endnoteReference w:id="48"/>
      </w:r>
    </w:p>
    <w:p w:rsidR="003800B4" w:rsidRDefault="003800B4" w:rsidP="00070216">
      <w:pPr>
        <w:rPr>
          <w:szCs w:val="22"/>
        </w:rPr>
      </w:pPr>
      <w:r w:rsidRPr="00DA0B49">
        <w:rPr>
          <w:szCs w:val="22"/>
        </w:rPr>
        <w:t xml:space="preserve">Pharmacological pain management in Australian paediatric surgery has commonly </w:t>
      </w:r>
      <w:r>
        <w:rPr>
          <w:szCs w:val="22"/>
        </w:rPr>
        <w:t>included</w:t>
      </w:r>
      <w:r w:rsidRPr="00DA0B49">
        <w:rPr>
          <w:szCs w:val="22"/>
        </w:rPr>
        <w:t xml:space="preserve"> codeine in the past.</w:t>
      </w:r>
      <w:r w:rsidRPr="00DA0B49">
        <w:rPr>
          <w:szCs w:val="22"/>
          <w:vertAlign w:val="superscript"/>
          <w:lang w:eastAsia="en-AU"/>
        </w:rPr>
        <w:endnoteReference w:id="49"/>
      </w:r>
      <w:r w:rsidR="006C42D6">
        <w:rPr>
          <w:szCs w:val="22"/>
        </w:rPr>
        <w:t xml:space="preserve"> </w:t>
      </w:r>
      <w:r w:rsidRPr="00DA0B49">
        <w:rPr>
          <w:szCs w:val="22"/>
        </w:rPr>
        <w:t xml:space="preserve">However, since the concerns over risk to </w:t>
      </w:r>
      <w:r w:rsidR="00330277">
        <w:rPr>
          <w:szCs w:val="22"/>
        </w:rPr>
        <w:t>ultra-rapid</w:t>
      </w:r>
      <w:r w:rsidRPr="00DA0B49">
        <w:rPr>
          <w:szCs w:val="22"/>
        </w:rPr>
        <w:t xml:space="preserve"> metabolisers have been raised, the use of codeine </w:t>
      </w:r>
      <w:r w:rsidR="00DA7CC7">
        <w:rPr>
          <w:szCs w:val="22"/>
        </w:rPr>
        <w:t xml:space="preserve">in this setting </w:t>
      </w:r>
      <w:r w:rsidRPr="00DA0B49">
        <w:rPr>
          <w:szCs w:val="22"/>
        </w:rPr>
        <w:t>(particularly post-</w:t>
      </w:r>
      <w:proofErr w:type="spellStart"/>
      <w:r w:rsidRPr="00DA0B49">
        <w:rPr>
          <w:szCs w:val="22"/>
        </w:rPr>
        <w:t>adenotonsillectomy</w:t>
      </w:r>
      <w:proofErr w:type="spellEnd"/>
      <w:r w:rsidRPr="00DA0B49">
        <w:rPr>
          <w:szCs w:val="22"/>
        </w:rPr>
        <w:t xml:space="preserve">) has </w:t>
      </w:r>
      <w:r w:rsidR="00DA7CC7">
        <w:rPr>
          <w:szCs w:val="22"/>
        </w:rPr>
        <w:t>come into question</w:t>
      </w:r>
      <w:r w:rsidR="009421E6">
        <w:rPr>
          <w:szCs w:val="22"/>
        </w:rPr>
        <w:t>. There have</w:t>
      </w:r>
      <w:r w:rsidRPr="00DA0B49">
        <w:rPr>
          <w:szCs w:val="22"/>
        </w:rPr>
        <w:t xml:space="preserve"> been concerns in the past over the use of non-steroidal anti-inflammatories (NSAIDS) in the treatment of pain in children, particularly in the setting of post-</w:t>
      </w:r>
      <w:proofErr w:type="spellStart"/>
      <w:r w:rsidRPr="00DA0B49">
        <w:rPr>
          <w:szCs w:val="22"/>
        </w:rPr>
        <w:t>adenotonsillectomy</w:t>
      </w:r>
      <w:proofErr w:type="spellEnd"/>
      <w:r w:rsidRPr="00DA0B49">
        <w:rPr>
          <w:szCs w:val="22"/>
        </w:rPr>
        <w:t xml:space="preserve">, when the risk of life threatening post-operative bleeding is already a concern. </w:t>
      </w:r>
      <w:r>
        <w:rPr>
          <w:szCs w:val="22"/>
        </w:rPr>
        <w:t xml:space="preserve">A Cochrane review on the topic, published in 2005, found that NSAIDs did not </w:t>
      </w:r>
      <w:r w:rsidRPr="00DB2D8F">
        <w:rPr>
          <w:szCs w:val="22"/>
        </w:rPr>
        <w:t>cause any increase in bleeding</w:t>
      </w:r>
      <w:r>
        <w:rPr>
          <w:szCs w:val="22"/>
        </w:rPr>
        <w:t xml:space="preserve"> requiring a return to theatre. However, the review </w:t>
      </w:r>
      <w:r w:rsidR="009421E6">
        <w:rPr>
          <w:szCs w:val="22"/>
        </w:rPr>
        <w:t>was</w:t>
      </w:r>
      <w:r>
        <w:rPr>
          <w:szCs w:val="22"/>
        </w:rPr>
        <w:t xml:space="preserve"> updated in 2013 with the conclusion that </w:t>
      </w:r>
      <w:r w:rsidRPr="00DB2D8F">
        <w:rPr>
          <w:szCs w:val="22"/>
        </w:rPr>
        <w:t>NSAIDs did not significantly alter the number of perioperative bleeding events requi</w:t>
      </w:r>
      <w:r>
        <w:rPr>
          <w:szCs w:val="22"/>
        </w:rPr>
        <w:t>ring non-surgical intervention (</w:t>
      </w:r>
      <w:proofErr w:type="spellStart"/>
      <w:r>
        <w:rPr>
          <w:szCs w:val="22"/>
        </w:rPr>
        <w:t>Peto</w:t>
      </w:r>
      <w:proofErr w:type="spellEnd"/>
      <w:r>
        <w:rPr>
          <w:szCs w:val="22"/>
        </w:rPr>
        <w:t xml:space="preserve"> odds ratio 0.99 and 95% CI 0.41 to 2.40)</w:t>
      </w:r>
      <w:r w:rsidRPr="00DB2D8F">
        <w:rPr>
          <w:szCs w:val="22"/>
        </w:rPr>
        <w:t xml:space="preserve"> but the confidence intervals di</w:t>
      </w:r>
      <w:r>
        <w:rPr>
          <w:szCs w:val="22"/>
        </w:rPr>
        <w:t>d not exclude an increased risk</w:t>
      </w:r>
      <w:r w:rsidRPr="00DA0B49">
        <w:rPr>
          <w:szCs w:val="22"/>
        </w:rPr>
        <w:t>.</w:t>
      </w:r>
      <w:r w:rsidRPr="00DA0B49">
        <w:rPr>
          <w:rStyle w:val="EndnoteReference"/>
          <w:rFonts w:eastAsia="Calibri"/>
          <w:szCs w:val="22"/>
        </w:rPr>
        <w:endnoteReference w:id="50"/>
      </w:r>
    </w:p>
    <w:p w:rsidR="003800B4" w:rsidRDefault="003800B4" w:rsidP="00070216">
      <w:pPr>
        <w:rPr>
          <w:szCs w:val="22"/>
        </w:rPr>
      </w:pPr>
      <w:r w:rsidRPr="00DA0B49">
        <w:rPr>
          <w:szCs w:val="22"/>
        </w:rPr>
        <w:t xml:space="preserve">In contrast, another systematic review, published in </w:t>
      </w:r>
      <w:r w:rsidRPr="009421E6">
        <w:rPr>
          <w:i/>
          <w:szCs w:val="22"/>
        </w:rPr>
        <w:t>Clinical Otolaryngology</w:t>
      </w:r>
      <w:r w:rsidRPr="00DA0B49">
        <w:rPr>
          <w:szCs w:val="22"/>
        </w:rPr>
        <w:t xml:space="preserve"> in 2013</w:t>
      </w:r>
      <w:r>
        <w:rPr>
          <w:szCs w:val="22"/>
        </w:rPr>
        <w:t>,</w:t>
      </w:r>
      <w:r w:rsidRPr="00DA0B49">
        <w:rPr>
          <w:szCs w:val="22"/>
        </w:rPr>
        <w:t xml:space="preserve"> concluded that “NSAIDs can be considered as a safe method of analgesia among children undergoing tonsillectomy”.</w:t>
      </w:r>
      <w:r w:rsidRPr="00DA0B49">
        <w:rPr>
          <w:szCs w:val="22"/>
          <w:vertAlign w:val="superscript"/>
        </w:rPr>
        <w:endnoteReference w:id="51"/>
      </w:r>
      <w:r w:rsidRPr="00DA0B49">
        <w:rPr>
          <w:szCs w:val="22"/>
        </w:rPr>
        <w:t xml:space="preserve"> </w:t>
      </w:r>
      <w:r>
        <w:rPr>
          <w:szCs w:val="22"/>
        </w:rPr>
        <w:t xml:space="preserve">The </w:t>
      </w:r>
      <w:r w:rsidRPr="00DB2D8F">
        <w:rPr>
          <w:szCs w:val="22"/>
        </w:rPr>
        <w:t>AAO</w:t>
      </w:r>
      <w:r>
        <w:rPr>
          <w:szCs w:val="22"/>
        </w:rPr>
        <w:t xml:space="preserve">-HNS </w:t>
      </w:r>
      <w:r w:rsidRPr="00DB2D8F">
        <w:rPr>
          <w:szCs w:val="22"/>
        </w:rPr>
        <w:t xml:space="preserve">also takes a similar stance, and </w:t>
      </w:r>
      <w:r>
        <w:rPr>
          <w:szCs w:val="22"/>
        </w:rPr>
        <w:t>specifies</w:t>
      </w:r>
      <w:r w:rsidRPr="00DB2D8F">
        <w:rPr>
          <w:szCs w:val="22"/>
        </w:rPr>
        <w:t xml:space="preserve"> that “ibuprofen can be used safely for pain control after surgery.” This is one of several suggested education points for caregivers that the AAOHNS suggests. In the body of the guideline text they explain, “Clinicians should advocate for pain management by establishing strategies to control pain after tonsillectomy. The panel avoided a recommendation to prescribe specific drugs, since pain can often be managed with over-the-counter analgesics and hydration.”</w:t>
      </w:r>
    </w:p>
    <w:p w:rsidR="003800B4" w:rsidRPr="00DA0B49" w:rsidRDefault="003800B4" w:rsidP="00070216">
      <w:pPr>
        <w:rPr>
          <w:szCs w:val="22"/>
        </w:rPr>
      </w:pPr>
      <w:r w:rsidRPr="00DB2D8F">
        <w:rPr>
          <w:szCs w:val="22"/>
        </w:rPr>
        <w:t xml:space="preserve">A 2010 clinical care guideline from the John Hunter Children’s Hospital Australia, published on children’s health website kaleidoscope.org.au, </w:t>
      </w:r>
      <w:r w:rsidR="009421E6">
        <w:rPr>
          <w:szCs w:val="22"/>
        </w:rPr>
        <w:t xml:space="preserve">states that regular paracetamol </w:t>
      </w:r>
      <w:r w:rsidRPr="00DB2D8F">
        <w:rPr>
          <w:szCs w:val="22"/>
        </w:rPr>
        <w:t>is the mainstay of effective analgesia, that ibuprofen and other NSAIDS should be avoided due to risk of bleeding</w:t>
      </w:r>
      <w:r>
        <w:rPr>
          <w:szCs w:val="22"/>
        </w:rPr>
        <w:t xml:space="preserve">, and that </w:t>
      </w:r>
      <w:r w:rsidRPr="00DB2D8F">
        <w:rPr>
          <w:szCs w:val="22"/>
        </w:rPr>
        <w:t>some children will benefit from oxycodone to provide adequate analgesia</w:t>
      </w:r>
      <w:r>
        <w:rPr>
          <w:szCs w:val="22"/>
        </w:rPr>
        <w:t>.</w:t>
      </w:r>
    </w:p>
    <w:p w:rsidR="003800B4" w:rsidRDefault="000A28CA" w:rsidP="00070216">
      <w:r>
        <w:t>A presentation document published by</w:t>
      </w:r>
      <w:r w:rsidR="003800B4" w:rsidRPr="00A469C6">
        <w:t xml:space="preserve"> the Children’s Pain Management Service at the Austra</w:t>
      </w:r>
      <w:r>
        <w:t xml:space="preserve">lian Royal Children’s Hospital indicates </w:t>
      </w:r>
      <w:r w:rsidR="003800B4" w:rsidRPr="00A469C6">
        <w:t>that apart</w:t>
      </w:r>
      <w:r w:rsidR="003800B4" w:rsidRPr="00027C07">
        <w:t xml:space="preserve"> from paracetamol, i</w:t>
      </w:r>
      <w:r>
        <w:t>t is unclear what analgesia is safe</w:t>
      </w:r>
      <w:r w:rsidR="003800B4" w:rsidRPr="00027C07">
        <w:t xml:space="preserve"> or effective</w:t>
      </w:r>
      <w:r w:rsidR="003800B4">
        <w:t xml:space="preserve"> in this setting.</w:t>
      </w:r>
      <w:r w:rsidR="003800B4" w:rsidRPr="00A469C6">
        <w:rPr>
          <w:vertAlign w:val="superscript"/>
        </w:rPr>
        <w:endnoteReference w:id="52"/>
      </w:r>
      <w:r w:rsidR="003800B4">
        <w:t xml:space="preserve"> </w:t>
      </w:r>
      <w:r w:rsidR="003800B4" w:rsidRPr="001E460F">
        <w:t xml:space="preserve">The recommendations </w:t>
      </w:r>
      <w:r>
        <w:t>for analgesia in the inpatient setting according to this document</w:t>
      </w:r>
      <w:r w:rsidR="003800B4" w:rsidRPr="001E460F">
        <w:t xml:space="preserve"> are:</w:t>
      </w:r>
    </w:p>
    <w:p w:rsidR="003800B4" w:rsidRPr="009421E6" w:rsidRDefault="009421E6" w:rsidP="00437CCC">
      <w:pPr>
        <w:pStyle w:val="ListBullet2"/>
        <w:ind w:left="720" w:hanging="360"/>
        <w:rPr>
          <w:sz w:val="20"/>
        </w:rPr>
      </w:pPr>
      <w:r w:rsidRPr="009421E6">
        <w:rPr>
          <w:sz w:val="20"/>
        </w:rPr>
        <w:t>“</w:t>
      </w:r>
      <w:r w:rsidR="003800B4" w:rsidRPr="009421E6">
        <w:rPr>
          <w:sz w:val="20"/>
        </w:rPr>
        <w:t>Lignocaine viscous 4% gargle to facilitate eating</w:t>
      </w:r>
    </w:p>
    <w:p w:rsidR="003800B4" w:rsidRPr="009421E6" w:rsidRDefault="003800B4" w:rsidP="00437CCC">
      <w:pPr>
        <w:pStyle w:val="ListBullet2"/>
        <w:ind w:left="720" w:hanging="360"/>
        <w:rPr>
          <w:sz w:val="20"/>
        </w:rPr>
      </w:pPr>
      <w:r w:rsidRPr="009421E6">
        <w:rPr>
          <w:sz w:val="20"/>
        </w:rPr>
        <w:t xml:space="preserve">Paracetamol 15mg/kg </w:t>
      </w:r>
      <w:proofErr w:type="spellStart"/>
      <w:r w:rsidRPr="009421E6">
        <w:rPr>
          <w:sz w:val="20"/>
        </w:rPr>
        <w:t>qid</w:t>
      </w:r>
      <w:proofErr w:type="spellEnd"/>
    </w:p>
    <w:p w:rsidR="003800B4" w:rsidRPr="009421E6" w:rsidRDefault="006C42D6" w:rsidP="00437CCC">
      <w:pPr>
        <w:pStyle w:val="ListBullet2"/>
        <w:ind w:left="720" w:hanging="360"/>
        <w:rPr>
          <w:sz w:val="20"/>
        </w:rPr>
      </w:pPr>
      <w:proofErr w:type="spellStart"/>
      <w:r>
        <w:rPr>
          <w:sz w:val="20"/>
        </w:rPr>
        <w:t>Celecoxib</w:t>
      </w:r>
      <w:proofErr w:type="spellEnd"/>
      <w:r>
        <w:rPr>
          <w:sz w:val="20"/>
        </w:rPr>
        <w:t xml:space="preserve"> 4mg/kg </w:t>
      </w:r>
      <w:proofErr w:type="spellStart"/>
      <w:r>
        <w:rPr>
          <w:sz w:val="20"/>
        </w:rPr>
        <w:t>bd</w:t>
      </w:r>
      <w:proofErr w:type="spellEnd"/>
    </w:p>
    <w:p w:rsidR="003800B4" w:rsidRPr="009421E6" w:rsidRDefault="003800B4" w:rsidP="00437CCC">
      <w:pPr>
        <w:pStyle w:val="ListBullet2"/>
        <w:ind w:left="720" w:hanging="360"/>
        <w:rPr>
          <w:sz w:val="20"/>
        </w:rPr>
      </w:pPr>
      <w:r w:rsidRPr="009421E6">
        <w:rPr>
          <w:sz w:val="20"/>
        </w:rPr>
        <w:t xml:space="preserve">Oxycodone 0.1- 0.2mg/kg q 4h </w:t>
      </w:r>
    </w:p>
    <w:p w:rsidR="003800B4" w:rsidRPr="009421E6" w:rsidRDefault="003800B4" w:rsidP="00437CCC">
      <w:pPr>
        <w:pStyle w:val="ListBullet2"/>
        <w:ind w:left="720" w:hanging="360"/>
        <w:rPr>
          <w:sz w:val="20"/>
        </w:rPr>
      </w:pPr>
      <w:r w:rsidRPr="009421E6">
        <w:rPr>
          <w:sz w:val="20"/>
        </w:rPr>
        <w:t>Tramadol 2 mg/kg q 6h</w:t>
      </w:r>
      <w:r w:rsidR="009421E6" w:rsidRPr="009421E6">
        <w:rPr>
          <w:sz w:val="20"/>
        </w:rPr>
        <w:t>”</w:t>
      </w:r>
    </w:p>
    <w:p w:rsidR="000A28CA" w:rsidRDefault="005050E3" w:rsidP="000A28CA">
      <w:r>
        <w:t>R</w:t>
      </w:r>
      <w:r w:rsidR="003800B4">
        <w:t xml:space="preserve">ecommendations vary between centres in Australia and internationally, however the consensus appears to be that non-pharmaceutical strategies and regular dosing of paracetamol are central. The use of NSAIDS is not universally recommended due to continuing concerns and inconclusive evidence over bleeding risk. The use of additional measures such as non-CYP2D6-metabolised opioids for breakthrough pain (such as liquid </w:t>
      </w:r>
      <w:proofErr w:type="spellStart"/>
      <w:r w:rsidR="003800B4">
        <w:t>hydromorphone</w:t>
      </w:r>
      <w:proofErr w:type="spellEnd"/>
      <w:r w:rsidR="003800B4">
        <w:t xml:space="preserve"> or morphine) in the acute inpatient setting and local anaesthetic gargles are also suggested. The use of codeine for paediatric analgesia post-</w:t>
      </w:r>
      <w:proofErr w:type="spellStart"/>
      <w:r w:rsidR="003800B4">
        <w:t>adenotonsillectomy</w:t>
      </w:r>
      <w:bookmarkStart w:id="124" w:name="_Toc416959639"/>
      <w:proofErr w:type="spellEnd"/>
      <w:r w:rsidR="00DA7CC7">
        <w:t xml:space="preserve"> does not appear to be generally recommended.</w:t>
      </w:r>
    </w:p>
    <w:p w:rsidR="003800B4" w:rsidRPr="000A28CA" w:rsidRDefault="003800B4" w:rsidP="006C42D6">
      <w:pPr>
        <w:pStyle w:val="Heading2"/>
        <w:pageBreakBefore/>
        <w:numPr>
          <w:ilvl w:val="0"/>
          <w:numId w:val="18"/>
        </w:numPr>
        <w:rPr>
          <w:rFonts w:eastAsia="Cambria"/>
          <w:sz w:val="22"/>
          <w:szCs w:val="20"/>
        </w:rPr>
      </w:pPr>
      <w:bookmarkStart w:id="125" w:name="_Toc431378958"/>
      <w:bookmarkStart w:id="126" w:name="_Toc431407259"/>
      <w:r w:rsidRPr="00A31495">
        <w:lastRenderedPageBreak/>
        <w:t>Discussion</w:t>
      </w:r>
      <w:bookmarkEnd w:id="124"/>
      <w:bookmarkEnd w:id="125"/>
      <w:bookmarkEnd w:id="126"/>
    </w:p>
    <w:p w:rsidR="003800B4" w:rsidRPr="00A31495" w:rsidRDefault="003800B4" w:rsidP="003800B4">
      <w:pPr>
        <w:rPr>
          <w:rFonts w:eastAsiaTheme="majorEastAsia"/>
        </w:rPr>
      </w:pPr>
      <w:r w:rsidRPr="00A31495">
        <w:rPr>
          <w:rFonts w:eastAsiaTheme="majorEastAsia"/>
        </w:rPr>
        <w:t>The concerns over</w:t>
      </w:r>
      <w:r>
        <w:rPr>
          <w:rFonts w:eastAsiaTheme="majorEastAsia"/>
        </w:rPr>
        <w:t xml:space="preserve"> the</w:t>
      </w:r>
      <w:r w:rsidRPr="00A31495">
        <w:rPr>
          <w:rFonts w:eastAsiaTheme="majorEastAsia"/>
        </w:rPr>
        <w:t xml:space="preserve"> safety of codeine use with regard to unintentional morphine overdose secondary to </w:t>
      </w:r>
      <w:r w:rsidR="00330277">
        <w:rPr>
          <w:rFonts w:eastAsiaTheme="majorEastAsia"/>
        </w:rPr>
        <w:t>ultra-rapid</w:t>
      </w:r>
      <w:r w:rsidRPr="00A31495">
        <w:rPr>
          <w:rFonts w:eastAsiaTheme="majorEastAsia"/>
        </w:rPr>
        <w:t xml:space="preserve"> metabolism </w:t>
      </w:r>
      <w:r>
        <w:rPr>
          <w:rFonts w:eastAsiaTheme="majorEastAsia"/>
        </w:rPr>
        <w:t xml:space="preserve">of codeine can be considered to </w:t>
      </w:r>
      <w:r w:rsidRPr="00A31495">
        <w:rPr>
          <w:rFonts w:eastAsiaTheme="majorEastAsia"/>
        </w:rPr>
        <w:t xml:space="preserve">apply to </w:t>
      </w:r>
      <w:r w:rsidR="009421E6">
        <w:rPr>
          <w:rFonts w:eastAsiaTheme="majorEastAsia"/>
        </w:rPr>
        <w:t>all of the following groups:</w:t>
      </w:r>
    </w:p>
    <w:p w:rsidR="003800B4" w:rsidRPr="00A31495" w:rsidRDefault="003800B4" w:rsidP="00BE2BB4">
      <w:pPr>
        <w:pStyle w:val="ListBullet2"/>
        <w:numPr>
          <w:ilvl w:val="0"/>
          <w:numId w:val="34"/>
        </w:numPr>
        <w:ind w:left="425" w:hanging="425"/>
      </w:pPr>
      <w:r w:rsidRPr="00A31495">
        <w:t xml:space="preserve">All children undergoing </w:t>
      </w:r>
      <w:proofErr w:type="spellStart"/>
      <w:r w:rsidRPr="00A31495">
        <w:t>adenotonsillectomy</w:t>
      </w:r>
      <w:proofErr w:type="spellEnd"/>
      <w:r w:rsidRPr="00A31495">
        <w:t xml:space="preserve"> for </w:t>
      </w:r>
      <w:r>
        <w:t>OSA</w:t>
      </w:r>
    </w:p>
    <w:p w:rsidR="003800B4" w:rsidRPr="00A31495" w:rsidRDefault="003800B4" w:rsidP="009421E6">
      <w:pPr>
        <w:pStyle w:val="ListBullet2"/>
        <w:numPr>
          <w:ilvl w:val="0"/>
          <w:numId w:val="34"/>
        </w:numPr>
        <w:ind w:left="425" w:hanging="425"/>
      </w:pPr>
      <w:r w:rsidRPr="00A31495">
        <w:t xml:space="preserve">All children undergoing </w:t>
      </w:r>
      <w:proofErr w:type="spellStart"/>
      <w:r w:rsidRPr="00A31495">
        <w:t>adenotonsillectomy</w:t>
      </w:r>
      <w:proofErr w:type="spellEnd"/>
    </w:p>
    <w:p w:rsidR="003800B4" w:rsidRPr="00A31495" w:rsidRDefault="003800B4" w:rsidP="009421E6">
      <w:pPr>
        <w:pStyle w:val="ListBullet2"/>
        <w:numPr>
          <w:ilvl w:val="0"/>
          <w:numId w:val="34"/>
        </w:numPr>
        <w:ind w:left="425" w:hanging="425"/>
      </w:pPr>
      <w:r w:rsidRPr="00A31495">
        <w:t xml:space="preserve">All children </w:t>
      </w:r>
      <w:r>
        <w:t>(under the age of 18)</w:t>
      </w:r>
    </w:p>
    <w:p w:rsidR="003800B4" w:rsidRPr="00A31495" w:rsidRDefault="003800B4" w:rsidP="009421E6">
      <w:pPr>
        <w:pStyle w:val="ListBullet2"/>
        <w:numPr>
          <w:ilvl w:val="0"/>
          <w:numId w:val="34"/>
        </w:numPr>
        <w:ind w:left="425" w:hanging="425"/>
      </w:pPr>
      <w:r w:rsidRPr="00A31495">
        <w:t>All infants who are breastfed</w:t>
      </w:r>
    </w:p>
    <w:p w:rsidR="003800B4" w:rsidRPr="00A31495" w:rsidRDefault="003800B4" w:rsidP="009421E6">
      <w:pPr>
        <w:pStyle w:val="ListBullet2"/>
        <w:numPr>
          <w:ilvl w:val="0"/>
          <w:numId w:val="34"/>
        </w:numPr>
        <w:ind w:left="425" w:hanging="425"/>
      </w:pPr>
      <w:r w:rsidRPr="00A31495">
        <w:t xml:space="preserve">All people who are </w:t>
      </w:r>
      <w:r w:rsidR="00330277">
        <w:t>ultra-rapid</w:t>
      </w:r>
      <w:r w:rsidRPr="00A31495">
        <w:t xml:space="preserve"> metabolisers</w:t>
      </w:r>
      <w:r w:rsidR="009421E6">
        <w:t>.</w:t>
      </w:r>
    </w:p>
    <w:p w:rsidR="003800B4" w:rsidRDefault="003800B4" w:rsidP="003800B4">
      <w:pPr>
        <w:rPr>
          <w:rFonts w:eastAsiaTheme="majorEastAsia"/>
        </w:rPr>
      </w:pPr>
      <w:r w:rsidRPr="006C2B41">
        <w:rPr>
          <w:rFonts w:eastAsiaTheme="majorEastAsia"/>
        </w:rPr>
        <w:t>What is not clear is the difference in th</w:t>
      </w:r>
      <w:r w:rsidR="009421E6">
        <w:rPr>
          <w:rFonts w:eastAsiaTheme="majorEastAsia"/>
        </w:rPr>
        <w:t>e magnitude of risk within each</w:t>
      </w:r>
      <w:r w:rsidRPr="006C2B41">
        <w:rPr>
          <w:rFonts w:eastAsiaTheme="majorEastAsia"/>
        </w:rPr>
        <w:t xml:space="preserve"> and between each of these groups</w:t>
      </w:r>
      <w:r>
        <w:rPr>
          <w:rFonts w:eastAsiaTheme="majorEastAsia"/>
        </w:rPr>
        <w:t>.</w:t>
      </w:r>
    </w:p>
    <w:p w:rsidR="003800B4" w:rsidRDefault="003800B4" w:rsidP="003800B4">
      <w:pPr>
        <w:rPr>
          <w:rFonts w:eastAsiaTheme="majorEastAsia"/>
        </w:rPr>
      </w:pPr>
      <w:r>
        <w:rPr>
          <w:rFonts w:eastAsiaTheme="majorEastAsia"/>
        </w:rPr>
        <w:t>T</w:t>
      </w:r>
      <w:r w:rsidRPr="00D6319F">
        <w:rPr>
          <w:rFonts w:eastAsiaTheme="majorEastAsia"/>
        </w:rPr>
        <w:t xml:space="preserve">he over-representation noted by the FDA of deaths in children </w:t>
      </w:r>
      <w:r>
        <w:rPr>
          <w:rFonts w:eastAsiaTheme="majorEastAsia"/>
        </w:rPr>
        <w:t>post-</w:t>
      </w:r>
      <w:proofErr w:type="spellStart"/>
      <w:r w:rsidRPr="00D6319F">
        <w:rPr>
          <w:rFonts w:eastAsiaTheme="majorEastAsia"/>
        </w:rPr>
        <w:t>adenotonsillectomy</w:t>
      </w:r>
      <w:proofErr w:type="spellEnd"/>
      <w:r w:rsidRPr="00D6319F">
        <w:rPr>
          <w:rFonts w:eastAsiaTheme="majorEastAsia"/>
        </w:rPr>
        <w:t xml:space="preserve"> for OSA </w:t>
      </w:r>
      <w:r>
        <w:rPr>
          <w:rFonts w:eastAsiaTheme="majorEastAsia"/>
        </w:rPr>
        <w:t>(</w:t>
      </w:r>
      <w:r w:rsidRPr="00D6319F">
        <w:rPr>
          <w:rFonts w:eastAsiaTheme="majorEastAsia"/>
        </w:rPr>
        <w:t>as opposed to any other analgesic indication</w:t>
      </w:r>
      <w:r>
        <w:rPr>
          <w:rFonts w:eastAsiaTheme="majorEastAsia"/>
        </w:rPr>
        <w:t>) has been interpreted to mean that this setting carries a higher risk of respirat</w:t>
      </w:r>
      <w:r w:rsidR="009421E6">
        <w:rPr>
          <w:rFonts w:eastAsiaTheme="majorEastAsia"/>
        </w:rPr>
        <w:t xml:space="preserve">ory difficulties, however </w:t>
      </w:r>
      <w:r>
        <w:rPr>
          <w:rFonts w:eastAsiaTheme="majorEastAsia"/>
        </w:rPr>
        <w:t>this</w:t>
      </w:r>
      <w:r w:rsidRPr="00D6319F">
        <w:rPr>
          <w:rFonts w:eastAsiaTheme="majorEastAsia"/>
        </w:rPr>
        <w:t xml:space="preserve"> may simply represent that this is the most common setting in which codeine is used to treat pain in children.</w:t>
      </w:r>
      <w:r>
        <w:rPr>
          <w:rFonts w:eastAsiaTheme="majorEastAsia"/>
        </w:rPr>
        <w:t xml:space="preserve"> In more general terms, children are likely to be at higher risk</w:t>
      </w:r>
      <w:r w:rsidRPr="00A31495">
        <w:rPr>
          <w:rFonts w:eastAsiaTheme="majorEastAsia"/>
        </w:rPr>
        <w:t xml:space="preserve"> </w:t>
      </w:r>
      <w:r>
        <w:rPr>
          <w:rFonts w:eastAsiaTheme="majorEastAsia"/>
        </w:rPr>
        <w:t xml:space="preserve">of complications associated with the </w:t>
      </w:r>
      <w:r w:rsidR="00330277">
        <w:rPr>
          <w:rFonts w:eastAsiaTheme="majorEastAsia"/>
        </w:rPr>
        <w:t>ultra-rapid</w:t>
      </w:r>
      <w:r>
        <w:rPr>
          <w:rFonts w:eastAsiaTheme="majorEastAsia"/>
        </w:rPr>
        <w:t xml:space="preserve"> metabolism of codeine </w:t>
      </w:r>
      <w:r w:rsidRPr="00A31495">
        <w:rPr>
          <w:rFonts w:eastAsiaTheme="majorEastAsia"/>
        </w:rPr>
        <w:t xml:space="preserve">due to </w:t>
      </w:r>
      <w:r>
        <w:rPr>
          <w:rFonts w:eastAsiaTheme="majorEastAsia"/>
        </w:rPr>
        <w:t>a</w:t>
      </w:r>
      <w:r w:rsidRPr="00A31495">
        <w:rPr>
          <w:rFonts w:eastAsiaTheme="majorEastAsia"/>
        </w:rPr>
        <w:t xml:space="preserve"> reduced ability to recognise </w:t>
      </w:r>
      <w:r>
        <w:rPr>
          <w:rFonts w:eastAsiaTheme="majorEastAsia"/>
        </w:rPr>
        <w:t xml:space="preserve">drug </w:t>
      </w:r>
      <w:r w:rsidRPr="00A31495">
        <w:rPr>
          <w:rFonts w:eastAsiaTheme="majorEastAsia"/>
        </w:rPr>
        <w:t xml:space="preserve">effects and communicate them, </w:t>
      </w:r>
      <w:r>
        <w:rPr>
          <w:rFonts w:eastAsiaTheme="majorEastAsia"/>
        </w:rPr>
        <w:t>and</w:t>
      </w:r>
      <w:r w:rsidRPr="00A31495">
        <w:rPr>
          <w:rFonts w:eastAsiaTheme="majorEastAsia"/>
        </w:rPr>
        <w:t xml:space="preserve"> their different airway anatomy</w:t>
      </w:r>
      <w:r>
        <w:rPr>
          <w:rFonts w:eastAsiaTheme="majorEastAsia"/>
        </w:rPr>
        <w:t xml:space="preserve"> to adults</w:t>
      </w:r>
      <w:r w:rsidRPr="00A31495">
        <w:rPr>
          <w:rFonts w:eastAsiaTheme="majorEastAsia"/>
        </w:rPr>
        <w:t>, conferring higher susceptib</w:t>
      </w:r>
      <w:r>
        <w:rPr>
          <w:rFonts w:eastAsiaTheme="majorEastAsia"/>
        </w:rPr>
        <w:t>ility to breathing obstruction.</w:t>
      </w:r>
    </w:p>
    <w:p w:rsidR="003800B4" w:rsidRDefault="003800B4" w:rsidP="003800B4">
      <w:pPr>
        <w:rPr>
          <w:rFonts w:eastAsiaTheme="majorEastAsia"/>
        </w:rPr>
      </w:pPr>
      <w:r w:rsidRPr="00C7489D">
        <w:rPr>
          <w:rFonts w:eastAsiaTheme="majorEastAsia"/>
        </w:rPr>
        <w:t xml:space="preserve">Another issue with </w:t>
      </w:r>
      <w:r>
        <w:rPr>
          <w:rFonts w:eastAsiaTheme="majorEastAsia"/>
        </w:rPr>
        <w:t xml:space="preserve">quantifying </w:t>
      </w:r>
      <w:r w:rsidRPr="00C7489D">
        <w:rPr>
          <w:rFonts w:eastAsiaTheme="majorEastAsia"/>
        </w:rPr>
        <w:t>risk associated with codeine use post-operatively is the way the risk will vary according to whether the products are available over-the-counter</w:t>
      </w:r>
      <w:r>
        <w:rPr>
          <w:rFonts w:eastAsiaTheme="majorEastAsia"/>
        </w:rPr>
        <w:t xml:space="preserve"> (OTC)</w:t>
      </w:r>
      <w:r w:rsidRPr="00C7489D">
        <w:rPr>
          <w:rFonts w:eastAsiaTheme="majorEastAsia"/>
        </w:rPr>
        <w:t xml:space="preserve"> or via prescription only.  In theory, the prescription products should be higher risk as they contain higher doses of codeine, however medical supervision</w:t>
      </w:r>
      <w:r>
        <w:rPr>
          <w:rFonts w:eastAsiaTheme="majorEastAsia"/>
        </w:rPr>
        <w:t xml:space="preserve"> should be closer than for OTC medicines, which should mitigate the risk to some extent</w:t>
      </w:r>
      <w:r w:rsidR="006C42D6">
        <w:rPr>
          <w:rFonts w:eastAsiaTheme="majorEastAsia"/>
        </w:rPr>
        <w:t>.</w:t>
      </w:r>
    </w:p>
    <w:p w:rsidR="003800B4" w:rsidRDefault="003800B4" w:rsidP="003800B4">
      <w:pPr>
        <w:rPr>
          <w:rFonts w:eastAsiaTheme="majorEastAsia"/>
        </w:rPr>
      </w:pPr>
      <w:r w:rsidRPr="006C2B41">
        <w:rPr>
          <w:rFonts w:eastAsiaTheme="majorEastAsia"/>
        </w:rPr>
        <w:t xml:space="preserve">The international regulatory community has made </w:t>
      </w:r>
      <w:r>
        <w:rPr>
          <w:rFonts w:eastAsiaTheme="majorEastAsia"/>
        </w:rPr>
        <w:t>various</w:t>
      </w:r>
      <w:r w:rsidRPr="006C2B41">
        <w:rPr>
          <w:rFonts w:eastAsiaTheme="majorEastAsia"/>
        </w:rPr>
        <w:t xml:space="preserve"> changes to the regulation of codeine to address </w:t>
      </w:r>
      <w:r>
        <w:rPr>
          <w:rFonts w:eastAsiaTheme="majorEastAsia"/>
        </w:rPr>
        <w:t xml:space="preserve">the </w:t>
      </w:r>
      <w:r w:rsidRPr="006C2B41">
        <w:rPr>
          <w:rFonts w:eastAsiaTheme="majorEastAsia"/>
        </w:rPr>
        <w:t>risk</w:t>
      </w:r>
      <w:r>
        <w:rPr>
          <w:rFonts w:eastAsiaTheme="majorEastAsia"/>
        </w:rPr>
        <w:t xml:space="preserve"> of morphine overdose and death in </w:t>
      </w:r>
      <w:r w:rsidR="00330277">
        <w:rPr>
          <w:rFonts w:eastAsiaTheme="majorEastAsia"/>
        </w:rPr>
        <w:t>ultra-rapid</w:t>
      </w:r>
      <w:r>
        <w:rPr>
          <w:rFonts w:eastAsiaTheme="majorEastAsia"/>
        </w:rPr>
        <w:t xml:space="preserve"> metabolisers</w:t>
      </w:r>
      <w:r w:rsidRPr="006C2B41">
        <w:rPr>
          <w:rFonts w:eastAsiaTheme="majorEastAsia"/>
        </w:rPr>
        <w:t xml:space="preserve">. </w:t>
      </w:r>
      <w:r>
        <w:rPr>
          <w:rFonts w:eastAsiaTheme="majorEastAsia"/>
        </w:rPr>
        <w:t>In the USA, use has been restricted in children below the age of 18. However, the restrictions in the USA only apply to a particular setting – that of post-</w:t>
      </w:r>
      <w:proofErr w:type="spellStart"/>
      <w:r>
        <w:rPr>
          <w:rFonts w:eastAsiaTheme="majorEastAsia"/>
        </w:rPr>
        <w:t>adenotonsillectomy</w:t>
      </w:r>
      <w:proofErr w:type="spellEnd"/>
      <w:r>
        <w:rPr>
          <w:rFonts w:eastAsiaTheme="majorEastAsia"/>
        </w:rPr>
        <w:t xml:space="preserve"> for any reason. The FDA states that the indication for surgery has not been specified as they can’t be sure whether underlying respiratory compromise related to OSA is a contributing factor or not.</w:t>
      </w:r>
    </w:p>
    <w:p w:rsidR="003800B4" w:rsidRDefault="003800B4" w:rsidP="003800B4">
      <w:pPr>
        <w:rPr>
          <w:rFonts w:eastAsiaTheme="majorEastAsia"/>
        </w:rPr>
      </w:pPr>
      <w:r>
        <w:rPr>
          <w:rFonts w:eastAsiaTheme="majorEastAsia"/>
        </w:rPr>
        <w:t xml:space="preserve">By contrast, the EMA has taken the approach that the risk is present for any child who may be a </w:t>
      </w:r>
      <w:r w:rsidR="00330277">
        <w:rPr>
          <w:rFonts w:eastAsiaTheme="majorEastAsia"/>
        </w:rPr>
        <w:t>ultra-rapid</w:t>
      </w:r>
      <w:r>
        <w:rPr>
          <w:rFonts w:eastAsiaTheme="majorEastAsia"/>
        </w:rPr>
        <w:t xml:space="preserve"> metaboliser, regardless of the indication for use. The age of 12 has been chosen for this restriction, consistent with the evidence considered in the EMA’s review. They have then additionally contraindicated codeine use post </w:t>
      </w:r>
      <w:proofErr w:type="spellStart"/>
      <w:r>
        <w:rPr>
          <w:rFonts w:eastAsiaTheme="majorEastAsia"/>
        </w:rPr>
        <w:t>adenotonsillectomy</w:t>
      </w:r>
      <w:proofErr w:type="spellEnd"/>
      <w:r>
        <w:rPr>
          <w:rFonts w:eastAsiaTheme="majorEastAsia"/>
        </w:rPr>
        <w:t xml:space="preserve"> in children under 18, but only if the indication for surgery is OSA, due to the additional risk that appears to be present in this setting </w:t>
      </w:r>
      <w:r w:rsidR="00070216">
        <w:rPr>
          <w:rFonts w:eastAsiaTheme="majorEastAsia"/>
        </w:rPr>
        <w:t>from</w:t>
      </w:r>
      <w:r>
        <w:rPr>
          <w:rFonts w:eastAsiaTheme="majorEastAsia"/>
        </w:rPr>
        <w:t xml:space="preserve"> the cases considered by the FDA in their initial safety action. </w:t>
      </w:r>
    </w:p>
    <w:p w:rsidR="003800B4" w:rsidRPr="006A1283" w:rsidRDefault="003800B4" w:rsidP="003800B4">
      <w:pPr>
        <w:rPr>
          <w:rFonts w:eastAsiaTheme="majorEastAsia"/>
        </w:rPr>
      </w:pPr>
      <w:r>
        <w:rPr>
          <w:rFonts w:eastAsiaTheme="majorEastAsia"/>
        </w:rPr>
        <w:t>Thus, a selection of actions</w:t>
      </w:r>
      <w:r w:rsidRPr="006A1283">
        <w:rPr>
          <w:rFonts w:eastAsiaTheme="majorEastAsia"/>
        </w:rPr>
        <w:t xml:space="preserve"> </w:t>
      </w:r>
      <w:r>
        <w:rPr>
          <w:rFonts w:eastAsiaTheme="majorEastAsia"/>
        </w:rPr>
        <w:t>available to the TGA might be considered to be any or a combination of these:</w:t>
      </w:r>
    </w:p>
    <w:p w:rsidR="00BE2BB4" w:rsidRDefault="00BE2BB4" w:rsidP="00BE2BB4">
      <w:pPr>
        <w:pStyle w:val="Numberbullet0"/>
        <w:numPr>
          <w:ilvl w:val="0"/>
          <w:numId w:val="11"/>
        </w:numPr>
      </w:pPr>
      <w:r>
        <w:t>No action</w:t>
      </w:r>
    </w:p>
    <w:p w:rsidR="003800B4" w:rsidRPr="006A1283" w:rsidRDefault="003800B4" w:rsidP="00BE2BB4">
      <w:pPr>
        <w:pStyle w:val="Numberbullet0"/>
        <w:numPr>
          <w:ilvl w:val="0"/>
          <w:numId w:val="11"/>
        </w:numPr>
      </w:pPr>
      <w:r w:rsidRPr="006A1283">
        <w:t>Contraindication of codeine</w:t>
      </w:r>
      <w:r>
        <w:t xml:space="preserve"> use</w:t>
      </w:r>
      <w:r w:rsidRPr="006A1283">
        <w:t xml:space="preserve"> below 12 years of age</w:t>
      </w:r>
    </w:p>
    <w:p w:rsidR="003800B4" w:rsidRDefault="003800B4" w:rsidP="00B74473">
      <w:pPr>
        <w:pStyle w:val="Numberbullet2"/>
        <w:numPr>
          <w:ilvl w:val="0"/>
          <w:numId w:val="35"/>
        </w:numPr>
      </w:pPr>
      <w:r w:rsidRPr="006A1283">
        <w:t>in any setting</w:t>
      </w:r>
    </w:p>
    <w:p w:rsidR="003800B4" w:rsidRPr="006A1283" w:rsidRDefault="003800B4" w:rsidP="00B74473">
      <w:pPr>
        <w:pStyle w:val="Numberbullet2"/>
        <w:numPr>
          <w:ilvl w:val="0"/>
          <w:numId w:val="35"/>
        </w:numPr>
      </w:pPr>
      <w:r>
        <w:lastRenderedPageBreak/>
        <w:t>for analgesia</w:t>
      </w:r>
    </w:p>
    <w:p w:rsidR="003800B4" w:rsidRPr="006A1283" w:rsidRDefault="003800B4" w:rsidP="00B74473">
      <w:pPr>
        <w:pStyle w:val="Numberbullet2"/>
        <w:numPr>
          <w:ilvl w:val="0"/>
          <w:numId w:val="35"/>
        </w:numPr>
      </w:pPr>
      <w:r>
        <w:t xml:space="preserve">for analgesia </w:t>
      </w:r>
      <w:r w:rsidRPr="006A1283">
        <w:t xml:space="preserve">in the setting of </w:t>
      </w:r>
      <w:proofErr w:type="spellStart"/>
      <w:r w:rsidRPr="006A1283">
        <w:t>adenotonsillectomy</w:t>
      </w:r>
      <w:proofErr w:type="spellEnd"/>
      <w:r w:rsidRPr="006A1283">
        <w:t xml:space="preserve"> for any indication</w:t>
      </w:r>
    </w:p>
    <w:p w:rsidR="003800B4" w:rsidRPr="006A1283" w:rsidRDefault="003800B4" w:rsidP="00B74473">
      <w:pPr>
        <w:pStyle w:val="Numberbullet2"/>
        <w:numPr>
          <w:ilvl w:val="0"/>
          <w:numId w:val="35"/>
        </w:numPr>
      </w:pPr>
      <w:r w:rsidRPr="006A1283">
        <w:t xml:space="preserve">in the setting of </w:t>
      </w:r>
      <w:proofErr w:type="spellStart"/>
      <w:r w:rsidRPr="006A1283">
        <w:t>adenotonsillectomy</w:t>
      </w:r>
      <w:proofErr w:type="spellEnd"/>
      <w:r w:rsidRPr="006A1283">
        <w:t xml:space="preserve"> for obstructive sleep apnoea</w:t>
      </w:r>
    </w:p>
    <w:p w:rsidR="003800B4" w:rsidRDefault="003800B4" w:rsidP="00DF1C7B">
      <w:pPr>
        <w:pStyle w:val="Numberbullet0"/>
        <w:numPr>
          <w:ilvl w:val="0"/>
          <w:numId w:val="45"/>
        </w:numPr>
      </w:pPr>
      <w:r w:rsidRPr="006A1283">
        <w:t xml:space="preserve">Contraindication of codeine </w:t>
      </w:r>
      <w:r>
        <w:t xml:space="preserve">use </w:t>
      </w:r>
      <w:r w:rsidRPr="006A1283">
        <w:t>below 18 years of age</w:t>
      </w:r>
    </w:p>
    <w:p w:rsidR="003800B4" w:rsidRDefault="003800B4" w:rsidP="00DA6417">
      <w:pPr>
        <w:pStyle w:val="Numberbullet2"/>
        <w:numPr>
          <w:ilvl w:val="0"/>
          <w:numId w:val="40"/>
        </w:numPr>
      </w:pPr>
      <w:r w:rsidRPr="00442031">
        <w:t>in any setting</w:t>
      </w:r>
    </w:p>
    <w:p w:rsidR="003800B4" w:rsidRDefault="003800B4" w:rsidP="00DA6417">
      <w:pPr>
        <w:pStyle w:val="Numberbullet2"/>
        <w:numPr>
          <w:ilvl w:val="0"/>
          <w:numId w:val="40"/>
        </w:numPr>
      </w:pPr>
      <w:r w:rsidRPr="00442031">
        <w:t>for analgesia</w:t>
      </w:r>
    </w:p>
    <w:p w:rsidR="003800B4" w:rsidRDefault="003800B4" w:rsidP="00DA6417">
      <w:pPr>
        <w:pStyle w:val="Numberbullet2"/>
        <w:numPr>
          <w:ilvl w:val="0"/>
          <w:numId w:val="40"/>
        </w:numPr>
      </w:pPr>
      <w:r w:rsidRPr="00442031">
        <w:t xml:space="preserve">for analgesia in the setting of </w:t>
      </w:r>
      <w:proofErr w:type="spellStart"/>
      <w:r w:rsidRPr="00442031">
        <w:t>adenotonsillectomy</w:t>
      </w:r>
      <w:proofErr w:type="spellEnd"/>
      <w:r w:rsidRPr="00442031">
        <w:t xml:space="preserve"> for any indication</w:t>
      </w:r>
    </w:p>
    <w:p w:rsidR="003800B4" w:rsidRDefault="003800B4" w:rsidP="00DA6417">
      <w:pPr>
        <w:pStyle w:val="Numberbullet2"/>
        <w:numPr>
          <w:ilvl w:val="0"/>
          <w:numId w:val="40"/>
        </w:numPr>
      </w:pPr>
      <w:r w:rsidRPr="00442031">
        <w:t xml:space="preserve">for analgesia in the setting of </w:t>
      </w:r>
      <w:proofErr w:type="spellStart"/>
      <w:r w:rsidRPr="00442031">
        <w:t>adenotonsillectomy</w:t>
      </w:r>
      <w:proofErr w:type="spellEnd"/>
      <w:r w:rsidRPr="00442031">
        <w:t xml:space="preserve"> for obstructive sleep apnoe</w:t>
      </w:r>
      <w:r>
        <w:t>a</w:t>
      </w:r>
    </w:p>
    <w:p w:rsidR="003800B4" w:rsidRPr="00442031" w:rsidRDefault="003800B4" w:rsidP="00DF1C7B">
      <w:pPr>
        <w:pStyle w:val="Numberbullet0"/>
        <w:numPr>
          <w:ilvl w:val="0"/>
          <w:numId w:val="45"/>
        </w:numPr>
      </w:pPr>
      <w:r>
        <w:t>Introduction of warning text in keeping with the recommendations of the PRAC</w:t>
      </w:r>
    </w:p>
    <w:p w:rsidR="003800B4" w:rsidRDefault="003800B4" w:rsidP="00DF1C7B">
      <w:pPr>
        <w:pStyle w:val="Numberbullet0"/>
        <w:numPr>
          <w:ilvl w:val="0"/>
          <w:numId w:val="45"/>
        </w:numPr>
      </w:pPr>
      <w:r>
        <w:t xml:space="preserve">Introduction of warning text and a black </w:t>
      </w:r>
      <w:r w:rsidR="00B74473">
        <w:t>box warning similar to the FDA.</w:t>
      </w:r>
    </w:p>
    <w:p w:rsidR="003800B4" w:rsidRDefault="003800B4" w:rsidP="003800B4">
      <w:pPr>
        <w:rPr>
          <w:rFonts w:eastAsiaTheme="majorEastAsia"/>
        </w:rPr>
      </w:pPr>
      <w:r>
        <w:rPr>
          <w:rFonts w:eastAsiaTheme="majorEastAsia"/>
        </w:rPr>
        <w:t>According to this categorisation, t</w:t>
      </w:r>
      <w:r w:rsidRPr="006C2B41">
        <w:rPr>
          <w:rFonts w:eastAsiaTheme="majorEastAsia"/>
        </w:rPr>
        <w:t xml:space="preserve">he FDA has </w:t>
      </w:r>
      <w:r>
        <w:rPr>
          <w:rFonts w:eastAsiaTheme="majorEastAsia"/>
        </w:rPr>
        <w:t>tak</w:t>
      </w:r>
      <w:r w:rsidR="00B74473">
        <w:rPr>
          <w:rFonts w:eastAsiaTheme="majorEastAsia"/>
        </w:rPr>
        <w:t>en action 3c,</w:t>
      </w:r>
      <w:r>
        <w:rPr>
          <w:rFonts w:eastAsiaTheme="majorEastAsia"/>
        </w:rPr>
        <w:t xml:space="preserve"> contraindicating</w:t>
      </w:r>
      <w:r w:rsidRPr="006C2B41">
        <w:rPr>
          <w:rFonts w:eastAsiaTheme="majorEastAsia"/>
        </w:rPr>
        <w:t xml:space="preserve"> codeine use for children under the age of 18 post </w:t>
      </w:r>
      <w:proofErr w:type="spellStart"/>
      <w:r w:rsidRPr="006C2B41">
        <w:rPr>
          <w:rFonts w:eastAsiaTheme="majorEastAsia"/>
        </w:rPr>
        <w:t>adenotonsillectomy</w:t>
      </w:r>
      <w:proofErr w:type="spellEnd"/>
      <w:r w:rsidRPr="006C2B41">
        <w:rPr>
          <w:rFonts w:eastAsiaTheme="majorEastAsia"/>
        </w:rPr>
        <w:t xml:space="preserve"> for any indication</w:t>
      </w:r>
      <w:r w:rsidR="00B74473">
        <w:rPr>
          <w:rFonts w:eastAsiaTheme="majorEastAsia"/>
        </w:rPr>
        <w:t xml:space="preserve">, and introducing </w:t>
      </w:r>
      <w:r>
        <w:rPr>
          <w:rFonts w:eastAsiaTheme="majorEastAsia"/>
        </w:rPr>
        <w:t>a boxed warning on all codeine-containing products</w:t>
      </w:r>
      <w:r w:rsidR="00B74473">
        <w:rPr>
          <w:rFonts w:eastAsiaTheme="majorEastAsia"/>
        </w:rPr>
        <w:t>, regardless of indication, and</w:t>
      </w:r>
      <w:r>
        <w:rPr>
          <w:rFonts w:eastAsiaTheme="majorEastAsia"/>
        </w:rPr>
        <w:t xml:space="preserve"> for a product containing only </w:t>
      </w:r>
      <w:proofErr w:type="spellStart"/>
      <w:r>
        <w:rPr>
          <w:rFonts w:eastAsiaTheme="majorEastAsia"/>
        </w:rPr>
        <w:t>dihydrocodeine</w:t>
      </w:r>
      <w:proofErr w:type="spellEnd"/>
      <w:r>
        <w:rPr>
          <w:rFonts w:eastAsiaTheme="majorEastAsia"/>
        </w:rPr>
        <w:t xml:space="preserve"> (combine</w:t>
      </w:r>
      <w:r w:rsidR="00B74473">
        <w:rPr>
          <w:rFonts w:eastAsiaTheme="majorEastAsia"/>
        </w:rPr>
        <w:t>d with aspirin and caffeine). The FDA has also taken action</w:t>
      </w:r>
      <w:r>
        <w:rPr>
          <w:rFonts w:eastAsiaTheme="majorEastAsia"/>
        </w:rPr>
        <w:t xml:space="preserve"> 5, adding extensive warning text to the labelling under headings “Warning” “Precau</w:t>
      </w:r>
      <w:r w:rsidR="006C42D6">
        <w:rPr>
          <w:rFonts w:eastAsiaTheme="majorEastAsia"/>
        </w:rPr>
        <w:t>tions” and “</w:t>
      </w:r>
      <w:proofErr w:type="spellStart"/>
      <w:r w:rsidR="006C42D6">
        <w:rPr>
          <w:rFonts w:eastAsiaTheme="majorEastAsia"/>
        </w:rPr>
        <w:t>Pediatric</w:t>
      </w:r>
      <w:proofErr w:type="spellEnd"/>
      <w:r w:rsidR="006C42D6">
        <w:rPr>
          <w:rFonts w:eastAsiaTheme="majorEastAsia"/>
        </w:rPr>
        <w:t xml:space="preserve"> Use”.</w:t>
      </w:r>
      <w:r w:rsidR="00B74473">
        <w:rPr>
          <w:rFonts w:eastAsiaTheme="majorEastAsia"/>
        </w:rPr>
        <w:t xml:space="preserve"> The FDA has</w:t>
      </w:r>
      <w:r>
        <w:rPr>
          <w:rFonts w:eastAsiaTheme="majorEastAsia"/>
        </w:rPr>
        <w:t xml:space="preserve"> not, however,</w:t>
      </w:r>
      <w:r w:rsidRPr="006C2B41">
        <w:rPr>
          <w:rFonts w:eastAsiaTheme="majorEastAsia"/>
        </w:rPr>
        <w:t xml:space="preserve"> made </w:t>
      </w:r>
      <w:r>
        <w:rPr>
          <w:rFonts w:eastAsiaTheme="majorEastAsia"/>
        </w:rPr>
        <w:t>any</w:t>
      </w:r>
      <w:r w:rsidRPr="006C2B41">
        <w:rPr>
          <w:rFonts w:eastAsiaTheme="majorEastAsia"/>
        </w:rPr>
        <w:t xml:space="preserve"> general </w:t>
      </w:r>
      <w:r>
        <w:rPr>
          <w:rFonts w:eastAsiaTheme="majorEastAsia"/>
        </w:rPr>
        <w:t>lower age limit contraindication</w:t>
      </w:r>
      <w:r w:rsidRPr="006C2B41">
        <w:rPr>
          <w:rFonts w:eastAsiaTheme="majorEastAsia"/>
        </w:rPr>
        <w:t>, and liquid paracetamol-codeine medications remain available with doses specified for children as young as 3 years.</w:t>
      </w:r>
      <w:r>
        <w:rPr>
          <w:rStyle w:val="EndnoteReference"/>
          <w:rFonts w:eastAsiaTheme="majorEastAsia"/>
        </w:rPr>
        <w:endnoteReference w:id="53"/>
      </w:r>
    </w:p>
    <w:p w:rsidR="003800B4" w:rsidRDefault="003800B4" w:rsidP="003800B4">
      <w:pPr>
        <w:rPr>
          <w:rFonts w:eastAsiaTheme="majorEastAsia"/>
        </w:rPr>
      </w:pPr>
      <w:r w:rsidRPr="006C2B41">
        <w:rPr>
          <w:rFonts w:eastAsiaTheme="majorEastAsia"/>
        </w:rPr>
        <w:t xml:space="preserve">By contrast, the EMA has </w:t>
      </w:r>
      <w:r>
        <w:rPr>
          <w:rFonts w:eastAsiaTheme="majorEastAsia"/>
        </w:rPr>
        <w:t xml:space="preserve">taken action 2a, </w:t>
      </w:r>
      <w:r w:rsidRPr="006C2B41">
        <w:rPr>
          <w:rFonts w:eastAsiaTheme="majorEastAsia"/>
        </w:rPr>
        <w:t>contraindicat</w:t>
      </w:r>
      <w:r>
        <w:rPr>
          <w:rFonts w:eastAsiaTheme="majorEastAsia"/>
        </w:rPr>
        <w:t>ing</w:t>
      </w:r>
      <w:r w:rsidRPr="006C2B41">
        <w:rPr>
          <w:rFonts w:eastAsiaTheme="majorEastAsia"/>
        </w:rPr>
        <w:t xml:space="preserve"> use of codeine in children under the age of 12 for any </w:t>
      </w:r>
      <w:r>
        <w:rPr>
          <w:rFonts w:eastAsiaTheme="majorEastAsia"/>
        </w:rPr>
        <w:t>reason,</w:t>
      </w:r>
      <w:r w:rsidRPr="006C2B41">
        <w:rPr>
          <w:rFonts w:eastAsiaTheme="majorEastAsia"/>
        </w:rPr>
        <w:t xml:space="preserve"> in </w:t>
      </w:r>
      <w:r>
        <w:rPr>
          <w:rFonts w:eastAsiaTheme="majorEastAsia"/>
        </w:rPr>
        <w:t>addition to action 3</w:t>
      </w:r>
      <w:r w:rsidR="00F516A3">
        <w:rPr>
          <w:rFonts w:eastAsiaTheme="majorEastAsia"/>
        </w:rPr>
        <w:t>d</w:t>
      </w:r>
      <w:r>
        <w:rPr>
          <w:rFonts w:eastAsiaTheme="majorEastAsia"/>
        </w:rPr>
        <w:t xml:space="preserve">, contraindicating codeine use for analgesia in </w:t>
      </w:r>
      <w:r w:rsidRPr="006C2B41">
        <w:rPr>
          <w:rFonts w:eastAsiaTheme="majorEastAsia"/>
        </w:rPr>
        <w:t xml:space="preserve">children under the age of 18 post </w:t>
      </w:r>
      <w:proofErr w:type="spellStart"/>
      <w:r w:rsidRPr="006C2B41">
        <w:rPr>
          <w:rFonts w:eastAsiaTheme="majorEastAsia"/>
        </w:rPr>
        <w:t>adenotonsillectomy</w:t>
      </w:r>
      <w:proofErr w:type="spellEnd"/>
      <w:r w:rsidRPr="006C2B41">
        <w:rPr>
          <w:rFonts w:eastAsiaTheme="majorEastAsia"/>
        </w:rPr>
        <w:t xml:space="preserve">, but specifying that the contraindication only </w:t>
      </w:r>
      <w:r>
        <w:rPr>
          <w:rFonts w:eastAsiaTheme="majorEastAsia"/>
        </w:rPr>
        <w:t>applies</w:t>
      </w:r>
      <w:r w:rsidRPr="006C2B41">
        <w:rPr>
          <w:rFonts w:eastAsiaTheme="majorEastAsia"/>
        </w:rPr>
        <w:t xml:space="preserve"> when the indication for surgery is OSA.</w:t>
      </w:r>
    </w:p>
    <w:p w:rsidR="003800B4" w:rsidRDefault="003800B4" w:rsidP="003800B4">
      <w:pPr>
        <w:rPr>
          <w:rFonts w:eastAsiaTheme="majorEastAsia"/>
        </w:rPr>
      </w:pPr>
      <w:r>
        <w:rPr>
          <w:rFonts w:eastAsiaTheme="majorEastAsia"/>
        </w:rPr>
        <w:t>There is no reason to believe that the risk of morphine overdose in ultra-rapid metabolisers is restricted to the post-operative setting. Additionally, the efficacy</w:t>
      </w:r>
      <w:r w:rsidRPr="00D97906">
        <w:rPr>
          <w:rFonts w:eastAsiaTheme="majorEastAsia"/>
        </w:rPr>
        <w:t xml:space="preserve"> of codeine for analgesia in </w:t>
      </w:r>
      <w:r>
        <w:rPr>
          <w:rFonts w:eastAsiaTheme="majorEastAsia"/>
        </w:rPr>
        <w:t xml:space="preserve">children </w:t>
      </w:r>
      <w:r w:rsidRPr="00D97906">
        <w:rPr>
          <w:rFonts w:eastAsiaTheme="majorEastAsia"/>
        </w:rPr>
        <w:t>young</w:t>
      </w:r>
      <w:r>
        <w:rPr>
          <w:rFonts w:eastAsiaTheme="majorEastAsia"/>
        </w:rPr>
        <w:t xml:space="preserve">er than five is questionable </w:t>
      </w:r>
      <w:r w:rsidRPr="00D97906">
        <w:rPr>
          <w:rFonts w:eastAsiaTheme="majorEastAsia"/>
        </w:rPr>
        <w:t xml:space="preserve">as described by the WHO guidelines on the pharmacological treatment of persisting pain in children with medical illnesses. </w:t>
      </w:r>
      <w:r>
        <w:rPr>
          <w:rFonts w:eastAsiaTheme="majorEastAsia"/>
        </w:rPr>
        <w:t xml:space="preserve">It </w:t>
      </w:r>
      <w:r w:rsidR="00B74473">
        <w:rPr>
          <w:rFonts w:eastAsiaTheme="majorEastAsia"/>
        </w:rPr>
        <w:t xml:space="preserve">is, therefore, </w:t>
      </w:r>
      <w:r>
        <w:rPr>
          <w:rFonts w:eastAsiaTheme="majorEastAsia"/>
        </w:rPr>
        <w:t xml:space="preserve">appropriate to restrict the use of codeine in children based on a minimum age after which a child is more likely to derive benefit, the respiratory anatomy is likely to be reasonably resilient and a child is likely to be able to communicate the onset of possible adverse events to the caregiver. </w:t>
      </w:r>
      <w:r w:rsidR="00B74473">
        <w:rPr>
          <w:rFonts w:eastAsiaTheme="majorEastAsia"/>
        </w:rPr>
        <w:t xml:space="preserve"> </w:t>
      </w:r>
      <w:r w:rsidR="00330277">
        <w:rPr>
          <w:rFonts w:eastAsiaTheme="majorEastAsia"/>
        </w:rPr>
        <w:t xml:space="preserve">The European PRAC committee review concluded that the </w:t>
      </w:r>
      <w:r w:rsidR="00330277" w:rsidRPr="00330277">
        <w:rPr>
          <w:rFonts w:eastAsiaTheme="majorEastAsia"/>
        </w:rPr>
        <w:t>enzymatic system responsible for the metabolism of codeine can be considered fully matured by the age of 12</w:t>
      </w:r>
      <w:r w:rsidR="00330277">
        <w:rPr>
          <w:rFonts w:eastAsiaTheme="majorEastAsia"/>
        </w:rPr>
        <w:t xml:space="preserve">, and that </w:t>
      </w:r>
      <w:r w:rsidR="00FB2696">
        <w:rPr>
          <w:rFonts w:eastAsiaTheme="majorEastAsia"/>
        </w:rPr>
        <w:t>a majority of European products specified</w:t>
      </w:r>
      <w:r w:rsidR="00330277">
        <w:rPr>
          <w:rFonts w:eastAsiaTheme="majorEastAsia"/>
        </w:rPr>
        <w:t xml:space="preserve"> </w:t>
      </w:r>
      <w:r w:rsidR="00330277" w:rsidRPr="00330277">
        <w:rPr>
          <w:rFonts w:eastAsiaTheme="majorEastAsia"/>
        </w:rPr>
        <w:t xml:space="preserve">a </w:t>
      </w:r>
      <w:r w:rsidR="00FB2696">
        <w:rPr>
          <w:rFonts w:eastAsiaTheme="majorEastAsia"/>
        </w:rPr>
        <w:t>minimum</w:t>
      </w:r>
      <w:r w:rsidR="00330277" w:rsidRPr="00330277">
        <w:rPr>
          <w:rFonts w:eastAsiaTheme="majorEastAsia"/>
        </w:rPr>
        <w:t xml:space="preserve"> </w:t>
      </w:r>
      <w:r w:rsidR="00FB2696">
        <w:rPr>
          <w:rFonts w:eastAsiaTheme="majorEastAsia"/>
        </w:rPr>
        <w:t xml:space="preserve">treatment </w:t>
      </w:r>
      <w:r w:rsidR="00330277" w:rsidRPr="00330277">
        <w:rPr>
          <w:rFonts w:eastAsiaTheme="majorEastAsia"/>
        </w:rPr>
        <w:t xml:space="preserve">age of 12 years based on a lack of established safety and efficacy </w:t>
      </w:r>
      <w:r w:rsidR="00FB2696">
        <w:rPr>
          <w:rFonts w:eastAsiaTheme="majorEastAsia"/>
        </w:rPr>
        <w:t>below 12</w:t>
      </w:r>
      <w:r w:rsidR="00330277" w:rsidRPr="00330277">
        <w:rPr>
          <w:rFonts w:eastAsiaTheme="majorEastAsia"/>
        </w:rPr>
        <w:t>.</w:t>
      </w:r>
      <w:r w:rsidR="00FB2696">
        <w:rPr>
          <w:rFonts w:eastAsiaTheme="majorEastAsia"/>
        </w:rPr>
        <w:fldChar w:fldCharType="begin"/>
      </w:r>
      <w:r w:rsidR="00FB2696">
        <w:rPr>
          <w:rFonts w:eastAsiaTheme="majorEastAsia"/>
        </w:rPr>
        <w:instrText xml:space="preserve"> NOTEREF _Ref431376655 \f \h </w:instrText>
      </w:r>
      <w:r w:rsidR="00FB2696">
        <w:rPr>
          <w:rFonts w:eastAsiaTheme="majorEastAsia"/>
        </w:rPr>
      </w:r>
      <w:r w:rsidR="00FB2696">
        <w:rPr>
          <w:rFonts w:eastAsiaTheme="majorEastAsia"/>
        </w:rPr>
        <w:fldChar w:fldCharType="separate"/>
      </w:r>
      <w:r w:rsidR="00CC0E48" w:rsidRPr="00CC0E48">
        <w:rPr>
          <w:rStyle w:val="EndnoteReference"/>
        </w:rPr>
        <w:t>20</w:t>
      </w:r>
      <w:r w:rsidR="00FB2696">
        <w:rPr>
          <w:rFonts w:eastAsiaTheme="majorEastAsia"/>
        </w:rPr>
        <w:fldChar w:fldCharType="end"/>
      </w:r>
      <w:r w:rsidR="00330277" w:rsidRPr="00330277">
        <w:rPr>
          <w:rFonts w:eastAsiaTheme="majorEastAsia"/>
        </w:rPr>
        <w:t xml:space="preserve"> </w:t>
      </w:r>
      <w:r w:rsidR="005F7AC3">
        <w:rPr>
          <w:rFonts w:eastAsiaTheme="majorEastAsia"/>
        </w:rPr>
        <w:t>On this basis</w:t>
      </w:r>
      <w:r w:rsidR="00B74473">
        <w:rPr>
          <w:rFonts w:eastAsiaTheme="majorEastAsia"/>
        </w:rPr>
        <w:t>, t</w:t>
      </w:r>
      <w:r>
        <w:rPr>
          <w:rFonts w:eastAsiaTheme="majorEastAsia"/>
        </w:rPr>
        <w:t>he age of 12</w:t>
      </w:r>
      <w:r w:rsidR="00B74473">
        <w:rPr>
          <w:rFonts w:eastAsiaTheme="majorEastAsia"/>
        </w:rPr>
        <w:t xml:space="preserve"> years</w:t>
      </w:r>
      <w:r w:rsidR="00330277">
        <w:rPr>
          <w:rFonts w:eastAsiaTheme="majorEastAsia"/>
        </w:rPr>
        <w:t xml:space="preserve"> as </w:t>
      </w:r>
      <w:r w:rsidR="00FB2696">
        <w:rPr>
          <w:rFonts w:eastAsiaTheme="majorEastAsia"/>
        </w:rPr>
        <w:t>a minimum treatment age</w:t>
      </w:r>
      <w:r w:rsidR="00330277">
        <w:rPr>
          <w:rFonts w:eastAsiaTheme="majorEastAsia"/>
        </w:rPr>
        <w:t xml:space="preserve"> </w:t>
      </w:r>
      <w:r w:rsidR="00FB2696">
        <w:rPr>
          <w:rFonts w:eastAsiaTheme="majorEastAsia"/>
        </w:rPr>
        <w:t xml:space="preserve">recommendation </w:t>
      </w:r>
      <w:r w:rsidR="00330277">
        <w:rPr>
          <w:rFonts w:eastAsiaTheme="majorEastAsia"/>
        </w:rPr>
        <w:t>is</w:t>
      </w:r>
      <w:r w:rsidR="00B74473">
        <w:rPr>
          <w:rFonts w:eastAsiaTheme="majorEastAsia"/>
        </w:rPr>
        <w:t xml:space="preserve"> considered appropriate</w:t>
      </w:r>
      <w:r>
        <w:rPr>
          <w:rFonts w:eastAsiaTheme="majorEastAsia"/>
        </w:rPr>
        <w:t>.</w:t>
      </w:r>
    </w:p>
    <w:p w:rsidR="003800B4" w:rsidRDefault="00626995" w:rsidP="003800B4">
      <w:pPr>
        <w:rPr>
          <w:rFonts w:eastAsiaTheme="majorEastAsia"/>
        </w:rPr>
      </w:pPr>
      <w:r>
        <w:rPr>
          <w:rFonts w:eastAsiaTheme="majorEastAsia"/>
        </w:rPr>
        <w:t xml:space="preserve">As demonstrated by </w:t>
      </w:r>
      <w:r w:rsidR="003800B4">
        <w:rPr>
          <w:rFonts w:eastAsiaTheme="majorEastAsia"/>
        </w:rPr>
        <w:t>the case series recognise</w:t>
      </w:r>
      <w:r>
        <w:rPr>
          <w:rFonts w:eastAsiaTheme="majorEastAsia"/>
        </w:rPr>
        <w:t xml:space="preserve">d in the literature, </w:t>
      </w:r>
      <w:r w:rsidR="003800B4">
        <w:rPr>
          <w:rFonts w:eastAsiaTheme="majorEastAsia"/>
        </w:rPr>
        <w:t>codeine use in the post-</w:t>
      </w:r>
      <w:proofErr w:type="spellStart"/>
      <w:r w:rsidR="003800B4">
        <w:rPr>
          <w:rFonts w:eastAsiaTheme="majorEastAsia"/>
        </w:rPr>
        <w:t>adenotonsillectomy</w:t>
      </w:r>
      <w:proofErr w:type="spellEnd"/>
      <w:r w:rsidR="003800B4">
        <w:rPr>
          <w:rFonts w:eastAsiaTheme="majorEastAsia"/>
        </w:rPr>
        <w:t xml:space="preserve"> for OSA setting carries additional risk in terms of respiratory compromise, and it is appropriate to impose an additional restriction on codeine use in children under 18 in this setting.</w:t>
      </w:r>
    </w:p>
    <w:p w:rsidR="003800B4" w:rsidRDefault="003800B4" w:rsidP="003800B4">
      <w:pPr>
        <w:rPr>
          <w:rFonts w:eastAsiaTheme="majorEastAsia"/>
        </w:rPr>
      </w:pPr>
      <w:r>
        <w:rPr>
          <w:rFonts w:eastAsiaTheme="majorEastAsia"/>
        </w:rPr>
        <w:t xml:space="preserve">Additionally, the presence of an Australian case of a less than one-year-old child exposed via breast milk who displayed somnolence and </w:t>
      </w:r>
      <w:proofErr w:type="spellStart"/>
      <w:r>
        <w:rPr>
          <w:rFonts w:eastAsiaTheme="majorEastAsia"/>
        </w:rPr>
        <w:t>hypotonia</w:t>
      </w:r>
      <w:proofErr w:type="spellEnd"/>
      <w:r>
        <w:rPr>
          <w:rFonts w:eastAsiaTheme="majorEastAsia"/>
        </w:rPr>
        <w:t xml:space="preserve"> emphasises that the contraindication of codeine use in breastfeeding mothers should be established across all codeine-containing products, and advice given to suspend breastfeeding for any period during which a breastfeeding mother requires codeine therapy.</w:t>
      </w:r>
    </w:p>
    <w:p w:rsidR="003800B4" w:rsidRPr="00705833" w:rsidRDefault="003800B4" w:rsidP="00437CCC">
      <w:pPr>
        <w:pStyle w:val="Heading2"/>
        <w:numPr>
          <w:ilvl w:val="0"/>
          <w:numId w:val="18"/>
        </w:numPr>
        <w:rPr>
          <w:rFonts w:cstheme="minorHAnsi"/>
          <w:color w:val="002035" w:themeColor="text2" w:themeShade="BF"/>
          <w:sz w:val="28"/>
        </w:rPr>
      </w:pPr>
      <w:bookmarkStart w:id="127" w:name="_Toc416959640"/>
      <w:bookmarkStart w:id="128" w:name="_Toc431378959"/>
      <w:bookmarkStart w:id="129" w:name="_Toc431407260"/>
      <w:r>
        <w:lastRenderedPageBreak/>
        <w:t>Conclusions</w:t>
      </w:r>
      <w:bookmarkEnd w:id="127"/>
      <w:bookmarkEnd w:id="128"/>
      <w:bookmarkEnd w:id="129"/>
    </w:p>
    <w:p w:rsidR="003800B4" w:rsidRDefault="003800B4" w:rsidP="003800B4">
      <w:pPr>
        <w:spacing w:after="120"/>
        <w:rPr>
          <w:rFonts w:eastAsia="Calibri" w:cstheme="minorHAnsi"/>
        </w:rPr>
      </w:pPr>
      <w:r w:rsidRPr="001B4449">
        <w:rPr>
          <w:rFonts w:eastAsia="Calibri" w:cstheme="minorHAnsi"/>
        </w:rPr>
        <w:t xml:space="preserve">Morphine overdose in </w:t>
      </w:r>
      <w:r w:rsidR="00330277">
        <w:rPr>
          <w:rFonts w:eastAsia="Calibri" w:cstheme="minorHAnsi"/>
        </w:rPr>
        <w:t>ultra-rapid</w:t>
      </w:r>
      <w:r w:rsidRPr="001B4449">
        <w:rPr>
          <w:rFonts w:eastAsia="Calibri" w:cstheme="minorHAnsi"/>
        </w:rPr>
        <w:t xml:space="preserve"> metaboliser individuals leading to respiratory depression in a setting of relative airway obstruction is </w:t>
      </w:r>
      <w:r>
        <w:rPr>
          <w:rFonts w:eastAsia="Calibri" w:cstheme="minorHAnsi"/>
        </w:rPr>
        <w:t>a potential</w:t>
      </w:r>
      <w:r w:rsidRPr="001B4449">
        <w:rPr>
          <w:rFonts w:eastAsia="Calibri" w:cstheme="minorHAnsi"/>
        </w:rPr>
        <w:t xml:space="preserve"> lethal side effect</w:t>
      </w:r>
      <w:r>
        <w:rPr>
          <w:rFonts w:eastAsia="Calibri" w:cstheme="minorHAnsi"/>
        </w:rPr>
        <w:t xml:space="preserve"> of codeine.</w:t>
      </w:r>
      <w:r w:rsidRPr="001B4449">
        <w:rPr>
          <w:rFonts w:eastAsia="Calibri" w:cstheme="minorHAnsi"/>
        </w:rPr>
        <w:t xml:space="preserve"> </w:t>
      </w:r>
      <w:r>
        <w:rPr>
          <w:rFonts w:eastAsia="Calibri" w:cstheme="minorHAnsi"/>
        </w:rPr>
        <w:t>N</w:t>
      </w:r>
      <w:r w:rsidRPr="00A141E1">
        <w:rPr>
          <w:rFonts w:eastAsia="Calibri" w:cstheme="minorHAnsi"/>
        </w:rPr>
        <w:t>o matter what the dose, the indication or the age, ultra-rapid metabolisers (or their</w:t>
      </w:r>
      <w:r w:rsidR="00B375A4">
        <w:rPr>
          <w:rFonts w:eastAsia="Calibri" w:cstheme="minorHAnsi"/>
        </w:rPr>
        <w:t xml:space="preserve"> breastfeeding</w:t>
      </w:r>
      <w:r w:rsidRPr="00A141E1">
        <w:rPr>
          <w:rFonts w:eastAsia="Calibri" w:cstheme="minorHAnsi"/>
        </w:rPr>
        <w:t xml:space="preserve"> infants</w:t>
      </w:r>
      <w:r>
        <w:rPr>
          <w:rFonts w:eastAsia="Calibri" w:cstheme="minorHAnsi"/>
        </w:rPr>
        <w:t>) may be at risk, and children aged less than</w:t>
      </w:r>
      <w:r w:rsidR="006C42D6">
        <w:rPr>
          <w:rFonts w:eastAsia="Calibri" w:cstheme="minorHAnsi"/>
        </w:rPr>
        <w:t xml:space="preserve"> 12 may be at particular risk.</w:t>
      </w:r>
    </w:p>
    <w:p w:rsidR="003800B4" w:rsidRDefault="003800B4" w:rsidP="003800B4">
      <w:pPr>
        <w:spacing w:after="120"/>
        <w:rPr>
          <w:rFonts w:eastAsia="Calibri" w:cstheme="minorHAnsi"/>
        </w:rPr>
      </w:pPr>
      <w:r w:rsidRPr="00705833">
        <w:rPr>
          <w:rFonts w:eastAsia="Calibri" w:cstheme="minorHAnsi"/>
        </w:rPr>
        <w:t>From post-market and coronial data,</w:t>
      </w:r>
      <w:r w:rsidR="00626995">
        <w:rPr>
          <w:rFonts w:eastAsia="Calibri" w:cstheme="minorHAnsi"/>
        </w:rPr>
        <w:t xml:space="preserve"> there is no evidence</w:t>
      </w:r>
      <w:r w:rsidRPr="00705833">
        <w:rPr>
          <w:rFonts w:eastAsia="Calibri" w:cstheme="minorHAnsi"/>
        </w:rPr>
        <w:t xml:space="preserve"> that cases of respiratory compromise leading to deaths with paediatric codeine use</w:t>
      </w:r>
      <w:r>
        <w:rPr>
          <w:rFonts w:eastAsia="Calibri" w:cstheme="minorHAnsi"/>
        </w:rPr>
        <w:t xml:space="preserve"> in ultra-rapid metabolisers</w:t>
      </w:r>
      <w:r w:rsidRPr="00705833">
        <w:rPr>
          <w:rFonts w:eastAsia="Calibri" w:cstheme="minorHAnsi"/>
        </w:rPr>
        <w:t xml:space="preserve"> have occurred in the Australian setting to date. However, </w:t>
      </w:r>
      <w:r>
        <w:rPr>
          <w:rFonts w:eastAsia="Calibri" w:cstheme="minorHAnsi"/>
        </w:rPr>
        <w:t>documented deaths have occurred overseas, and the risk to Australians, whilst hard to quantify, is certainly present.</w:t>
      </w:r>
      <w:r w:rsidR="00B375A4">
        <w:rPr>
          <w:rFonts w:eastAsia="Calibri" w:cstheme="minorHAnsi"/>
        </w:rPr>
        <w:t xml:space="preserve"> </w:t>
      </w:r>
      <w:r w:rsidR="00B375A4" w:rsidRPr="00B375A4">
        <w:rPr>
          <w:rFonts w:eastAsia="Calibri" w:cstheme="minorHAnsi"/>
        </w:rPr>
        <w:t>It must also be recognised that the lack of clearly recorded Australian cases may simply represent the fact that testing for ultra-rapid metabolisers is not specific or widely available, and that post-market data is likely to represent only a small, reported subset of true cases in a population.</w:t>
      </w:r>
    </w:p>
    <w:p w:rsidR="003800B4" w:rsidRPr="00A141E1" w:rsidRDefault="003800B4" w:rsidP="002F41CC">
      <w:r>
        <w:t xml:space="preserve">Currently there are inconsistencies in the way the risks associated with </w:t>
      </w:r>
      <w:r w:rsidR="00330277">
        <w:t>ultra-rapid</w:t>
      </w:r>
      <w:r>
        <w:t xml:space="preserve"> metabolism of codeine are addressed across OTC and prescription-only</w:t>
      </w:r>
      <w:r w:rsidR="006C42D6">
        <w:t xml:space="preserve"> codeine products in Australia.</w:t>
      </w:r>
      <w:r>
        <w:t xml:space="preserve"> This is inconsistent with other major jurisdictions including</w:t>
      </w:r>
      <w:r w:rsidR="006C42D6">
        <w:t xml:space="preserve"> the US, EU and Canada. </w:t>
      </w:r>
      <w:r>
        <w:t xml:space="preserve">Codeine is a commonly used medication that may be perceived by the Australian public to be </w:t>
      </w:r>
      <w:r w:rsidRPr="001B4449">
        <w:t>relatively safe, especially in light of its availability in OTC preparations.</w:t>
      </w:r>
      <w:r w:rsidR="006C42D6">
        <w:t xml:space="preserve"> </w:t>
      </w:r>
      <w:r w:rsidRPr="00A141E1">
        <w:t>The</w:t>
      </w:r>
      <w:r>
        <w:t>refore the</w:t>
      </w:r>
      <w:r w:rsidRPr="00A141E1">
        <w:t xml:space="preserve"> warnings with regard to this potential risk should be </w:t>
      </w:r>
      <w:r>
        <w:t>standardised</w:t>
      </w:r>
      <w:r w:rsidRPr="00A141E1">
        <w:t xml:space="preserve"> across all codeine products, regardless of schedule.</w:t>
      </w:r>
    </w:p>
    <w:p w:rsidR="00520B67" w:rsidRPr="00B375A4" w:rsidRDefault="000B22A2" w:rsidP="00520B67">
      <w:pPr>
        <w:rPr>
          <w:b/>
        </w:rPr>
      </w:pPr>
      <w:r>
        <w:t xml:space="preserve">Evidence shows that </w:t>
      </w:r>
      <w:r w:rsidR="00B375A4">
        <w:t>c</w:t>
      </w:r>
      <w:r w:rsidR="002F41CC" w:rsidRPr="002F41CC">
        <w:t>odeine should not be used in children under the age of 12 for any reason</w:t>
      </w:r>
      <w:r w:rsidR="006315AA" w:rsidRPr="002F41CC">
        <w:t xml:space="preserve">, </w:t>
      </w:r>
      <w:r w:rsidR="002F41CC" w:rsidRPr="002F41CC">
        <w:t>or in children</w:t>
      </w:r>
      <w:r w:rsidR="006315AA" w:rsidRPr="002F41CC">
        <w:t xml:space="preserve"> younger than 18 years of age </w:t>
      </w:r>
      <w:r w:rsidR="002F41CC" w:rsidRPr="002F41CC">
        <w:t>who have undergone</w:t>
      </w:r>
      <w:r w:rsidR="006315AA" w:rsidRPr="002F41CC">
        <w:t xml:space="preserve"> </w:t>
      </w:r>
      <w:proofErr w:type="spellStart"/>
      <w:r w:rsidR="006315AA" w:rsidRPr="002F41CC">
        <w:t>adenotonsillectomy</w:t>
      </w:r>
      <w:proofErr w:type="spellEnd"/>
      <w:r w:rsidR="006315AA" w:rsidRPr="002F41CC">
        <w:t xml:space="preserve"> for obstructive sleep apnoea. Additionally, existing warnings contraindicating codeine use by breastfeeding mothers should be made consistent across all codeine-containing products</w:t>
      </w:r>
      <w:r w:rsidR="00626995">
        <w:t>.</w:t>
      </w:r>
    </w:p>
    <w:p w:rsidR="00BC7106" w:rsidRPr="000579A0" w:rsidRDefault="00BC7106" w:rsidP="00BC4E7A">
      <w:pPr>
        <w:pStyle w:val="Heading4"/>
      </w:pPr>
      <w:bookmarkStart w:id="130" w:name="_Toc431378960"/>
      <w:bookmarkStart w:id="131" w:name="_Toc431407261"/>
      <w:r w:rsidRPr="000579A0">
        <w:t>TGA recommendations</w:t>
      </w:r>
      <w:bookmarkEnd w:id="130"/>
      <w:bookmarkEnd w:id="131"/>
    </w:p>
    <w:p w:rsidR="00BC4E7A" w:rsidRDefault="009971DE" w:rsidP="00BC4E7A">
      <w:pPr>
        <w:pStyle w:val="Numberbullet0"/>
        <w:numPr>
          <w:ilvl w:val="0"/>
          <w:numId w:val="0"/>
        </w:numPr>
        <w:ind w:left="425" w:hanging="425"/>
      </w:pPr>
      <w:r>
        <w:t>1.</w:t>
      </w:r>
      <w:r>
        <w:tab/>
      </w:r>
      <w:r w:rsidR="00BC7106" w:rsidRPr="00BC7106">
        <w:t>Use of codeine in children younger than 12 years of a</w:t>
      </w:r>
      <w:r w:rsidR="00BC4E7A">
        <w:t>ge for any indication should be contraindicated.</w:t>
      </w:r>
    </w:p>
    <w:p w:rsidR="00BC4E7A" w:rsidRDefault="009971DE" w:rsidP="00BC4E7A">
      <w:pPr>
        <w:pStyle w:val="Numberbullet0"/>
        <w:numPr>
          <w:ilvl w:val="0"/>
          <w:numId w:val="0"/>
        </w:numPr>
        <w:ind w:left="425" w:hanging="425"/>
      </w:pPr>
      <w:r>
        <w:t>2.</w:t>
      </w:r>
      <w:r>
        <w:tab/>
      </w:r>
      <w:r w:rsidR="00BC7106" w:rsidRPr="00BC7106">
        <w:t xml:space="preserve">Use of codeine in children aged 12-18 years should be contraindicated post </w:t>
      </w:r>
      <w:proofErr w:type="spellStart"/>
      <w:r w:rsidR="00BC7106" w:rsidRPr="00BC7106">
        <w:t>adenotonsillectom</w:t>
      </w:r>
      <w:r w:rsidR="00BC4E7A">
        <w:t>y</w:t>
      </w:r>
      <w:proofErr w:type="spellEnd"/>
      <w:r w:rsidR="00BC4E7A">
        <w:t xml:space="preserve"> for obstructive sleep apnoea.</w:t>
      </w:r>
    </w:p>
    <w:p w:rsidR="00BC4E7A" w:rsidRDefault="009971DE" w:rsidP="00BC4E7A">
      <w:pPr>
        <w:pStyle w:val="Numberbullet0"/>
        <w:numPr>
          <w:ilvl w:val="0"/>
          <w:numId w:val="0"/>
        </w:numPr>
        <w:ind w:left="425" w:hanging="425"/>
      </w:pPr>
      <w:r>
        <w:t>3.</w:t>
      </w:r>
      <w:r>
        <w:tab/>
      </w:r>
      <w:r w:rsidR="00BC7106" w:rsidRPr="00BC7106">
        <w:t>Existing warnings contraindicating codeine use by breastfeeding mothers should be made consistent across all codeine-containing products, and warnings should be added to advise against using codeine if known to</w:t>
      </w:r>
      <w:r w:rsidR="006C42D6">
        <w:t xml:space="preserve"> be an ultra-rapid metaboliser.</w:t>
      </w:r>
    </w:p>
    <w:p w:rsidR="003800B4" w:rsidRPr="00CF06FF" w:rsidRDefault="009971DE" w:rsidP="008D12F1">
      <w:pPr>
        <w:pStyle w:val="Numberbullet0"/>
        <w:numPr>
          <w:ilvl w:val="0"/>
          <w:numId w:val="0"/>
        </w:numPr>
        <w:ind w:left="425" w:hanging="425"/>
      </w:pPr>
      <w:r>
        <w:t>4.</w:t>
      </w:r>
      <w:r>
        <w:tab/>
      </w:r>
      <w:r w:rsidR="00BC7106" w:rsidRPr="00BC7106">
        <w:t xml:space="preserve">Health professionals, patients and caregivers should be educated regarding the variability of codeine efficacy, the possibility of </w:t>
      </w:r>
      <w:r w:rsidR="00330277">
        <w:t>ultra-rapid</w:t>
      </w:r>
      <w:r w:rsidR="00BC7106" w:rsidRPr="00BC7106">
        <w:t xml:space="preserve"> metabolism-related morphine overdose and the signs of such, including respiratory depression. </w:t>
      </w:r>
      <w:r w:rsidR="003800B4" w:rsidRPr="00BC2153">
        <w:br w:type="page"/>
      </w:r>
    </w:p>
    <w:p w:rsidR="003800B4" w:rsidRDefault="003800B4" w:rsidP="00B375A4">
      <w:pPr>
        <w:pStyle w:val="Heading2"/>
        <w:numPr>
          <w:ilvl w:val="0"/>
          <w:numId w:val="18"/>
        </w:numPr>
        <w:rPr>
          <w:rFonts w:asciiTheme="minorHAnsi" w:hAnsiTheme="minorHAnsi" w:cstheme="minorHAnsi"/>
        </w:rPr>
        <w:sectPr w:rsidR="003800B4" w:rsidSect="0036000A">
          <w:footerReference w:type="first" r:id="rId19"/>
          <w:endnotePr>
            <w:numFmt w:val="decimal"/>
          </w:endnotePr>
          <w:type w:val="continuous"/>
          <w:pgSz w:w="11906" w:h="16838" w:code="9"/>
          <w:pgMar w:top="1134" w:right="1418" w:bottom="1134" w:left="1418" w:header="709" w:footer="709" w:gutter="0"/>
          <w:cols w:space="708"/>
          <w:titlePg/>
          <w:docGrid w:linePitch="360"/>
        </w:sectPr>
      </w:pPr>
      <w:bookmarkStart w:id="132" w:name="_Toc416959641"/>
      <w:bookmarkStart w:id="133" w:name="_Toc431378961"/>
      <w:bookmarkStart w:id="134" w:name="_Toc431407262"/>
      <w:r w:rsidRPr="003C1D7A">
        <w:lastRenderedPageBreak/>
        <w:t>Reference</w:t>
      </w:r>
      <w:bookmarkEnd w:id="132"/>
      <w:r w:rsidR="00D32DB0">
        <w:t>s</w:t>
      </w:r>
      <w:bookmarkEnd w:id="133"/>
      <w:bookmarkEnd w:id="134"/>
    </w:p>
    <w:p w:rsidR="0061271E" w:rsidRDefault="00626995" w:rsidP="0061271E">
      <w:pPr>
        <w:pStyle w:val="Heading2"/>
      </w:pPr>
      <w:bookmarkStart w:id="135" w:name="_Toc431378962"/>
      <w:bookmarkStart w:id="136" w:name="_Toc431407263"/>
      <w:bookmarkStart w:id="137" w:name="_Toc416959643"/>
      <w:bookmarkStart w:id="138" w:name="_Toc416959642"/>
      <w:r>
        <w:lastRenderedPageBreak/>
        <w:t>Appendix 1</w:t>
      </w:r>
      <w:bookmarkEnd w:id="135"/>
      <w:bookmarkEnd w:id="136"/>
    </w:p>
    <w:p w:rsidR="007567E2" w:rsidRPr="00626995" w:rsidRDefault="007567E2" w:rsidP="0061271E">
      <w:pPr>
        <w:pStyle w:val="Heading3"/>
      </w:pPr>
      <w:bookmarkStart w:id="139" w:name="_Toc431378963"/>
      <w:bookmarkStart w:id="140" w:name="_Toc431407264"/>
      <w:r w:rsidRPr="00626995">
        <w:t>Literature cases identified by the FDA safety review</w:t>
      </w:r>
      <w:bookmarkEnd w:id="137"/>
      <w:bookmarkEnd w:id="139"/>
      <w:bookmarkEnd w:id="140"/>
    </w:p>
    <w:p w:rsidR="007567E2" w:rsidRPr="00BC2153" w:rsidRDefault="007567E2" w:rsidP="004E0C24">
      <w:pPr>
        <w:pStyle w:val="Heading7"/>
      </w:pPr>
      <w:bookmarkStart w:id="141" w:name="_Toc431378964"/>
      <w:r>
        <w:t xml:space="preserve">First case: </w:t>
      </w:r>
      <w:r w:rsidRPr="00BC2153">
        <w:t>Voronov et al (</w:t>
      </w:r>
      <w:proofErr w:type="spellStart"/>
      <w:r w:rsidRPr="00BC2153">
        <w:t>Ped</w:t>
      </w:r>
      <w:proofErr w:type="spellEnd"/>
      <w:r w:rsidRPr="00BC2153">
        <w:t xml:space="preserve"> </w:t>
      </w:r>
      <w:proofErr w:type="spellStart"/>
      <w:r w:rsidRPr="00BC2153">
        <w:t>Anesthesia</w:t>
      </w:r>
      <w:proofErr w:type="spellEnd"/>
      <w:r>
        <w:t>, 2007</w:t>
      </w:r>
      <w:r w:rsidRPr="00BC2153">
        <w:t>)</w:t>
      </w:r>
      <w:bookmarkEnd w:id="141"/>
    </w:p>
    <w:p w:rsidR="007567E2" w:rsidRPr="00BC2153" w:rsidRDefault="007567E2" w:rsidP="007567E2">
      <w:pPr>
        <w:pStyle w:val="ListBullet"/>
      </w:pPr>
      <w:r w:rsidRPr="00BC2153">
        <w:t>A 29 months old previously healthy child who experienced apnoea resulting in brain injury following a dose of acetaminophen and codeine 2 days after an uneventful anaesthetic for tonsillectomy. A genetic polymorphism leading to ultra-rapid metabolism of codeine into morphine resulted in narcosis and apnoea. This paper discusses the use of codeine for pain relief, obstructive sleep apnoea, the alteration of the CYP2D6 gene and the resulting effect on drug metabolism.</w:t>
      </w:r>
    </w:p>
    <w:p w:rsidR="007567E2" w:rsidRPr="00BC2153" w:rsidRDefault="007567E2" w:rsidP="004E0C24">
      <w:pPr>
        <w:pStyle w:val="Heading7"/>
      </w:pPr>
      <w:bookmarkStart w:id="142" w:name="_Toc431378965"/>
      <w:r>
        <w:t xml:space="preserve">Second case: </w:t>
      </w:r>
      <w:proofErr w:type="spellStart"/>
      <w:r w:rsidRPr="00BC2153">
        <w:t>Ciszkowski</w:t>
      </w:r>
      <w:proofErr w:type="spellEnd"/>
      <w:r w:rsidRPr="00BC2153">
        <w:t xml:space="preserve"> et al (NEJM</w:t>
      </w:r>
      <w:r>
        <w:t>, 2009</w:t>
      </w:r>
      <w:r w:rsidRPr="00BC2153">
        <w:t>)</w:t>
      </w:r>
      <w:bookmarkEnd w:id="142"/>
    </w:p>
    <w:p w:rsidR="007567E2" w:rsidRPr="00BC2153" w:rsidRDefault="007567E2" w:rsidP="007567E2">
      <w:pPr>
        <w:pStyle w:val="ListBullet"/>
      </w:pPr>
      <w:r w:rsidRPr="00BC2153">
        <w:t xml:space="preserve">A healthy 2-year-old boy weighing 13 kg, with a history of snoring and sleep-study–confirmed sleep apnoea, who underwent elective </w:t>
      </w:r>
      <w:proofErr w:type="spellStart"/>
      <w:r w:rsidRPr="00BC2153">
        <w:t>adenotonsillectomy</w:t>
      </w:r>
      <w:proofErr w:type="spellEnd"/>
      <w:r w:rsidRPr="00BC2153">
        <w:t xml:space="preserve">. The outpatient surgery was uncomplicated, and 6 hours after surgery the boy received 10 mg of </w:t>
      </w:r>
      <w:proofErr w:type="spellStart"/>
      <w:r w:rsidRPr="00BC2153">
        <w:t>meperidine</w:t>
      </w:r>
      <w:proofErr w:type="spellEnd"/>
      <w:r w:rsidRPr="00BC2153">
        <w:t xml:space="preserve"> and 12.5 mg of </w:t>
      </w:r>
      <w:proofErr w:type="spellStart"/>
      <w:r w:rsidRPr="00BC2153">
        <w:t>dimenhydrinate</w:t>
      </w:r>
      <w:proofErr w:type="spellEnd"/>
      <w:r w:rsidRPr="00BC2153">
        <w:t xml:space="preserve"> intramuscularly and was sent home with instructions for 10 to 12.5 mg of codeine and 120 mg of acetaminophen syrup to be administered orally every 4 to 6 hours as needed. On the second evening after surgery, fever and wheezing developed in the child. At 9 a.m. the next day, the child's vital signs were absent, and resuscitation efforts failed. </w:t>
      </w:r>
      <w:proofErr w:type="spellStart"/>
      <w:r w:rsidRPr="00BC2153">
        <w:t>Postmortem</w:t>
      </w:r>
      <w:proofErr w:type="spellEnd"/>
      <w:r w:rsidRPr="00BC2153">
        <w:t xml:space="preserve"> examination showed evidence of chronic </w:t>
      </w:r>
      <w:proofErr w:type="spellStart"/>
      <w:r w:rsidRPr="00BC2153">
        <w:t>tracheitis</w:t>
      </w:r>
      <w:proofErr w:type="spellEnd"/>
      <w:r w:rsidRPr="00BC2153">
        <w:t>, aspiration of food particles, and bilateral consolidation in the lungs that was consistent with bronchopneumonia. Codeine (0.70 mg per litre) and morphine (32 ng per millilitre) were detected in the femoral blood by means of gas chromatography–mass spectrometry; there was no evidence of other drugs or metabolites. Cytochrome P-450 2D6 (CYP2D6) genotyping revealed functional duplication of the CYP2D6 allele, resulti</w:t>
      </w:r>
      <w:r w:rsidR="004015D9">
        <w:t xml:space="preserve">ng in the </w:t>
      </w:r>
      <w:r w:rsidR="00330277">
        <w:t>UM</w:t>
      </w:r>
      <w:r w:rsidRPr="00BC2153">
        <w:t xml:space="preserve"> phenotype.</w:t>
      </w:r>
    </w:p>
    <w:p w:rsidR="007567E2" w:rsidRPr="00BC2153" w:rsidRDefault="007567E2" w:rsidP="004E0C24">
      <w:pPr>
        <w:pStyle w:val="Heading7"/>
      </w:pPr>
      <w:bookmarkStart w:id="143" w:name="_Toc431378966"/>
      <w:r>
        <w:t xml:space="preserve">Third, fourth and fifth cases: </w:t>
      </w:r>
      <w:r w:rsidRPr="00BC2153">
        <w:t>Kelly et al (</w:t>
      </w:r>
      <w:proofErr w:type="spellStart"/>
      <w:r w:rsidRPr="00BC2153">
        <w:t>Pediatrics</w:t>
      </w:r>
      <w:proofErr w:type="spellEnd"/>
      <w:r>
        <w:t>, 2012</w:t>
      </w:r>
      <w:r w:rsidRPr="00BC2153">
        <w:t>)</w:t>
      </w:r>
      <w:bookmarkEnd w:id="143"/>
    </w:p>
    <w:p w:rsidR="007567E2" w:rsidRPr="00E82271" w:rsidRDefault="007567E2" w:rsidP="007567E2">
      <w:pPr>
        <w:pStyle w:val="ListBullet"/>
      </w:pPr>
      <w:r w:rsidRPr="00E82271">
        <w:t xml:space="preserve">At a regional hospital in northern Ontario, Canada, a 4-year-old (27.6 kg) First Nations’ boy underwent AT for OSAS and recurrent tonsillitis. He was discharged from the hospital after an uneventful overnight stay on liquid codeine at an age-appropriate dose (8 mg per dose, up to 5 doses a day as needed). His parents reported him to be sedated and lethargic the day after hospital discharge. The next afternoon, after a total of 4 codeine doses, he was brought to hospital without vital signs. His </w:t>
      </w:r>
      <w:proofErr w:type="spellStart"/>
      <w:r w:rsidRPr="00E82271">
        <w:t>postmortem</w:t>
      </w:r>
      <w:proofErr w:type="spellEnd"/>
      <w:r w:rsidRPr="00E82271">
        <w:t xml:space="preserve"> morphine ser</w:t>
      </w:r>
      <w:r w:rsidR="00626995">
        <w:t xml:space="preserve">um concentration was 17.6 ng/mL </w:t>
      </w:r>
      <w:r w:rsidRPr="00E82271">
        <w:t>(therapeutic morphine range 4.5 ± 2.1 ng/mL). His toxicology screen revealed a blood codeine level in the expected range after therapeutic use, and there were no other medications detected. Genotyping revealed a gene duplication and a CYP2D6 UM phenotype</w:t>
      </w:r>
      <w:r>
        <w:t xml:space="preserve"> </w:t>
      </w:r>
      <w:r w:rsidRPr="00E82271">
        <w:t xml:space="preserve">(CYP2D6 *1/*2AxN). His UM CYP2D6 status resulted in an increased level of morphine leading to respiratory arrest. </w:t>
      </w:r>
      <w:proofErr w:type="spellStart"/>
      <w:r w:rsidRPr="00E82271">
        <w:t>Postmortem</w:t>
      </w:r>
      <w:proofErr w:type="spellEnd"/>
      <w:r w:rsidRPr="00E82271">
        <w:t xml:space="preserve"> analysis revealed the cause of death to be bilateral acute bronchopneumonia as a consequence of codeine and morphine toxicity after </w:t>
      </w:r>
      <w:proofErr w:type="spellStart"/>
      <w:r w:rsidRPr="00E82271">
        <w:t>adenotonsillectomy</w:t>
      </w:r>
      <w:proofErr w:type="spellEnd"/>
      <w:r w:rsidR="006C42D6">
        <w:t>.</w:t>
      </w:r>
    </w:p>
    <w:p w:rsidR="007567E2" w:rsidRPr="00E82271" w:rsidRDefault="007567E2" w:rsidP="007567E2">
      <w:pPr>
        <w:pStyle w:val="ListBullet"/>
      </w:pPr>
      <w:r w:rsidRPr="00E82271">
        <w:t>A 3-year-old girl (14.4 kg) of Middle Eastern descent underwent tonsillectomy for obstructive sleep apnoea (OSA) and was discharged after a 24-hour hospital stay at a Canadian Children’s Hospital. In the hospital, she received 2 doses of codeine syrup (15 mg each). Upon discharge she was given a combination of codeine and acetaminophen (15 mg codeine/150 mg acetaminophen) every 4 to 6 hours as needed. More than 6 hours after her final codeine dose (total 60 mg codeine), she was found unresponsive with a fever of 100°F as measured at home. On admission to the hospital, she presented with minimal respirations and an oxygen saturation of 65%. She experienced 1 bout of vomiting with mild-dark blood observed. Her blood morphine concentration measured 17 ng/</w:t>
      </w:r>
      <w:proofErr w:type="spellStart"/>
      <w:r w:rsidRPr="00E82271">
        <w:t>mL.</w:t>
      </w:r>
      <w:proofErr w:type="spellEnd"/>
      <w:r w:rsidRPr="00E82271">
        <w:t xml:space="preserve"> After successful resuscitation, mechanical ventilation and naloxone dosing (1.5 mg), she showed a prompt improvement in her symptoms. The next day, </w:t>
      </w:r>
      <w:r w:rsidRPr="00E82271">
        <w:lastRenderedPageBreak/>
        <w:t xml:space="preserve">she was </w:t>
      </w:r>
      <w:proofErr w:type="spellStart"/>
      <w:r w:rsidRPr="00E82271">
        <w:t>extubated</w:t>
      </w:r>
      <w:proofErr w:type="spellEnd"/>
      <w:r w:rsidRPr="00E82271">
        <w:t xml:space="preserve"> and recovered fully. Her genotype was determined to be an EM (CYP2D6 *1/*1). In this case, her morphine levels suggested ultra-rapid metabolism, which was not consistent with her genotype. However, the EM genotype often overlaps with the UM phenotype.</w:t>
      </w:r>
    </w:p>
    <w:p w:rsidR="007567E2" w:rsidRPr="00E82271" w:rsidRDefault="007567E2" w:rsidP="007567E2">
      <w:pPr>
        <w:pStyle w:val="ListBullet"/>
      </w:pPr>
      <w:r w:rsidRPr="00E82271">
        <w:t xml:space="preserve">A 5-year-old boy (29 kg) underwent bilateral </w:t>
      </w:r>
      <w:proofErr w:type="spellStart"/>
      <w:r w:rsidRPr="00E82271">
        <w:t>myringotomy</w:t>
      </w:r>
      <w:proofErr w:type="spellEnd"/>
      <w:r w:rsidRPr="00E82271">
        <w:t xml:space="preserve"> tube placement, and AT for recurrent tonsillitis and snoring in the Southern </w:t>
      </w:r>
      <w:r>
        <w:t>US</w:t>
      </w:r>
      <w:r w:rsidRPr="00E82271">
        <w:t xml:space="preserve">. After surgery, he was prescribed acetaminophen and codeine (12 mg codeine) every 4 hours. This total 72 mg/day is within the recommended range of 6 mg/kg per day. The child was released home but was found without vital signs by his mother 24 hours after his surgery. The autopsy did not reveal a cause of death. This child’s </w:t>
      </w:r>
      <w:proofErr w:type="spellStart"/>
      <w:r w:rsidRPr="00E82271">
        <w:t>postmortem</w:t>
      </w:r>
      <w:proofErr w:type="spellEnd"/>
      <w:r w:rsidRPr="00E82271">
        <w:t xml:space="preserve"> codeine concentration was 79 ng/mL, and morphine concentration was 30 ng/</w:t>
      </w:r>
      <w:proofErr w:type="spellStart"/>
      <w:r w:rsidRPr="00E82271">
        <w:t>mL.</w:t>
      </w:r>
      <w:proofErr w:type="spellEnd"/>
      <w:r w:rsidRPr="00E82271">
        <w:t xml:space="preserve"> A pharmacokinetic model using </w:t>
      </w:r>
      <w:proofErr w:type="spellStart"/>
      <w:r w:rsidRPr="00E82271">
        <w:t>Pmetrics</w:t>
      </w:r>
      <w:proofErr w:type="spellEnd"/>
      <w:r w:rsidRPr="00E82271">
        <w:t xml:space="preserve"> software (Los Angeles, CA) was constructed on the basis of published </w:t>
      </w:r>
      <w:proofErr w:type="spellStart"/>
      <w:r w:rsidRPr="00E82271">
        <w:t>pediatric</w:t>
      </w:r>
      <w:proofErr w:type="spellEnd"/>
      <w:r w:rsidRPr="00E82271">
        <w:t xml:space="preserve"> pharmacokinetic characteristics to simulate expected time concentration profiles for codeine and morphine based on his age, weight, and dosing schedule. Finally, the investigators compared his measured codeine and morphine concentrations to the expected ranges. The measured codeine concentration of 79 ng/mL </w:t>
      </w:r>
      <w:r w:rsidRPr="00E82271">
        <w:rPr>
          <w:rFonts w:ascii="Cambria Math" w:hAnsi="Cambria Math" w:cs="Cambria Math"/>
        </w:rPr>
        <w:t>∼</w:t>
      </w:r>
      <w:r w:rsidRPr="00E82271">
        <w:t xml:space="preserve">8 hours after his last dose is at the 56th percentile of predicted </w:t>
      </w:r>
      <w:proofErr w:type="spellStart"/>
      <w:r w:rsidRPr="00E82271">
        <w:t>pediatric</w:t>
      </w:r>
      <w:proofErr w:type="spellEnd"/>
      <w:r w:rsidRPr="00E82271">
        <w:t xml:space="preserve"> codeine concentrations. In contrast, the measur</w:t>
      </w:r>
      <w:r>
        <w:t>ed morphine concentration of 30</w:t>
      </w:r>
      <w:r w:rsidRPr="00E82271">
        <w:t xml:space="preserve">ng/mL is at the 99th percentile of predicted concentrations at the normal </w:t>
      </w:r>
      <w:proofErr w:type="spellStart"/>
      <w:r w:rsidRPr="00E82271">
        <w:t>pediatric</w:t>
      </w:r>
      <w:proofErr w:type="spellEnd"/>
      <w:r w:rsidRPr="00E82271">
        <w:t xml:space="preserve"> rate of conversion. The codeine levels are consistent with his prescription of 0.41 mg/kg every 4 hours as needed, which is within the recommended dose according to the published prescribing recommendations. It is highly likely that the child was a CYP2D6 UM given his exceedingly high morphine concentration relative to codeine.</w:t>
      </w:r>
    </w:p>
    <w:p w:rsidR="007567E2" w:rsidRPr="00312705" w:rsidRDefault="007567E2" w:rsidP="004E0C24">
      <w:pPr>
        <w:pStyle w:val="Heading7"/>
        <w:rPr>
          <w:rStyle w:val="Emphasis"/>
          <w:b w:val="0"/>
          <w:bCs/>
          <w:i/>
          <w:iCs w:val="0"/>
          <w:spacing w:val="0"/>
        </w:rPr>
      </w:pPr>
      <w:bookmarkStart w:id="144" w:name="_Toc431378967"/>
      <w:r w:rsidRPr="00312705">
        <w:rPr>
          <w:rStyle w:val="Emphasis"/>
          <w:b w:val="0"/>
          <w:bCs/>
          <w:i/>
          <w:iCs w:val="0"/>
          <w:spacing w:val="0"/>
        </w:rPr>
        <w:t xml:space="preserve">Sixth and seventh cases: </w:t>
      </w:r>
      <w:proofErr w:type="spellStart"/>
      <w:r w:rsidRPr="00312705">
        <w:rPr>
          <w:rStyle w:val="Emphasis"/>
          <w:b w:val="0"/>
          <w:bCs/>
          <w:i/>
          <w:iCs w:val="0"/>
          <w:spacing w:val="0"/>
        </w:rPr>
        <w:t>Hermanns</w:t>
      </w:r>
      <w:proofErr w:type="spellEnd"/>
      <w:r w:rsidRPr="00312705">
        <w:rPr>
          <w:rStyle w:val="Emphasis"/>
          <w:b w:val="0"/>
          <w:bCs/>
          <w:i/>
          <w:iCs w:val="0"/>
          <w:spacing w:val="0"/>
        </w:rPr>
        <w:t>-Clausen et al (</w:t>
      </w:r>
      <w:proofErr w:type="spellStart"/>
      <w:r w:rsidRPr="00312705">
        <w:rPr>
          <w:rStyle w:val="Emphasis"/>
          <w:b w:val="0"/>
          <w:bCs/>
          <w:i/>
          <w:iCs w:val="0"/>
          <w:spacing w:val="0"/>
        </w:rPr>
        <w:t>Eur</w:t>
      </w:r>
      <w:proofErr w:type="spellEnd"/>
      <w:r w:rsidRPr="00312705">
        <w:rPr>
          <w:rStyle w:val="Emphasis"/>
          <w:b w:val="0"/>
          <w:bCs/>
          <w:i/>
          <w:iCs w:val="0"/>
          <w:spacing w:val="0"/>
        </w:rPr>
        <w:t xml:space="preserve"> J </w:t>
      </w:r>
      <w:proofErr w:type="spellStart"/>
      <w:r w:rsidRPr="00312705">
        <w:rPr>
          <w:rStyle w:val="Emphasis"/>
          <w:b w:val="0"/>
          <w:bCs/>
          <w:i/>
          <w:iCs w:val="0"/>
          <w:spacing w:val="0"/>
        </w:rPr>
        <w:t>Peds</w:t>
      </w:r>
      <w:proofErr w:type="spellEnd"/>
      <w:r w:rsidRPr="00312705">
        <w:rPr>
          <w:rStyle w:val="Emphasis"/>
          <w:b w:val="0"/>
          <w:bCs/>
          <w:i/>
          <w:iCs w:val="0"/>
          <w:spacing w:val="0"/>
        </w:rPr>
        <w:t>, 2008)</w:t>
      </w:r>
      <w:bookmarkEnd w:id="144"/>
      <w:r w:rsidRPr="00312705">
        <w:rPr>
          <w:rStyle w:val="Emphasis"/>
          <w:b w:val="0"/>
          <w:bCs/>
          <w:i/>
          <w:iCs w:val="0"/>
          <w:spacing w:val="0"/>
        </w:rPr>
        <w:t xml:space="preserve"> </w:t>
      </w:r>
    </w:p>
    <w:p w:rsidR="00CB6ECE" w:rsidRPr="006C42D6" w:rsidRDefault="007567E2" w:rsidP="006C42D6">
      <w:pPr>
        <w:pStyle w:val="ListBullet"/>
        <w:sectPr w:rsidR="00CB6ECE" w:rsidRPr="006C42D6" w:rsidSect="00212FE1">
          <w:headerReference w:type="first" r:id="rId20"/>
          <w:footerReference w:type="first" r:id="rId21"/>
          <w:endnotePr>
            <w:numFmt w:val="decimal"/>
          </w:endnotePr>
          <w:pgSz w:w="11906" w:h="16838" w:code="9"/>
          <w:pgMar w:top="1134" w:right="1418" w:bottom="1361" w:left="1418" w:header="573" w:footer="567" w:gutter="0"/>
          <w:cols w:space="708"/>
          <w:docGrid w:linePitch="360"/>
        </w:sectPr>
      </w:pPr>
      <w:r w:rsidRPr="00E82271">
        <w:t>A 3-year-old boy (twin 1) was found lying in vomit and apnoeic at night; he was resuscitated and immediately transferred to the paediatric intensive care unit (PICU). Two and a half hours later, his twin brother (twin 2) was found dead in his bed at h</w:t>
      </w:r>
      <w:r w:rsidR="00626995">
        <w:t xml:space="preserve">ome. Twin 1 required mechanical </w:t>
      </w:r>
      <w:r w:rsidRPr="00E82271">
        <w:t>ventilation for 3 days, but he eventually made a full recovery; autopsy in twin 2 showed massive aspiration of gastric content. History revealed that the monozygotic twins had an upper respiratory tract infection for several days and had both been given codeine at a dose of "10 drops per day" by their mother. The blood of both twins was found to contain high levels of codeine and its metabolites. The weight of "10 drops" was determined experimentally and was found to range from 494 to 940 mg. Thus, the highest possible dose given by mother was 23.5 mg of codeine instead of the recommended 10 mg. The twins had identical CYP2D6 gene polymorphisms corresponding to the "extensive metaboliser" type. Conclusions: Because of the variability of drop size drug dosage, dosage "by drops" is imprecise and may result in accidental overdose. The combination of repeated overdosing and extensive metabolism to morphine is likely to have caused apnoea in these twins. These cases illustrate the danger of codeine as an antitussive in young children.</w:t>
      </w:r>
      <w:r w:rsidR="006C42D6">
        <w:br w:type="page"/>
      </w:r>
    </w:p>
    <w:p w:rsidR="00212FE1" w:rsidRDefault="00212FE1" w:rsidP="006C42D6">
      <w:pPr>
        <w:pStyle w:val="ListBullet"/>
        <w:spacing w:before="11880"/>
      </w:pPr>
    </w:p>
    <w:tbl>
      <w:tblPr>
        <w:tblW w:w="9145" w:type="dxa"/>
        <w:jc w:val="center"/>
        <w:tblInd w:w="-284" w:type="dxa"/>
        <w:tblLayout w:type="fixed"/>
        <w:tblCellMar>
          <w:left w:w="0" w:type="dxa"/>
          <w:right w:w="0" w:type="dxa"/>
        </w:tblCellMar>
        <w:tblLook w:val="04A0" w:firstRow="1" w:lastRow="0" w:firstColumn="1" w:lastColumn="0" w:noHBand="0" w:noVBand="1"/>
      </w:tblPr>
      <w:tblGrid>
        <w:gridCol w:w="9145"/>
      </w:tblGrid>
      <w:tr w:rsidR="00212FE1" w:rsidRPr="00487162" w:rsidTr="009D7C7D">
        <w:trPr>
          <w:trHeight w:hRule="exact" w:val="565"/>
          <w:jc w:val="center"/>
        </w:trPr>
        <w:tc>
          <w:tcPr>
            <w:tcW w:w="9145" w:type="dxa"/>
          </w:tcPr>
          <w:bookmarkEnd w:id="1"/>
          <w:bookmarkEnd w:id="2"/>
          <w:bookmarkEnd w:id="138"/>
          <w:p w:rsidR="00212FE1" w:rsidRPr="00487162" w:rsidRDefault="00212FE1" w:rsidP="009D7C7D">
            <w:pPr>
              <w:pStyle w:val="TGASignoff"/>
            </w:pPr>
            <w:r w:rsidRPr="00487162">
              <w:t>Therapeutic Goods Administration</w:t>
            </w:r>
          </w:p>
        </w:tc>
      </w:tr>
      <w:tr w:rsidR="00212FE1" w:rsidRPr="00487162" w:rsidTr="009D7C7D">
        <w:trPr>
          <w:trHeight w:val="963"/>
          <w:jc w:val="center"/>
        </w:trPr>
        <w:tc>
          <w:tcPr>
            <w:tcW w:w="9145" w:type="dxa"/>
            <w:tcMar>
              <w:top w:w="28" w:type="dxa"/>
            </w:tcMar>
          </w:tcPr>
          <w:p w:rsidR="00212FE1" w:rsidRPr="00140FE3" w:rsidRDefault="00212FE1" w:rsidP="009D7C7D">
            <w:pPr>
              <w:pStyle w:val="Address"/>
              <w:jc w:val="center"/>
            </w:pPr>
            <w:r w:rsidRPr="00140FE3">
              <w:t>PO Bo</w:t>
            </w:r>
            <w:r w:rsidRPr="006F652C">
              <w:t>x 100 Woden ACT 2606 A</w:t>
            </w:r>
            <w:r w:rsidRPr="00140FE3">
              <w:t>ustralia</w:t>
            </w:r>
          </w:p>
          <w:p w:rsidR="00212FE1" w:rsidRPr="00140FE3" w:rsidRDefault="00212FE1" w:rsidP="009D7C7D">
            <w:pPr>
              <w:pStyle w:val="Address"/>
              <w:jc w:val="center"/>
            </w:pPr>
            <w:r w:rsidRPr="00140FE3">
              <w:t xml:space="preserve">Email: </w:t>
            </w:r>
            <w:hyperlink r:id="rId22" w:history="1">
              <w:r w:rsidRPr="004A3084">
                <w:rPr>
                  <w:rStyle w:val="Hyperlink"/>
                </w:rPr>
                <w:t>info@tga.gov.au</w:t>
              </w:r>
            </w:hyperlink>
            <w:r w:rsidRPr="00140FE3">
              <w:t xml:space="preserve">  Phone: 1800 020 653  Fax: 02 6232 8605</w:t>
            </w:r>
          </w:p>
          <w:p w:rsidR="00212FE1" w:rsidRPr="00CE5067" w:rsidRDefault="00E844E6" w:rsidP="009D7C7D">
            <w:pPr>
              <w:pStyle w:val="Address"/>
              <w:jc w:val="center"/>
              <w:rPr>
                <w:rStyle w:val="Hyperlink"/>
                <w:b/>
                <w:color w:val="auto"/>
                <w:u w:val="none"/>
              </w:rPr>
            </w:pPr>
            <w:hyperlink r:id="rId23" w:history="1">
              <w:r w:rsidR="00212FE1" w:rsidRPr="00D34115">
                <w:rPr>
                  <w:rStyle w:val="Hyperlink"/>
                  <w:b/>
                </w:rPr>
                <w:t>http</w:t>
              </w:r>
              <w:r w:rsidR="00590B17">
                <w:rPr>
                  <w:rStyle w:val="Hyperlink"/>
                  <w:b/>
                </w:rPr>
                <w:t>s</w:t>
              </w:r>
              <w:r w:rsidR="00212FE1" w:rsidRPr="00D34115">
                <w:rPr>
                  <w:rStyle w:val="Hyperlink"/>
                  <w:b/>
                </w:rPr>
                <w:t>://www.tga.gov.au</w:t>
              </w:r>
            </w:hyperlink>
          </w:p>
        </w:tc>
      </w:tr>
      <w:tr w:rsidR="00212FE1" w:rsidRPr="00487162" w:rsidTr="009D7C7D">
        <w:trPr>
          <w:trHeight w:val="251"/>
          <w:jc w:val="center"/>
        </w:trPr>
        <w:tc>
          <w:tcPr>
            <w:tcW w:w="9145" w:type="dxa"/>
            <w:tcMar>
              <w:top w:w="28" w:type="dxa"/>
            </w:tcMar>
          </w:tcPr>
          <w:p w:rsidR="00212FE1" w:rsidRPr="00CE5067" w:rsidRDefault="00212FE1" w:rsidP="00212FE1">
            <w:pPr>
              <w:pStyle w:val="Address"/>
              <w:jc w:val="center"/>
            </w:pPr>
            <w:r w:rsidRPr="00CE5067">
              <w:t>Reference/Publication #</w:t>
            </w:r>
            <w:r>
              <w:t xml:space="preserve"> R15/746324</w:t>
            </w:r>
          </w:p>
        </w:tc>
      </w:tr>
    </w:tbl>
    <w:p w:rsidR="00212FE1" w:rsidRPr="006C42D6" w:rsidRDefault="00212FE1" w:rsidP="002312ED">
      <w:pPr>
        <w:pStyle w:val="ListBullet"/>
        <w:rPr>
          <w:sz w:val="2"/>
          <w:szCs w:val="2"/>
        </w:rPr>
      </w:pPr>
    </w:p>
    <w:sectPr w:rsidR="00212FE1" w:rsidRPr="006C42D6" w:rsidSect="00212FE1">
      <w:headerReference w:type="default" r:id="rId24"/>
      <w:footerReference w:type="default" r:id="rId25"/>
      <w:endnotePr>
        <w:numFmt w:val="decimal"/>
      </w:endnotePr>
      <w:pgSz w:w="11906" w:h="16838" w:code="9"/>
      <w:pgMar w:top="1134" w:right="1418" w:bottom="1361" w:left="1418" w:header="573"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B17" w:rsidRPr="00895EF0" w:rsidRDefault="00590B17" w:rsidP="00895EF0">
      <w:pPr>
        <w:pStyle w:val="Footer"/>
      </w:pPr>
    </w:p>
  </w:endnote>
  <w:endnote w:type="continuationSeparator" w:id="0">
    <w:p w:rsidR="00590B17" w:rsidRPr="00895EF0" w:rsidRDefault="00590B17" w:rsidP="00895EF0">
      <w:pPr>
        <w:pStyle w:val="Footer"/>
      </w:pPr>
    </w:p>
  </w:endnote>
  <w:endnote w:type="continuationNotice" w:id="1">
    <w:p w:rsidR="00590B17" w:rsidRPr="00895EF0" w:rsidRDefault="00590B17" w:rsidP="00895EF0">
      <w:pPr>
        <w:pStyle w:val="Footer"/>
      </w:pPr>
    </w:p>
  </w:endnote>
  <w:endnote w:id="2">
    <w:p w:rsidR="00590B17" w:rsidRPr="00070CB9" w:rsidRDefault="00590B17" w:rsidP="0036000A">
      <w:pPr>
        <w:pStyle w:val="FootnoteText"/>
      </w:pPr>
      <w:r w:rsidRPr="00070CB9">
        <w:rPr>
          <w:rStyle w:val="EndnoteReference"/>
          <w:rFonts w:cstheme="minorHAnsi"/>
        </w:rPr>
        <w:endnoteRef/>
      </w:r>
      <w:r w:rsidRPr="00070CB9">
        <w:t xml:space="preserve"> </w:t>
      </w:r>
      <w:r w:rsidRPr="00D001C0">
        <w:t xml:space="preserve">TRIM document </w:t>
      </w:r>
      <w:r>
        <w:t>R13/241323:</w:t>
      </w:r>
      <w:r w:rsidRPr="00070CB9">
        <w:t xml:space="preserve"> Drug Information Update - FDA Drug Safety Communication: Safety Review Update of Codeine use in Children - new Boxed Warning and Contraindication on use after Tonsillectomy and/or Adenoidectomy</w:t>
      </w:r>
      <w:r>
        <w:t>.</w:t>
      </w:r>
    </w:p>
  </w:endnote>
  <w:endnote w:id="3">
    <w:p w:rsidR="00590B17" w:rsidRPr="00070CB9" w:rsidRDefault="00590B17" w:rsidP="0036000A">
      <w:pPr>
        <w:pStyle w:val="FootnoteText"/>
      </w:pPr>
      <w:r w:rsidRPr="00070CB9">
        <w:rPr>
          <w:rStyle w:val="EndnoteReference"/>
        </w:rPr>
        <w:endnoteRef/>
      </w:r>
      <w:r w:rsidRPr="00070CB9">
        <w:t xml:space="preserve"> Wong C, Lau E, </w:t>
      </w:r>
      <w:proofErr w:type="spellStart"/>
      <w:r w:rsidRPr="00070CB9">
        <w:t>Palozzi</w:t>
      </w:r>
      <w:proofErr w:type="spellEnd"/>
      <w:r w:rsidRPr="00070CB9">
        <w:t xml:space="preserve"> L, Campbell F. Pain management in children: Part 2 - A transition from codeine to morphine for moderate to severe pain in children. Can Pharm J (</w:t>
      </w:r>
      <w:proofErr w:type="spellStart"/>
      <w:r w:rsidRPr="00070CB9">
        <w:t>Ott</w:t>
      </w:r>
      <w:proofErr w:type="spellEnd"/>
      <w:r w:rsidRPr="00070CB9">
        <w:t>). 2012 Nov;145(6):276-27</w:t>
      </w:r>
      <w:r>
        <w:t xml:space="preserve">9.e1. </w:t>
      </w:r>
      <w:proofErr w:type="spellStart"/>
      <w:r>
        <w:t>doi</w:t>
      </w:r>
      <w:proofErr w:type="spellEnd"/>
      <w:r>
        <w:t>: 10.3821/145.6.cpj276.</w:t>
      </w:r>
    </w:p>
  </w:endnote>
  <w:endnote w:id="4">
    <w:p w:rsidR="00590B17" w:rsidRDefault="00590B17" w:rsidP="0036000A">
      <w:pPr>
        <w:pStyle w:val="FootnoteText"/>
      </w:pPr>
      <w:r>
        <w:rPr>
          <w:rStyle w:val="EndnoteReference"/>
        </w:rPr>
        <w:endnoteRef/>
      </w:r>
      <w:r>
        <w:t xml:space="preserve"> </w:t>
      </w:r>
      <w:r w:rsidRPr="002715C7">
        <w:t>TRIM document R15/177061</w:t>
      </w:r>
      <w:r>
        <w:t xml:space="preserve">: Daly AK, </w:t>
      </w:r>
      <w:proofErr w:type="spellStart"/>
      <w:r>
        <w:t>Brockmöller</w:t>
      </w:r>
      <w:proofErr w:type="spellEnd"/>
      <w:r>
        <w:t xml:space="preserve"> J, </w:t>
      </w:r>
      <w:proofErr w:type="spellStart"/>
      <w:r>
        <w:t>Broly</w:t>
      </w:r>
      <w:proofErr w:type="spellEnd"/>
      <w:r>
        <w:t xml:space="preserve"> F, et al. “Nomenclature for human CYP2D6 alleles.” </w:t>
      </w:r>
      <w:proofErr w:type="spellStart"/>
      <w:r>
        <w:t>Pharmacogenetics</w:t>
      </w:r>
      <w:proofErr w:type="spellEnd"/>
      <w:r>
        <w:t xml:space="preserve">. 1996 Jun;6(3):193-201.  </w:t>
      </w:r>
    </w:p>
  </w:endnote>
  <w:endnote w:id="5">
    <w:p w:rsidR="00590B17" w:rsidRDefault="00590B17" w:rsidP="0036000A">
      <w:pPr>
        <w:pStyle w:val="FootnoteText"/>
      </w:pPr>
      <w:r>
        <w:rPr>
          <w:rStyle w:val="EndnoteReference"/>
        </w:rPr>
        <w:endnoteRef/>
      </w:r>
      <w:r>
        <w:t xml:space="preserve"> </w:t>
      </w:r>
      <w:r w:rsidRPr="007260DF">
        <w:t>The Human Cytochrome P450 (CYP) Allele Nomenclature Database</w:t>
      </w:r>
      <w:r>
        <w:t xml:space="preserve">: </w:t>
      </w:r>
      <w:r w:rsidRPr="007260DF">
        <w:t>CYP2D6 allele nomenclature</w:t>
      </w:r>
      <w:r>
        <w:t xml:space="preserve">. Determined by the </w:t>
      </w:r>
      <w:r w:rsidRPr="007260DF">
        <w:t>CYP Allele Nomenclature Committee</w:t>
      </w:r>
      <w:r>
        <w:t>.</w:t>
      </w:r>
      <w:r w:rsidRPr="007260DF">
        <w:t xml:space="preserve"> </w:t>
      </w:r>
      <w:r>
        <w:t xml:space="preserve">Available at </w:t>
      </w:r>
      <w:hyperlink r:id="rId1" w:history="1">
        <w:r w:rsidRPr="00997021">
          <w:rPr>
            <w:rStyle w:val="Hyperlink"/>
          </w:rPr>
          <w:t>http://www.cypalleles.ki.se/cyp2d6.htm</w:t>
        </w:r>
      </w:hyperlink>
    </w:p>
  </w:endnote>
  <w:endnote w:id="6">
    <w:p w:rsidR="00590B17" w:rsidRDefault="00590B17" w:rsidP="0036000A">
      <w:pPr>
        <w:pStyle w:val="FootnoteText"/>
      </w:pPr>
      <w:r>
        <w:rPr>
          <w:rStyle w:val="EndnoteReference"/>
        </w:rPr>
        <w:endnoteRef/>
      </w:r>
      <w:r>
        <w:t xml:space="preserve"> </w:t>
      </w:r>
      <w:r w:rsidRPr="00AA296C">
        <w:t>Recommended dosing of codeine by CYP2D6 Phenotype</w:t>
      </w:r>
      <w:r>
        <w:t xml:space="preserve">. Adapted from the </w:t>
      </w:r>
      <w:r w:rsidRPr="00AA296C">
        <w:t xml:space="preserve">Clinical </w:t>
      </w:r>
      <w:proofErr w:type="spellStart"/>
      <w:r w:rsidRPr="00AA296C">
        <w:t>Pharmacogenetics</w:t>
      </w:r>
      <w:proofErr w:type="spellEnd"/>
      <w:r w:rsidRPr="00AA296C">
        <w:t xml:space="preserve"> Implementation Consortium (CPIC) guidelines for cytochrome P450 2D6 (CYP2D6) genotype and codeine therapy: 2014 Update</w:t>
      </w:r>
      <w:r>
        <w:t xml:space="preserve">. Available at: </w:t>
      </w:r>
      <w:hyperlink r:id="rId2" w:history="1">
        <w:r w:rsidRPr="000711C0">
          <w:rPr>
            <w:rStyle w:val="Hyperlink"/>
          </w:rPr>
          <w:t>http://www.pharmgkb.org/guideline/PA166104996</w:t>
        </w:r>
      </w:hyperlink>
    </w:p>
  </w:endnote>
  <w:endnote w:id="7">
    <w:p w:rsidR="00590B17" w:rsidRDefault="00590B17" w:rsidP="0036000A">
      <w:pPr>
        <w:pStyle w:val="FootnoteText"/>
      </w:pPr>
      <w:r>
        <w:rPr>
          <w:rStyle w:val="EndnoteReference"/>
        </w:rPr>
        <w:endnoteRef/>
      </w:r>
      <w:r>
        <w:t xml:space="preserve"> </w:t>
      </w:r>
      <w:r w:rsidRPr="007835EB">
        <w:t xml:space="preserve">Marcus CL1, Moore RH, Rosen CL, </w:t>
      </w:r>
      <w:proofErr w:type="spellStart"/>
      <w:r w:rsidRPr="007835EB">
        <w:t>Giordani</w:t>
      </w:r>
      <w:proofErr w:type="spellEnd"/>
      <w:r w:rsidRPr="007835EB">
        <w:t xml:space="preserve"> B, </w:t>
      </w:r>
      <w:proofErr w:type="spellStart"/>
      <w:r w:rsidRPr="007835EB">
        <w:t>Garetz</w:t>
      </w:r>
      <w:proofErr w:type="spellEnd"/>
      <w:r w:rsidRPr="007835EB">
        <w:t xml:space="preserve"> SL, Taylor HG, Mitchell RB, Amin R, Katz ES, </w:t>
      </w:r>
      <w:proofErr w:type="spellStart"/>
      <w:r w:rsidRPr="007835EB">
        <w:t>Arens</w:t>
      </w:r>
      <w:proofErr w:type="spellEnd"/>
      <w:r w:rsidRPr="007835EB">
        <w:t xml:space="preserve"> R, </w:t>
      </w:r>
      <w:proofErr w:type="spellStart"/>
      <w:r w:rsidRPr="007835EB">
        <w:t>Paruthi</w:t>
      </w:r>
      <w:proofErr w:type="spellEnd"/>
      <w:r w:rsidRPr="007835EB">
        <w:t xml:space="preserve"> S, </w:t>
      </w:r>
      <w:proofErr w:type="spellStart"/>
      <w:r w:rsidRPr="007835EB">
        <w:t>Muzumdar</w:t>
      </w:r>
      <w:proofErr w:type="spellEnd"/>
      <w:r w:rsidRPr="007835EB">
        <w:t xml:space="preserve"> H, </w:t>
      </w:r>
      <w:proofErr w:type="spellStart"/>
      <w:r w:rsidRPr="007835EB">
        <w:t>Gozal</w:t>
      </w:r>
      <w:proofErr w:type="spellEnd"/>
      <w:r w:rsidRPr="007835EB">
        <w:t xml:space="preserve"> D, Thomas NH, Ware J, Beebe D, Snyder K, </w:t>
      </w:r>
      <w:proofErr w:type="spellStart"/>
      <w:r w:rsidRPr="007835EB">
        <w:t>Elden</w:t>
      </w:r>
      <w:proofErr w:type="spellEnd"/>
      <w:r w:rsidRPr="007835EB">
        <w:t xml:space="preserve"> L, </w:t>
      </w:r>
      <w:proofErr w:type="spellStart"/>
      <w:r w:rsidRPr="007835EB">
        <w:t>Sprecher</w:t>
      </w:r>
      <w:proofErr w:type="spellEnd"/>
      <w:r w:rsidRPr="007835EB">
        <w:t xml:space="preserve"> RC, </w:t>
      </w:r>
      <w:proofErr w:type="spellStart"/>
      <w:r w:rsidRPr="007835EB">
        <w:t>Willging</w:t>
      </w:r>
      <w:proofErr w:type="spellEnd"/>
      <w:r w:rsidRPr="007835EB">
        <w:t xml:space="preserve"> P, Jones D, Bent JP, Hoban T, </w:t>
      </w:r>
      <w:proofErr w:type="spellStart"/>
      <w:r w:rsidRPr="007835EB">
        <w:t>Chervin</w:t>
      </w:r>
      <w:proofErr w:type="spellEnd"/>
      <w:r w:rsidRPr="007835EB">
        <w:t xml:space="preserve"> RD, </w:t>
      </w:r>
      <w:proofErr w:type="spellStart"/>
      <w:r w:rsidRPr="007835EB">
        <w:t>Ellenberg</w:t>
      </w:r>
      <w:proofErr w:type="spellEnd"/>
      <w:r w:rsidRPr="007835EB">
        <w:t xml:space="preserve"> SS, Redline S; Childhood </w:t>
      </w:r>
      <w:proofErr w:type="spellStart"/>
      <w:r w:rsidRPr="007835EB">
        <w:t>Adenotonsillectomy</w:t>
      </w:r>
      <w:proofErr w:type="spellEnd"/>
      <w:r w:rsidRPr="007835EB">
        <w:t xml:space="preserve"> Trial (CHAT).</w:t>
      </w:r>
      <w:r>
        <w:t xml:space="preserve"> (2013)  </w:t>
      </w:r>
      <w:r w:rsidRPr="007835EB">
        <w:t xml:space="preserve">A randomized trial of </w:t>
      </w:r>
      <w:proofErr w:type="spellStart"/>
      <w:r w:rsidRPr="007835EB">
        <w:t>adenotonsillectomy</w:t>
      </w:r>
      <w:proofErr w:type="spellEnd"/>
      <w:r w:rsidRPr="007835EB">
        <w:t xml:space="preserve"> for childhood sleep </w:t>
      </w:r>
      <w:proofErr w:type="spellStart"/>
      <w:r w:rsidRPr="007835EB">
        <w:t>apnea</w:t>
      </w:r>
      <w:proofErr w:type="spellEnd"/>
      <w:r w:rsidRPr="007835EB">
        <w:t>.</w:t>
      </w:r>
      <w:r>
        <w:t xml:space="preserve"> </w:t>
      </w:r>
      <w:r w:rsidRPr="007835EB">
        <w:t xml:space="preserve">N </w:t>
      </w:r>
      <w:proofErr w:type="spellStart"/>
      <w:r w:rsidRPr="007835EB">
        <w:t>Engl</w:t>
      </w:r>
      <w:proofErr w:type="spellEnd"/>
      <w:r w:rsidRPr="007835EB">
        <w:t xml:space="preserve"> J Med. Jun 20;368(25):2366-76. </w:t>
      </w:r>
      <w:proofErr w:type="spellStart"/>
      <w:r w:rsidRPr="007835EB">
        <w:t>doi</w:t>
      </w:r>
      <w:proofErr w:type="spellEnd"/>
      <w:r w:rsidRPr="007835EB">
        <w:t xml:space="preserve">: 10.1056/NEJMoa1215881. </w:t>
      </w:r>
      <w:proofErr w:type="spellStart"/>
      <w:r w:rsidRPr="007835EB">
        <w:t>Epub</w:t>
      </w:r>
      <w:proofErr w:type="spellEnd"/>
      <w:r w:rsidRPr="007835EB">
        <w:t xml:space="preserve"> 2013 May 21</w:t>
      </w:r>
    </w:p>
  </w:endnote>
  <w:endnote w:id="8">
    <w:p w:rsidR="00590B17" w:rsidRDefault="00590B17" w:rsidP="0036000A">
      <w:pPr>
        <w:pStyle w:val="FootnoteText"/>
      </w:pPr>
      <w:r>
        <w:rPr>
          <w:rStyle w:val="EndnoteReference"/>
        </w:rPr>
        <w:endnoteRef/>
      </w:r>
      <w:r>
        <w:t xml:space="preserve"> </w:t>
      </w:r>
      <w:proofErr w:type="spellStart"/>
      <w:r w:rsidRPr="008A26E6">
        <w:t>Nath</w:t>
      </w:r>
      <w:proofErr w:type="spellEnd"/>
      <w:r w:rsidRPr="008A26E6">
        <w:t xml:space="preserve"> A, </w:t>
      </w:r>
      <w:proofErr w:type="spellStart"/>
      <w:r w:rsidRPr="008A26E6">
        <w:t>Emani</w:t>
      </w:r>
      <w:proofErr w:type="spellEnd"/>
      <w:r w:rsidRPr="008A26E6">
        <w:t xml:space="preserve"> J, </w:t>
      </w:r>
      <w:proofErr w:type="spellStart"/>
      <w:r w:rsidRPr="008A26E6">
        <w:t>Suskind</w:t>
      </w:r>
      <w:proofErr w:type="spellEnd"/>
      <w:r w:rsidRPr="008A26E6">
        <w:t xml:space="preserve"> DL, </w:t>
      </w:r>
      <w:proofErr w:type="spellStart"/>
      <w:r w:rsidRPr="008A26E6">
        <w:t>Baroody</w:t>
      </w:r>
      <w:proofErr w:type="spellEnd"/>
      <w:r w:rsidRPr="008A26E6">
        <w:t xml:space="preserve"> FM.</w:t>
      </w:r>
      <w:r>
        <w:t xml:space="preserve"> </w:t>
      </w:r>
      <w:r w:rsidRPr="008A26E6">
        <w:t xml:space="preserve">Predictors of persistent sleep </w:t>
      </w:r>
      <w:proofErr w:type="spellStart"/>
      <w:r w:rsidRPr="008A26E6">
        <w:t>apnea</w:t>
      </w:r>
      <w:proofErr w:type="spellEnd"/>
      <w:r w:rsidRPr="008A26E6">
        <w:t xml:space="preserve"> after surgery in children younger than 3 years.</w:t>
      </w:r>
      <w:r>
        <w:t xml:space="preserve"> </w:t>
      </w:r>
      <w:r w:rsidRPr="008A26E6">
        <w:t xml:space="preserve">JAMA </w:t>
      </w:r>
      <w:proofErr w:type="spellStart"/>
      <w:r w:rsidRPr="008A26E6">
        <w:t>Otolaryngol</w:t>
      </w:r>
      <w:proofErr w:type="spellEnd"/>
      <w:r w:rsidRPr="008A26E6">
        <w:t xml:space="preserve"> Head Neck Surg. 2013 Oct;139(10):1002-8.</w:t>
      </w:r>
    </w:p>
  </w:endnote>
  <w:endnote w:id="9">
    <w:p w:rsidR="00590B17" w:rsidRDefault="00590B17" w:rsidP="0036000A">
      <w:pPr>
        <w:pStyle w:val="FootnoteText"/>
      </w:pPr>
      <w:r>
        <w:rPr>
          <w:rStyle w:val="EndnoteReference"/>
        </w:rPr>
        <w:endnoteRef/>
      </w:r>
      <w:r>
        <w:t xml:space="preserve"> </w:t>
      </w:r>
      <w:proofErr w:type="spellStart"/>
      <w:r w:rsidRPr="00D71AB9">
        <w:t>Khetani</w:t>
      </w:r>
      <w:proofErr w:type="spellEnd"/>
      <w:r w:rsidRPr="00D71AB9">
        <w:t xml:space="preserve"> JD, </w:t>
      </w:r>
      <w:proofErr w:type="spellStart"/>
      <w:r w:rsidRPr="00D71AB9">
        <w:t>Madadi</w:t>
      </w:r>
      <w:proofErr w:type="spellEnd"/>
      <w:r w:rsidRPr="00D71AB9">
        <w:t xml:space="preserve"> P, </w:t>
      </w:r>
      <w:proofErr w:type="spellStart"/>
      <w:r w:rsidRPr="00D71AB9">
        <w:t>Sommer</w:t>
      </w:r>
      <w:proofErr w:type="spellEnd"/>
      <w:r w:rsidRPr="00D71AB9">
        <w:t xml:space="preserve"> DD, Reddy D, </w:t>
      </w:r>
      <w:proofErr w:type="spellStart"/>
      <w:r w:rsidRPr="00D71AB9">
        <w:t>Sistonen</w:t>
      </w:r>
      <w:proofErr w:type="spellEnd"/>
      <w:r w:rsidRPr="00D71AB9">
        <w:t xml:space="preserve"> J, Ross CJ, Carleton BC, Hayden MR, </w:t>
      </w:r>
      <w:proofErr w:type="spellStart"/>
      <w:r w:rsidRPr="00D71AB9">
        <w:t>Koren</w:t>
      </w:r>
      <w:proofErr w:type="spellEnd"/>
      <w:r w:rsidRPr="00D71AB9">
        <w:t xml:space="preserve"> G.</w:t>
      </w:r>
      <w:r>
        <w:t xml:space="preserve"> (2012) </w:t>
      </w:r>
      <w:proofErr w:type="spellStart"/>
      <w:r w:rsidRPr="00D71AB9">
        <w:t>Apnea</w:t>
      </w:r>
      <w:proofErr w:type="spellEnd"/>
      <w:r w:rsidRPr="00D71AB9">
        <w:t xml:space="preserve"> and oxygen desaturations in children treated with opioids after </w:t>
      </w:r>
      <w:proofErr w:type="spellStart"/>
      <w:r w:rsidRPr="00D71AB9">
        <w:t>adenotonsillectomy</w:t>
      </w:r>
      <w:proofErr w:type="spellEnd"/>
      <w:r w:rsidRPr="00D71AB9">
        <w:t xml:space="preserve"> for obstructive sleep </w:t>
      </w:r>
      <w:proofErr w:type="spellStart"/>
      <w:r w:rsidRPr="00D71AB9">
        <w:t>apnea</w:t>
      </w:r>
      <w:proofErr w:type="spellEnd"/>
      <w:r w:rsidRPr="00D71AB9">
        <w:t xml:space="preserve"> syndrome: a prospective pilot study. </w:t>
      </w:r>
      <w:proofErr w:type="spellStart"/>
      <w:r w:rsidRPr="00D71AB9">
        <w:t>Paediatr</w:t>
      </w:r>
      <w:proofErr w:type="spellEnd"/>
      <w:r w:rsidRPr="00D71AB9">
        <w:t xml:space="preserve"> Drugs. Dec 1;14(6):411-5. </w:t>
      </w:r>
      <w:proofErr w:type="spellStart"/>
      <w:r w:rsidRPr="00D71AB9">
        <w:t>doi</w:t>
      </w:r>
      <w:proofErr w:type="spellEnd"/>
      <w:r w:rsidRPr="00D71AB9">
        <w:t>: 10.2165/11633570-000000000-00000.</w:t>
      </w:r>
    </w:p>
  </w:endnote>
  <w:endnote w:id="10">
    <w:p w:rsidR="00590B17" w:rsidRDefault="00590B17" w:rsidP="0036000A">
      <w:pPr>
        <w:pStyle w:val="FootnoteText"/>
      </w:pPr>
      <w:r>
        <w:rPr>
          <w:rStyle w:val="EndnoteReference"/>
        </w:rPr>
        <w:endnoteRef/>
      </w:r>
      <w:r>
        <w:t xml:space="preserve"> </w:t>
      </w:r>
      <w:r w:rsidRPr="00467EFE">
        <w:t xml:space="preserve">Brown KA1, </w:t>
      </w:r>
      <w:proofErr w:type="spellStart"/>
      <w:r w:rsidRPr="00467EFE">
        <w:t>Laferrière</w:t>
      </w:r>
      <w:proofErr w:type="spellEnd"/>
      <w:r w:rsidRPr="00467EFE">
        <w:t xml:space="preserve"> A, </w:t>
      </w:r>
      <w:proofErr w:type="spellStart"/>
      <w:r w:rsidRPr="00467EFE">
        <w:t>Lakheeram</w:t>
      </w:r>
      <w:proofErr w:type="spellEnd"/>
      <w:r w:rsidRPr="00467EFE">
        <w:t xml:space="preserve"> I, Moss IR. </w:t>
      </w:r>
      <w:r>
        <w:t xml:space="preserve">(2006) </w:t>
      </w:r>
      <w:r w:rsidRPr="00467EFE">
        <w:t xml:space="preserve">Recurrent hypoxemia in children is associated with increased analgesic sensitivity to opiates. </w:t>
      </w:r>
      <w:proofErr w:type="spellStart"/>
      <w:r w:rsidRPr="00467EFE">
        <w:t>Anesthesiology</w:t>
      </w:r>
      <w:proofErr w:type="spellEnd"/>
      <w:r w:rsidRPr="00467EFE">
        <w:t>. Oct;105(4):665-9.</w:t>
      </w:r>
    </w:p>
  </w:endnote>
  <w:endnote w:id="11">
    <w:p w:rsidR="00590B17" w:rsidRDefault="00590B17" w:rsidP="0036000A">
      <w:pPr>
        <w:pStyle w:val="FootnoteText"/>
      </w:pPr>
      <w:r>
        <w:rPr>
          <w:rStyle w:val="EndnoteReference"/>
        </w:rPr>
        <w:endnoteRef/>
      </w:r>
      <w:r>
        <w:t xml:space="preserve"> </w:t>
      </w:r>
      <w:r w:rsidRPr="009C108D">
        <w:t>Kelly LE</w:t>
      </w:r>
      <w:r>
        <w:t xml:space="preserve">, </w:t>
      </w:r>
      <w:proofErr w:type="spellStart"/>
      <w:r>
        <w:t>Sommer</w:t>
      </w:r>
      <w:proofErr w:type="spellEnd"/>
      <w:r>
        <w:t xml:space="preserve"> DD</w:t>
      </w:r>
      <w:r w:rsidRPr="009C108D">
        <w:t xml:space="preserve">, Ramakrishna J, </w:t>
      </w:r>
      <w:proofErr w:type="spellStart"/>
      <w:r w:rsidRPr="009C108D">
        <w:t>Hoffbauer</w:t>
      </w:r>
      <w:proofErr w:type="spellEnd"/>
      <w:r w:rsidRPr="009C108D">
        <w:t xml:space="preserve"> S, </w:t>
      </w:r>
      <w:proofErr w:type="spellStart"/>
      <w:r w:rsidRPr="009C108D">
        <w:t>Arbab-Tafti</w:t>
      </w:r>
      <w:proofErr w:type="spellEnd"/>
      <w:r w:rsidRPr="009C108D">
        <w:t xml:space="preserve"> S, Reid D, Maclean J, </w:t>
      </w:r>
      <w:proofErr w:type="spellStart"/>
      <w:r w:rsidRPr="009C108D">
        <w:t>Koren</w:t>
      </w:r>
      <w:proofErr w:type="spellEnd"/>
      <w:r w:rsidRPr="009C108D">
        <w:t xml:space="preserve"> G</w:t>
      </w:r>
      <w:r>
        <w:t xml:space="preserve">. (2015) </w:t>
      </w:r>
      <w:r w:rsidRPr="009C108D">
        <w:t>Morphine or Ibuprofen for post-tonsillectomy analgesia: a randomized trial.</w:t>
      </w:r>
      <w:r>
        <w:t xml:space="preserve"> </w:t>
      </w:r>
      <w:proofErr w:type="spellStart"/>
      <w:r w:rsidRPr="009C108D">
        <w:t>Pediatrics</w:t>
      </w:r>
      <w:proofErr w:type="spellEnd"/>
      <w:r w:rsidRPr="009C108D">
        <w:t xml:space="preserve">. Feb;135(2):307-13. </w:t>
      </w:r>
      <w:proofErr w:type="spellStart"/>
      <w:r w:rsidRPr="009C108D">
        <w:t>doi</w:t>
      </w:r>
      <w:proofErr w:type="spellEnd"/>
      <w:r w:rsidRPr="009C108D">
        <w:t>: 10.1542/peds.2014-1906.</w:t>
      </w:r>
    </w:p>
  </w:endnote>
  <w:endnote w:id="12">
    <w:p w:rsidR="00590B17" w:rsidRPr="00070CB9" w:rsidRDefault="00590B17" w:rsidP="0036000A">
      <w:pPr>
        <w:pStyle w:val="FootnoteText"/>
      </w:pPr>
      <w:r w:rsidRPr="00070CB9">
        <w:rPr>
          <w:rStyle w:val="EndnoteReference"/>
        </w:rPr>
        <w:endnoteRef/>
      </w:r>
      <w:r w:rsidRPr="00070CB9">
        <w:t xml:space="preserve"> </w:t>
      </w:r>
      <w:proofErr w:type="spellStart"/>
      <w:r w:rsidRPr="00070CB9">
        <w:t>Racoosin</w:t>
      </w:r>
      <w:proofErr w:type="spellEnd"/>
      <w:r w:rsidRPr="00070CB9">
        <w:t xml:space="preserve"> JA. Slide presentation </w:t>
      </w:r>
      <w:proofErr w:type="spellStart"/>
      <w:r>
        <w:t>P</w:t>
      </w:r>
      <w:r w:rsidRPr="00070CB9">
        <w:t>ediatric</w:t>
      </w:r>
      <w:proofErr w:type="spellEnd"/>
      <w:r w:rsidRPr="00070CB9">
        <w:t xml:space="preserve"> </w:t>
      </w:r>
      <w:r>
        <w:t>A</w:t>
      </w:r>
      <w:r w:rsidRPr="00070CB9">
        <w:t xml:space="preserve">dvisory </w:t>
      </w:r>
      <w:r>
        <w:t>C</w:t>
      </w:r>
      <w:r w:rsidRPr="00070CB9">
        <w:t xml:space="preserve">ommittee briefing document: “Death and respiratory arrest related to ultra-rapid metabolism of codeine to morphine.” Division of </w:t>
      </w:r>
      <w:proofErr w:type="spellStart"/>
      <w:r w:rsidRPr="00070CB9">
        <w:t>Anesthesia</w:t>
      </w:r>
      <w:proofErr w:type="spellEnd"/>
      <w:r w:rsidRPr="00070CB9">
        <w:t>, Analgesia, and Addiction Pro</w:t>
      </w:r>
      <w:r>
        <w:t xml:space="preserve">ducts, CDER, FDA. Available at: </w:t>
      </w:r>
      <w:hyperlink r:id="rId3" w:history="1">
        <w:r w:rsidRPr="00E323A8">
          <w:rPr>
            <w:rStyle w:val="Hyperlink"/>
          </w:rPr>
          <w:t>http://www.fda.gov/downloads/AdvisoryCommittees/CommitteesMeetingMaterials/PediatricAdvisoryCommittee/UCM343601.pdf</w:t>
        </w:r>
      </w:hyperlink>
    </w:p>
  </w:endnote>
  <w:endnote w:id="13">
    <w:p w:rsidR="00590B17" w:rsidRDefault="00590B17" w:rsidP="0036000A">
      <w:pPr>
        <w:pStyle w:val="FootnoteText"/>
      </w:pPr>
      <w:r>
        <w:rPr>
          <w:rStyle w:val="EndnoteReference"/>
        </w:rPr>
        <w:endnoteRef/>
      </w:r>
      <w:r>
        <w:t xml:space="preserve"> FDA </w:t>
      </w:r>
      <w:r w:rsidRPr="00AC6C27">
        <w:t>Public Health Advisory: Use of Codeine By Some Breastfeeding Mothers May Lead To Life-Threatening Side Effects In Nursing Babies</w:t>
      </w:r>
      <w:r>
        <w:t xml:space="preserve">. Available at: </w:t>
      </w:r>
      <w:hyperlink r:id="rId4" w:history="1">
        <w:r w:rsidRPr="000763DE">
          <w:rPr>
            <w:rStyle w:val="Hyperlink"/>
          </w:rPr>
          <w:t>http://www.fda.gov/Drugs/DrugSafety/PostmarketDrugSafetyInformationforPatientsandProviders/ucm054717.htm</w:t>
        </w:r>
      </w:hyperlink>
      <w:r>
        <w:t xml:space="preserve"> </w:t>
      </w:r>
    </w:p>
  </w:endnote>
  <w:endnote w:id="14">
    <w:p w:rsidR="00590B17" w:rsidRDefault="00590B17" w:rsidP="0036000A">
      <w:pPr>
        <w:pStyle w:val="FootnoteText"/>
      </w:pPr>
      <w:r>
        <w:rPr>
          <w:rStyle w:val="EndnoteReference"/>
        </w:rPr>
        <w:endnoteRef/>
      </w:r>
      <w:r>
        <w:t xml:space="preserve"> </w:t>
      </w:r>
      <w:r w:rsidRPr="00AC6C27">
        <w:t>FDA Drug Safety Communication: Codeine use in certain children after tonsillectomy and/or adenoidectomy may lead to rare, but life-threatening adverse events or death</w:t>
      </w:r>
      <w:r>
        <w:t xml:space="preserve">. Available at: </w:t>
      </w:r>
      <w:hyperlink r:id="rId5" w:history="1">
        <w:r w:rsidRPr="000763DE">
          <w:rPr>
            <w:rStyle w:val="Hyperlink"/>
          </w:rPr>
          <w:t>http://www.fda.gov/Drugs/DrugSafety/ucm313631.htm</w:t>
        </w:r>
      </w:hyperlink>
    </w:p>
  </w:endnote>
  <w:endnote w:id="15">
    <w:p w:rsidR="00590B17" w:rsidRDefault="00590B17" w:rsidP="0036000A">
      <w:pPr>
        <w:pStyle w:val="FootnoteText"/>
      </w:pPr>
      <w:r>
        <w:rPr>
          <w:rStyle w:val="EndnoteReference"/>
        </w:rPr>
        <w:endnoteRef/>
      </w:r>
      <w:r>
        <w:t xml:space="preserve"> </w:t>
      </w:r>
      <w:r w:rsidRPr="00165BAA">
        <w:t xml:space="preserve">Voronov P, </w:t>
      </w:r>
      <w:proofErr w:type="spellStart"/>
      <w:r w:rsidRPr="00165BAA">
        <w:t>Przybylo</w:t>
      </w:r>
      <w:proofErr w:type="spellEnd"/>
      <w:r w:rsidRPr="00165BAA">
        <w:t xml:space="preserve"> HJ, </w:t>
      </w:r>
      <w:proofErr w:type="spellStart"/>
      <w:r w:rsidRPr="00165BAA">
        <w:t>Jagannathan</w:t>
      </w:r>
      <w:proofErr w:type="spellEnd"/>
      <w:r w:rsidRPr="00165BAA">
        <w:t xml:space="preserve"> N. </w:t>
      </w:r>
      <w:proofErr w:type="spellStart"/>
      <w:r w:rsidRPr="00165BAA">
        <w:t>Apnea</w:t>
      </w:r>
      <w:proofErr w:type="spellEnd"/>
      <w:r w:rsidRPr="00165BAA">
        <w:t xml:space="preserve"> in a child after oral codeine: a genetic variant - an ultra-rapid </w:t>
      </w:r>
      <w:proofErr w:type="spellStart"/>
      <w:r w:rsidRPr="00165BAA">
        <w:t>metabolizer</w:t>
      </w:r>
      <w:proofErr w:type="spellEnd"/>
      <w:r w:rsidRPr="00165BAA">
        <w:t xml:space="preserve">. </w:t>
      </w:r>
      <w:proofErr w:type="spellStart"/>
      <w:r w:rsidRPr="00165BAA">
        <w:t>Paediatr</w:t>
      </w:r>
      <w:proofErr w:type="spellEnd"/>
      <w:r w:rsidRPr="00165BAA">
        <w:t xml:space="preserve"> </w:t>
      </w:r>
      <w:proofErr w:type="spellStart"/>
      <w:r w:rsidRPr="00165BAA">
        <w:t>Anaesth</w:t>
      </w:r>
      <w:proofErr w:type="spellEnd"/>
      <w:r w:rsidRPr="00165BAA">
        <w:t>. 2007 Jul;17(7):684-7</w:t>
      </w:r>
      <w:r>
        <w:t>.</w:t>
      </w:r>
    </w:p>
  </w:endnote>
  <w:endnote w:id="16">
    <w:p w:rsidR="00590B17" w:rsidRDefault="00590B17" w:rsidP="0036000A">
      <w:pPr>
        <w:pStyle w:val="FootnoteText"/>
      </w:pPr>
      <w:r>
        <w:rPr>
          <w:rStyle w:val="EndnoteReference"/>
        </w:rPr>
        <w:endnoteRef/>
      </w:r>
      <w:r>
        <w:t xml:space="preserve"> </w:t>
      </w:r>
      <w:proofErr w:type="spellStart"/>
      <w:r w:rsidRPr="000E54F3">
        <w:t>Ciszkowski</w:t>
      </w:r>
      <w:proofErr w:type="spellEnd"/>
      <w:r w:rsidRPr="000E54F3">
        <w:t xml:space="preserve"> C, </w:t>
      </w:r>
      <w:proofErr w:type="spellStart"/>
      <w:r w:rsidRPr="000E54F3">
        <w:t>Madadi</w:t>
      </w:r>
      <w:proofErr w:type="spellEnd"/>
      <w:r w:rsidRPr="000E54F3">
        <w:t xml:space="preserve"> P, Phillips MS, </w:t>
      </w:r>
      <w:proofErr w:type="spellStart"/>
      <w:r w:rsidRPr="000E54F3">
        <w:t>Lauwers</w:t>
      </w:r>
      <w:proofErr w:type="spellEnd"/>
      <w:r w:rsidRPr="000E54F3">
        <w:t xml:space="preserve"> AE, </w:t>
      </w:r>
      <w:proofErr w:type="spellStart"/>
      <w:r w:rsidRPr="000E54F3">
        <w:t>Koren</w:t>
      </w:r>
      <w:proofErr w:type="spellEnd"/>
      <w:r w:rsidRPr="000E54F3">
        <w:t xml:space="preserve"> G. Codeine, ultrarapid-metabolism genotype, and postoperative death. N </w:t>
      </w:r>
      <w:proofErr w:type="spellStart"/>
      <w:r w:rsidRPr="000E54F3">
        <w:t>Engl</w:t>
      </w:r>
      <w:proofErr w:type="spellEnd"/>
      <w:r w:rsidRPr="000E54F3">
        <w:t xml:space="preserve"> J Med. 2009 Aug 20;361(8):827-8. </w:t>
      </w:r>
      <w:proofErr w:type="spellStart"/>
      <w:r w:rsidRPr="000E54F3">
        <w:t>doi</w:t>
      </w:r>
      <w:proofErr w:type="spellEnd"/>
      <w:r w:rsidRPr="000E54F3">
        <w:t>: 10.1056/NEJMc0904266.</w:t>
      </w:r>
      <w:r>
        <w:t xml:space="preserve"> </w:t>
      </w:r>
    </w:p>
  </w:endnote>
  <w:endnote w:id="17">
    <w:p w:rsidR="00590B17" w:rsidRDefault="00590B17" w:rsidP="0036000A">
      <w:pPr>
        <w:pStyle w:val="FootnoteText"/>
      </w:pPr>
      <w:r>
        <w:rPr>
          <w:rStyle w:val="EndnoteReference"/>
        </w:rPr>
        <w:endnoteRef/>
      </w:r>
      <w:r>
        <w:t xml:space="preserve"> </w:t>
      </w:r>
      <w:r w:rsidRPr="000E54F3">
        <w:t xml:space="preserve">Kelly LE, </w:t>
      </w:r>
      <w:proofErr w:type="spellStart"/>
      <w:r w:rsidRPr="000E54F3">
        <w:t>Rieder</w:t>
      </w:r>
      <w:proofErr w:type="spellEnd"/>
      <w:r w:rsidRPr="000E54F3">
        <w:t xml:space="preserve"> M, van den Anker J, Malkin B, Ross C, Neely MN, Carleton B, Hayden MR, </w:t>
      </w:r>
      <w:proofErr w:type="spellStart"/>
      <w:r w:rsidRPr="000E54F3">
        <w:t>Madadi</w:t>
      </w:r>
      <w:proofErr w:type="spellEnd"/>
      <w:r w:rsidRPr="000E54F3">
        <w:t xml:space="preserve"> P, </w:t>
      </w:r>
      <w:proofErr w:type="spellStart"/>
      <w:r w:rsidRPr="000E54F3">
        <w:t>Koren</w:t>
      </w:r>
      <w:proofErr w:type="spellEnd"/>
      <w:r w:rsidRPr="000E54F3">
        <w:t xml:space="preserve"> G. More codeine fatalities after tonsillectomy in North American children. </w:t>
      </w:r>
      <w:proofErr w:type="spellStart"/>
      <w:r w:rsidRPr="000E54F3">
        <w:t>Pediatrics</w:t>
      </w:r>
      <w:proofErr w:type="spellEnd"/>
      <w:r w:rsidRPr="000E54F3">
        <w:t xml:space="preserve">. 2012 May;129(5):e1343-7. </w:t>
      </w:r>
      <w:proofErr w:type="spellStart"/>
      <w:r w:rsidRPr="000E54F3">
        <w:t>doi</w:t>
      </w:r>
      <w:proofErr w:type="spellEnd"/>
      <w:r w:rsidRPr="000E54F3">
        <w:t xml:space="preserve">: 10.1542/peds.2011-2538. </w:t>
      </w:r>
      <w:proofErr w:type="spellStart"/>
      <w:r w:rsidRPr="000E54F3">
        <w:t>Epub</w:t>
      </w:r>
      <w:proofErr w:type="spellEnd"/>
      <w:r w:rsidRPr="000E54F3">
        <w:t xml:space="preserve"> 2012 Apr 9.</w:t>
      </w:r>
      <w:r>
        <w:t xml:space="preserve"> </w:t>
      </w:r>
    </w:p>
  </w:endnote>
  <w:endnote w:id="18">
    <w:p w:rsidR="00590B17" w:rsidRDefault="00590B17" w:rsidP="0036000A">
      <w:pPr>
        <w:pStyle w:val="FootnoteText"/>
      </w:pPr>
      <w:r>
        <w:rPr>
          <w:rStyle w:val="EndnoteReference"/>
        </w:rPr>
        <w:endnoteRef/>
      </w:r>
      <w:r>
        <w:t xml:space="preserve"> </w:t>
      </w:r>
      <w:proofErr w:type="spellStart"/>
      <w:r w:rsidRPr="0024317D">
        <w:t>Hermanns</w:t>
      </w:r>
      <w:proofErr w:type="spellEnd"/>
      <w:r w:rsidRPr="0024317D">
        <w:t xml:space="preserve">-Clausen M, </w:t>
      </w:r>
      <w:proofErr w:type="spellStart"/>
      <w:r w:rsidRPr="0024317D">
        <w:t>Weinmann</w:t>
      </w:r>
      <w:proofErr w:type="spellEnd"/>
      <w:r w:rsidRPr="0024317D">
        <w:t xml:space="preserve"> W, </w:t>
      </w:r>
      <w:proofErr w:type="spellStart"/>
      <w:r w:rsidRPr="0024317D">
        <w:t>Auwärter</w:t>
      </w:r>
      <w:proofErr w:type="spellEnd"/>
      <w:r w:rsidRPr="0024317D">
        <w:t xml:space="preserve"> V, </w:t>
      </w:r>
      <w:proofErr w:type="spellStart"/>
      <w:r w:rsidRPr="0024317D">
        <w:t>Ferreirós</w:t>
      </w:r>
      <w:proofErr w:type="spellEnd"/>
      <w:r w:rsidRPr="0024317D">
        <w:t xml:space="preserve"> N, </w:t>
      </w:r>
      <w:proofErr w:type="spellStart"/>
      <w:r w:rsidRPr="0024317D">
        <w:t>Trittler</w:t>
      </w:r>
      <w:proofErr w:type="spellEnd"/>
      <w:r w:rsidRPr="0024317D">
        <w:t xml:space="preserve"> R, Müller C, </w:t>
      </w:r>
      <w:proofErr w:type="spellStart"/>
      <w:r w:rsidRPr="0024317D">
        <w:t>Pahl</w:t>
      </w:r>
      <w:proofErr w:type="spellEnd"/>
      <w:r w:rsidRPr="0024317D">
        <w:t xml:space="preserve"> A, </w:t>
      </w:r>
      <w:proofErr w:type="spellStart"/>
      <w:r w:rsidRPr="0024317D">
        <w:t>Superti-Furga</w:t>
      </w:r>
      <w:proofErr w:type="spellEnd"/>
      <w:r w:rsidRPr="0024317D">
        <w:t xml:space="preserve"> A, </w:t>
      </w:r>
      <w:proofErr w:type="spellStart"/>
      <w:r w:rsidRPr="0024317D">
        <w:t>Hentschel</w:t>
      </w:r>
      <w:proofErr w:type="spellEnd"/>
      <w:r w:rsidRPr="0024317D">
        <w:t xml:space="preserve"> R. Drug dosing error with drops: severe clinical course of codeine intoxication in twins. </w:t>
      </w:r>
      <w:proofErr w:type="spellStart"/>
      <w:r w:rsidRPr="0024317D">
        <w:t>Eur</w:t>
      </w:r>
      <w:proofErr w:type="spellEnd"/>
      <w:r w:rsidRPr="0024317D">
        <w:t xml:space="preserve"> J </w:t>
      </w:r>
      <w:proofErr w:type="spellStart"/>
      <w:r w:rsidRPr="0024317D">
        <w:t>Pediatr</w:t>
      </w:r>
      <w:proofErr w:type="spellEnd"/>
      <w:r w:rsidRPr="0024317D">
        <w:t xml:space="preserve">. 2009 Jul;168(7):819-24. </w:t>
      </w:r>
      <w:proofErr w:type="spellStart"/>
      <w:r w:rsidRPr="0024317D">
        <w:t>doi</w:t>
      </w:r>
      <w:proofErr w:type="spellEnd"/>
      <w:r w:rsidRPr="0024317D">
        <w:t xml:space="preserve">: 10.1007/s00431-008-0842-7. </w:t>
      </w:r>
      <w:proofErr w:type="spellStart"/>
      <w:r w:rsidRPr="0024317D">
        <w:t>Epub</w:t>
      </w:r>
      <w:proofErr w:type="spellEnd"/>
      <w:r w:rsidRPr="0024317D">
        <w:t xml:space="preserve"> 2008 Oct 21.</w:t>
      </w:r>
      <w:r>
        <w:t xml:space="preserve"> </w:t>
      </w:r>
    </w:p>
  </w:endnote>
  <w:endnote w:id="19">
    <w:p w:rsidR="00590B17" w:rsidRPr="00070CB9" w:rsidRDefault="00590B17" w:rsidP="0036000A">
      <w:pPr>
        <w:pStyle w:val="FootnoteText"/>
      </w:pPr>
      <w:r w:rsidRPr="00070CB9">
        <w:rPr>
          <w:rStyle w:val="EndnoteReference"/>
        </w:rPr>
        <w:endnoteRef/>
      </w:r>
      <w:r w:rsidRPr="00070CB9">
        <w:t xml:space="preserve"> </w:t>
      </w:r>
      <w:proofErr w:type="spellStart"/>
      <w:r w:rsidRPr="00070CB9">
        <w:t>Racoosin</w:t>
      </w:r>
      <w:proofErr w:type="spellEnd"/>
      <w:r w:rsidRPr="00070CB9">
        <w:t xml:space="preserve"> JA, Roberson DW, </w:t>
      </w:r>
      <w:proofErr w:type="spellStart"/>
      <w:r w:rsidRPr="00070CB9">
        <w:t>Pacanowski</w:t>
      </w:r>
      <w:proofErr w:type="spellEnd"/>
      <w:r w:rsidRPr="00070CB9">
        <w:t xml:space="preserve"> MA, Nielsen DR. New evidence about an old drug--risk with codeine after </w:t>
      </w:r>
      <w:proofErr w:type="spellStart"/>
      <w:r w:rsidRPr="00070CB9">
        <w:t>adenotonsillectomy</w:t>
      </w:r>
      <w:proofErr w:type="spellEnd"/>
      <w:r w:rsidRPr="00070CB9">
        <w:t xml:space="preserve">. N </w:t>
      </w:r>
      <w:proofErr w:type="spellStart"/>
      <w:r w:rsidRPr="00070CB9">
        <w:t>Engl</w:t>
      </w:r>
      <w:proofErr w:type="spellEnd"/>
      <w:r w:rsidRPr="00070CB9">
        <w:t xml:space="preserve"> J Med. 2013 Jun 6;368(23):2155-7. </w:t>
      </w:r>
      <w:proofErr w:type="spellStart"/>
      <w:r w:rsidRPr="00070CB9">
        <w:t>doi</w:t>
      </w:r>
      <w:proofErr w:type="spellEnd"/>
      <w:r w:rsidRPr="00070CB9">
        <w:t xml:space="preserve">: 10.1056/NEJMp1302454. </w:t>
      </w:r>
      <w:proofErr w:type="spellStart"/>
      <w:r w:rsidRPr="00070CB9">
        <w:t>Epub</w:t>
      </w:r>
      <w:proofErr w:type="spellEnd"/>
      <w:r w:rsidRPr="00070CB9">
        <w:t xml:space="preserve"> 2013 Apr 24. PubMed PMID: 23614474.</w:t>
      </w:r>
    </w:p>
  </w:endnote>
  <w:endnote w:id="20">
    <w:p w:rsidR="00590B17" w:rsidRPr="00070CB9" w:rsidRDefault="00590B17" w:rsidP="0036000A">
      <w:pPr>
        <w:pStyle w:val="FootnoteText"/>
      </w:pPr>
      <w:r w:rsidRPr="00070CB9">
        <w:rPr>
          <w:rStyle w:val="EndnoteReference"/>
        </w:rPr>
        <w:endnoteRef/>
      </w:r>
      <w:r w:rsidRPr="00070CB9">
        <w:t xml:space="preserve"> Goldman JL, Baugh RF, Davies L, et al. Mortality and major morbidity after tonsillectomy: etiologic factors and strategies for prevention. Laryngoscope 2013. </w:t>
      </w:r>
    </w:p>
  </w:endnote>
  <w:endnote w:id="21">
    <w:p w:rsidR="00590B17" w:rsidRDefault="00590B17" w:rsidP="0036000A">
      <w:pPr>
        <w:pStyle w:val="FootnoteText"/>
      </w:pPr>
      <w:r>
        <w:rPr>
          <w:rStyle w:val="EndnoteReference"/>
        </w:rPr>
        <w:endnoteRef/>
      </w:r>
      <w:r>
        <w:t xml:space="preserve"> Assessment report for codeine-containing medicinal products indicated in the management of pain in children. Procedure under Article 31 of Directive 2001/83/EC resulting from pharmacovigilance data. Procedure number: EMEA/H/A-31/1342. Available at: </w:t>
      </w:r>
      <w:hyperlink r:id="rId6" w:history="1">
        <w:r w:rsidRPr="000711C0">
          <w:rPr>
            <w:rStyle w:val="Hyperlink"/>
          </w:rPr>
          <w:t>http://www.ema.europa.eu/docs/en_GB/document_library/Referrals_document/Codeine_containing_medicinal_products/Recommendation_provided_by_Pharmacovigilance_Risk_Assessment_Committee/WC500147065.pdf</w:t>
        </w:r>
      </w:hyperlink>
      <w:r>
        <w:t xml:space="preserve"> </w:t>
      </w:r>
    </w:p>
  </w:endnote>
  <w:endnote w:id="22">
    <w:p w:rsidR="00590B17" w:rsidRDefault="00590B17" w:rsidP="0036000A">
      <w:pPr>
        <w:pStyle w:val="FootnoteText"/>
      </w:pPr>
      <w:r>
        <w:rPr>
          <w:rStyle w:val="EndnoteReference"/>
        </w:rPr>
        <w:endnoteRef/>
      </w:r>
      <w:r>
        <w:t xml:space="preserve"> </w:t>
      </w:r>
      <w:proofErr w:type="spellStart"/>
      <w:r w:rsidRPr="00EC758C">
        <w:t>Koren</w:t>
      </w:r>
      <w:proofErr w:type="spellEnd"/>
      <w:r w:rsidRPr="00EC758C">
        <w:t xml:space="preserve"> G, Cairns J, </w:t>
      </w:r>
      <w:proofErr w:type="spellStart"/>
      <w:r w:rsidRPr="00EC758C">
        <w:t>Chitayat</w:t>
      </w:r>
      <w:proofErr w:type="spellEnd"/>
      <w:r w:rsidRPr="00EC758C">
        <w:t xml:space="preserve"> D. </w:t>
      </w:r>
      <w:proofErr w:type="spellStart"/>
      <w:r w:rsidRPr="00EC758C">
        <w:t>Pharmacogenetics</w:t>
      </w:r>
      <w:proofErr w:type="spellEnd"/>
      <w:r w:rsidRPr="00EC758C">
        <w:t xml:space="preserve"> of morphine poisoning in a breastfed neonate of a </w:t>
      </w:r>
      <w:proofErr w:type="spellStart"/>
      <w:r w:rsidRPr="00EC758C">
        <w:t>codeineprescribed</w:t>
      </w:r>
      <w:proofErr w:type="spellEnd"/>
      <w:r w:rsidRPr="00EC758C">
        <w:t xml:space="preserve"> mother. Lancet. 2006;368:704. et al.</w:t>
      </w:r>
      <w:r>
        <w:t xml:space="preserve"> </w:t>
      </w:r>
      <w:r w:rsidRPr="00EC758C">
        <w:t>doi:10.1016/S0140-6736(06)69255-6</w:t>
      </w:r>
    </w:p>
  </w:endnote>
  <w:endnote w:id="23">
    <w:p w:rsidR="00590B17" w:rsidRDefault="00590B17" w:rsidP="0036000A">
      <w:pPr>
        <w:pStyle w:val="FootnoteText"/>
      </w:pPr>
      <w:r>
        <w:rPr>
          <w:rStyle w:val="EndnoteReference"/>
        </w:rPr>
        <w:endnoteRef/>
      </w:r>
      <w:r>
        <w:t xml:space="preserve"> </w:t>
      </w:r>
      <w:proofErr w:type="spellStart"/>
      <w:r w:rsidRPr="00EC758C">
        <w:t>Madadi</w:t>
      </w:r>
      <w:proofErr w:type="spellEnd"/>
      <w:r w:rsidRPr="00EC758C">
        <w:t>, P., et al. "</w:t>
      </w:r>
      <w:proofErr w:type="spellStart"/>
      <w:r w:rsidRPr="00EC758C">
        <w:t>Pharmacogenetics</w:t>
      </w:r>
      <w:proofErr w:type="spellEnd"/>
      <w:r w:rsidRPr="00EC758C">
        <w:t xml:space="preserve"> of neonatal opioid toxicity following maternal use of codeine during breastfeeding: a case–control study." Clinical Pharmacology &amp; Therapeutics 85.1 (2009): 31-35.</w:t>
      </w:r>
      <w:r>
        <w:t xml:space="preserve"> </w:t>
      </w:r>
      <w:r w:rsidRPr="00EC758C">
        <w:t>DOI: 10.1038/clpt.2008.157</w:t>
      </w:r>
    </w:p>
  </w:endnote>
  <w:endnote w:id="24">
    <w:p w:rsidR="00590B17" w:rsidRDefault="00590B17" w:rsidP="0036000A">
      <w:pPr>
        <w:pStyle w:val="FootnoteText"/>
      </w:pPr>
      <w:r>
        <w:rPr>
          <w:rStyle w:val="EndnoteReference"/>
        </w:rPr>
        <w:endnoteRef/>
      </w:r>
      <w:r>
        <w:t xml:space="preserve"> </w:t>
      </w:r>
      <w:r w:rsidRPr="007F34B8">
        <w:t xml:space="preserve">Lam J, </w:t>
      </w:r>
      <w:proofErr w:type="spellStart"/>
      <w:r w:rsidRPr="007F34B8">
        <w:t>Matlow</w:t>
      </w:r>
      <w:proofErr w:type="spellEnd"/>
      <w:r w:rsidRPr="007F34B8">
        <w:t xml:space="preserve"> JN, Ross CJ, Hayden MR, Carleton BC, </w:t>
      </w:r>
      <w:proofErr w:type="spellStart"/>
      <w:r w:rsidRPr="007F34B8">
        <w:t>Madadi</w:t>
      </w:r>
      <w:proofErr w:type="spellEnd"/>
      <w:r w:rsidRPr="007F34B8">
        <w:t xml:space="preserve"> P.  Postpartum maternal codeine therapy and the risk of adverse neonatal outcomes: the devil is in the details.  </w:t>
      </w:r>
      <w:proofErr w:type="spellStart"/>
      <w:r w:rsidRPr="007F34B8">
        <w:rPr>
          <w:i/>
        </w:rPr>
        <w:t>Ther</w:t>
      </w:r>
      <w:proofErr w:type="spellEnd"/>
      <w:r w:rsidRPr="007F34B8">
        <w:rPr>
          <w:i/>
        </w:rPr>
        <w:t xml:space="preserve"> Drug </w:t>
      </w:r>
      <w:proofErr w:type="spellStart"/>
      <w:r w:rsidRPr="007F34B8">
        <w:rPr>
          <w:i/>
        </w:rPr>
        <w:t>Monit</w:t>
      </w:r>
      <w:proofErr w:type="spellEnd"/>
      <w:r w:rsidRPr="007F34B8">
        <w:t>. 2012 Aug;34(4):378-80</w:t>
      </w:r>
    </w:p>
  </w:endnote>
  <w:endnote w:id="25">
    <w:p w:rsidR="00590B17" w:rsidRDefault="00590B17" w:rsidP="0036000A">
      <w:pPr>
        <w:pStyle w:val="FootnoteText"/>
      </w:pPr>
      <w:r>
        <w:rPr>
          <w:rStyle w:val="EndnoteReference"/>
        </w:rPr>
        <w:endnoteRef/>
      </w:r>
      <w:r>
        <w:t xml:space="preserve"> </w:t>
      </w:r>
      <w:r w:rsidRPr="00037D3E">
        <w:t xml:space="preserve">Davis JM, </w:t>
      </w:r>
      <w:proofErr w:type="spellStart"/>
      <w:r w:rsidRPr="00037D3E">
        <w:t>Bhutani</w:t>
      </w:r>
      <w:proofErr w:type="spellEnd"/>
      <w:r w:rsidRPr="00037D3E">
        <w:t xml:space="preserve"> VK. Neonatal </w:t>
      </w:r>
      <w:proofErr w:type="spellStart"/>
      <w:r w:rsidRPr="00037D3E">
        <w:t>apnea</w:t>
      </w:r>
      <w:proofErr w:type="spellEnd"/>
      <w:r w:rsidRPr="00037D3E">
        <w:t xml:space="preserve"> and maternal codeine use. </w:t>
      </w:r>
      <w:proofErr w:type="spellStart"/>
      <w:r w:rsidRPr="00037D3E">
        <w:t>Pediatr</w:t>
      </w:r>
      <w:proofErr w:type="spellEnd"/>
      <w:r w:rsidRPr="00037D3E">
        <w:t xml:space="preserve"> Res. 1985;19(4 </w:t>
      </w:r>
      <w:proofErr w:type="spellStart"/>
      <w:r w:rsidRPr="00037D3E">
        <w:t>pt</w:t>
      </w:r>
      <w:proofErr w:type="spellEnd"/>
      <w:r w:rsidRPr="00037D3E">
        <w:t xml:space="preserve"> 2):170A. Abstract.</w:t>
      </w:r>
      <w:r>
        <w:t xml:space="preserve"> Available at: </w:t>
      </w:r>
      <w:r w:rsidRPr="00037D3E">
        <w:t>http://www.nature.com/pr/journal/v19/n4/abs/pr1985467a.html</w:t>
      </w:r>
    </w:p>
  </w:endnote>
  <w:endnote w:id="26">
    <w:p w:rsidR="00590B17" w:rsidRDefault="00590B17" w:rsidP="0036000A">
      <w:pPr>
        <w:pStyle w:val="FootnoteText"/>
      </w:pPr>
      <w:r>
        <w:rPr>
          <w:rStyle w:val="EndnoteReference"/>
        </w:rPr>
        <w:endnoteRef/>
      </w:r>
      <w:r>
        <w:t xml:space="preserve"> </w:t>
      </w:r>
      <w:proofErr w:type="spellStart"/>
      <w:r w:rsidRPr="001C75EA">
        <w:t>Naumburg</w:t>
      </w:r>
      <w:proofErr w:type="spellEnd"/>
      <w:r w:rsidRPr="001C75EA">
        <w:t xml:space="preserve"> EG, </w:t>
      </w:r>
      <w:proofErr w:type="spellStart"/>
      <w:r w:rsidRPr="001C75EA">
        <w:t>Meny</w:t>
      </w:r>
      <w:proofErr w:type="spellEnd"/>
      <w:r w:rsidRPr="001C75EA">
        <w:t xml:space="preserve"> RG, Findlay J et al. Codeine and morphine levels in breast milk and neonatal plasma. </w:t>
      </w:r>
      <w:proofErr w:type="spellStart"/>
      <w:r w:rsidRPr="001C75EA">
        <w:t>Pediatr</w:t>
      </w:r>
      <w:proofErr w:type="spellEnd"/>
      <w:r w:rsidRPr="001C75EA">
        <w:t xml:space="preserve"> Res. 1987;21(#4, Pt 2):240A. Abstract.</w:t>
      </w:r>
      <w:r>
        <w:t xml:space="preserve"> Available at: </w:t>
      </w:r>
      <w:r w:rsidRPr="001C75EA">
        <w:t>http://www.nature.com/pr/journal/v21/n4s/abs/pr1987523a.html</w:t>
      </w:r>
    </w:p>
  </w:endnote>
  <w:endnote w:id="27">
    <w:p w:rsidR="00590B17" w:rsidRDefault="00590B17" w:rsidP="00461113">
      <w:pPr>
        <w:pStyle w:val="EndnoteText"/>
      </w:pPr>
      <w:r>
        <w:rPr>
          <w:rStyle w:val="EndnoteReference"/>
        </w:rPr>
        <w:endnoteRef/>
      </w:r>
      <w:r>
        <w:t xml:space="preserve"> </w:t>
      </w:r>
      <w:proofErr w:type="spellStart"/>
      <w:r>
        <w:t>Willman</w:t>
      </w:r>
      <w:proofErr w:type="spellEnd"/>
      <w:r>
        <w:t xml:space="preserve"> S, </w:t>
      </w:r>
      <w:proofErr w:type="spellStart"/>
      <w:r>
        <w:t>Edginton</w:t>
      </w:r>
      <w:proofErr w:type="spellEnd"/>
      <w:r>
        <w:t xml:space="preserve"> AN, </w:t>
      </w:r>
      <w:proofErr w:type="spellStart"/>
      <w:r>
        <w:t>Coboeken</w:t>
      </w:r>
      <w:proofErr w:type="spellEnd"/>
      <w:r>
        <w:t xml:space="preserve"> K, </w:t>
      </w:r>
      <w:proofErr w:type="spellStart"/>
      <w:r>
        <w:t>Ahr</w:t>
      </w:r>
      <w:proofErr w:type="spellEnd"/>
      <w:r>
        <w:t xml:space="preserve"> G and </w:t>
      </w:r>
      <w:proofErr w:type="spellStart"/>
      <w:r>
        <w:t>Lippert</w:t>
      </w:r>
      <w:proofErr w:type="spellEnd"/>
      <w:r>
        <w:t xml:space="preserve"> J. (2009) Risk to the Breast-Fed Neonate From Codeine Treatment to the Mother: A Quantitative Mechanistic </w:t>
      </w:r>
      <w:proofErr w:type="spellStart"/>
      <w:r>
        <w:t>Modeling</w:t>
      </w:r>
      <w:proofErr w:type="spellEnd"/>
      <w:r>
        <w:t xml:space="preserve"> Study. Clinical Pharmacology and Therapeutics. 86(6):634-43. Available at: </w:t>
      </w:r>
      <w:hyperlink r:id="rId7" w:history="1">
        <w:r w:rsidRPr="009430C6">
          <w:rPr>
            <w:rStyle w:val="Hyperlink"/>
          </w:rPr>
          <w:t>http://www.isdbweb.org/documents/file/1790_14.pdf</w:t>
        </w:r>
      </w:hyperlink>
      <w:r>
        <w:t xml:space="preserve"> </w:t>
      </w:r>
    </w:p>
  </w:endnote>
  <w:endnote w:id="28">
    <w:p w:rsidR="00590B17" w:rsidRDefault="00590B17" w:rsidP="0036000A">
      <w:pPr>
        <w:pStyle w:val="FootnoteText"/>
      </w:pPr>
      <w:r>
        <w:rPr>
          <w:rStyle w:val="EndnoteReference"/>
        </w:rPr>
        <w:endnoteRef/>
      </w:r>
      <w:r>
        <w:t xml:space="preserve"> </w:t>
      </w:r>
      <w:proofErr w:type="spellStart"/>
      <w:r w:rsidRPr="00776341">
        <w:t>Nezvalová-Henriksen</w:t>
      </w:r>
      <w:proofErr w:type="spellEnd"/>
      <w:r w:rsidRPr="00776341">
        <w:t xml:space="preserve"> </w:t>
      </w:r>
      <w:r>
        <w:t>et al.</w:t>
      </w:r>
      <w:r w:rsidRPr="00776341">
        <w:t xml:space="preserve"> </w:t>
      </w:r>
      <w:r>
        <w:t xml:space="preserve">(2011) </w:t>
      </w:r>
      <w:r w:rsidRPr="00776341">
        <w:t xml:space="preserve">Effects of codeine on pregnancy outcome: results from a large population-based cohort study. European Journal of </w:t>
      </w:r>
      <w:r>
        <w:t xml:space="preserve">Clinical Pharmacology </w:t>
      </w:r>
      <w:r w:rsidRPr="00776341">
        <w:t>67(12):1253-1261. doi:10.1007/s00228-011-1069-5.</w:t>
      </w:r>
      <w:r>
        <w:t xml:space="preserve">  Available at: </w:t>
      </w:r>
      <w:hyperlink r:id="rId8" w:history="1">
        <w:r w:rsidRPr="00EB17B3">
          <w:rPr>
            <w:rStyle w:val="Hyperlink"/>
          </w:rPr>
          <w:t>http://www.ncbi.nlm.nih.gov/pmc/articles/PMC3214255/</w:t>
        </w:r>
      </w:hyperlink>
    </w:p>
  </w:endnote>
  <w:endnote w:id="29">
    <w:p w:rsidR="00590B17" w:rsidRDefault="00590B17" w:rsidP="0036000A">
      <w:pPr>
        <w:pStyle w:val="FootnoteText"/>
      </w:pPr>
      <w:r>
        <w:rPr>
          <w:rStyle w:val="EndnoteReference"/>
        </w:rPr>
        <w:endnoteRef/>
      </w:r>
      <w:r>
        <w:t xml:space="preserve"> </w:t>
      </w:r>
      <w:proofErr w:type="spellStart"/>
      <w:r w:rsidRPr="00823E0D">
        <w:t>Niesters</w:t>
      </w:r>
      <w:proofErr w:type="spellEnd"/>
      <w:r w:rsidRPr="00823E0D">
        <w:t xml:space="preserve"> M, </w:t>
      </w:r>
      <w:proofErr w:type="spellStart"/>
      <w:r w:rsidRPr="00823E0D">
        <w:t>Overdyk</w:t>
      </w:r>
      <w:proofErr w:type="spellEnd"/>
      <w:r w:rsidRPr="00823E0D">
        <w:t xml:space="preserve"> F, Smith T, </w:t>
      </w:r>
      <w:proofErr w:type="spellStart"/>
      <w:r w:rsidRPr="00823E0D">
        <w:t>Aarts</w:t>
      </w:r>
      <w:proofErr w:type="spellEnd"/>
      <w:r w:rsidRPr="00823E0D">
        <w:t xml:space="preserve"> L, </w:t>
      </w:r>
      <w:proofErr w:type="spellStart"/>
      <w:r w:rsidRPr="00823E0D">
        <w:t>Dahan</w:t>
      </w:r>
      <w:proofErr w:type="spellEnd"/>
      <w:r w:rsidRPr="00823E0D">
        <w:t xml:space="preserve"> A. Opioid-induced respiratory depression in paediatrics: a review of case reports. Br J </w:t>
      </w:r>
      <w:proofErr w:type="spellStart"/>
      <w:r w:rsidRPr="00823E0D">
        <w:t>Anaesth</w:t>
      </w:r>
      <w:proofErr w:type="spellEnd"/>
      <w:r w:rsidRPr="00823E0D">
        <w:t xml:space="preserve">. 2013 Feb;110(2):175-82. </w:t>
      </w:r>
      <w:proofErr w:type="spellStart"/>
      <w:r w:rsidRPr="00823E0D">
        <w:t>doi</w:t>
      </w:r>
      <w:proofErr w:type="spellEnd"/>
      <w:r w:rsidRPr="00823E0D">
        <w:t>: 10.1093/</w:t>
      </w:r>
      <w:proofErr w:type="spellStart"/>
      <w:r w:rsidRPr="00823E0D">
        <w:t>bja</w:t>
      </w:r>
      <w:proofErr w:type="spellEnd"/>
      <w:r w:rsidRPr="00823E0D">
        <w:t xml:space="preserve">/aes447. </w:t>
      </w:r>
      <w:proofErr w:type="spellStart"/>
      <w:r w:rsidRPr="00823E0D">
        <w:t>Epub</w:t>
      </w:r>
      <w:proofErr w:type="spellEnd"/>
      <w:r w:rsidRPr="00823E0D">
        <w:t xml:space="preserve"> 2012 Dec 17. Review. PubMed PMID: 23248093.</w:t>
      </w:r>
    </w:p>
  </w:endnote>
  <w:endnote w:id="30">
    <w:p w:rsidR="00590B17" w:rsidRPr="00070CB9" w:rsidRDefault="00590B17" w:rsidP="0036000A">
      <w:pPr>
        <w:pStyle w:val="FootnoteText"/>
      </w:pPr>
      <w:r w:rsidRPr="00070CB9">
        <w:rPr>
          <w:rStyle w:val="EndnoteReference"/>
        </w:rPr>
        <w:endnoteRef/>
      </w:r>
      <w:r w:rsidRPr="00070CB9">
        <w:t xml:space="preserve"> Announcement regarding </w:t>
      </w:r>
      <w:proofErr w:type="spellStart"/>
      <w:r w:rsidRPr="00070CB9">
        <w:t>CMDh</w:t>
      </w:r>
      <w:proofErr w:type="spellEnd"/>
      <w:r w:rsidRPr="00070CB9">
        <w:t xml:space="preserve"> Position on EMA website. Available at: </w:t>
      </w:r>
      <w:hyperlink r:id="rId9" w:history="1">
        <w:r w:rsidRPr="000711C0">
          <w:rPr>
            <w:rStyle w:val="Hyperlink"/>
          </w:rPr>
          <w:t>http://www.ema.europa.eu/docs/en_GB/document_library/Press_release/2013/06/WC500144851.pdf</w:t>
        </w:r>
      </w:hyperlink>
      <w:r>
        <w:t xml:space="preserve"> </w:t>
      </w:r>
    </w:p>
  </w:endnote>
  <w:endnote w:id="31">
    <w:p w:rsidR="00590B17" w:rsidRDefault="00590B17" w:rsidP="0036000A">
      <w:pPr>
        <w:pStyle w:val="FootnoteText"/>
      </w:pPr>
      <w:r>
        <w:rPr>
          <w:rStyle w:val="EndnoteReference"/>
        </w:rPr>
        <w:endnoteRef/>
      </w:r>
      <w:r>
        <w:t xml:space="preserve"> Schmidt H</w:t>
      </w:r>
      <w:r w:rsidRPr="0071582E">
        <w:t xml:space="preserve">, </w:t>
      </w:r>
      <w:proofErr w:type="spellStart"/>
      <w:r w:rsidRPr="0071582E">
        <w:t>Vormfelde</w:t>
      </w:r>
      <w:proofErr w:type="spellEnd"/>
      <w:r w:rsidRPr="0071582E">
        <w:t xml:space="preserve"> SV, </w:t>
      </w:r>
      <w:proofErr w:type="spellStart"/>
      <w:r w:rsidRPr="0071582E">
        <w:t>Walchner-Bonjean</w:t>
      </w:r>
      <w:proofErr w:type="spellEnd"/>
      <w:r w:rsidRPr="0071582E">
        <w:t xml:space="preserve"> M, </w:t>
      </w:r>
      <w:proofErr w:type="spellStart"/>
      <w:r w:rsidRPr="0071582E">
        <w:t>Klinder</w:t>
      </w:r>
      <w:proofErr w:type="spellEnd"/>
      <w:r w:rsidRPr="0071582E">
        <w:t xml:space="preserve"> K, </w:t>
      </w:r>
      <w:proofErr w:type="spellStart"/>
      <w:r w:rsidRPr="0071582E">
        <w:t>Freudenthaler</w:t>
      </w:r>
      <w:proofErr w:type="spellEnd"/>
      <w:r w:rsidRPr="0071582E">
        <w:t xml:space="preserve"> S, </w:t>
      </w:r>
      <w:proofErr w:type="spellStart"/>
      <w:r w:rsidRPr="0071582E">
        <w:t>Gleiter</w:t>
      </w:r>
      <w:proofErr w:type="spellEnd"/>
      <w:r w:rsidRPr="0071582E">
        <w:t xml:space="preserve"> CH, </w:t>
      </w:r>
      <w:proofErr w:type="spellStart"/>
      <w:r w:rsidRPr="0071582E">
        <w:t>Gund</w:t>
      </w:r>
      <w:r>
        <w:t>ert</w:t>
      </w:r>
      <w:proofErr w:type="spellEnd"/>
      <w:r>
        <w:t xml:space="preserve">-Remy U, </w:t>
      </w:r>
      <w:proofErr w:type="spellStart"/>
      <w:r>
        <w:t>Skopp</w:t>
      </w:r>
      <w:proofErr w:type="spellEnd"/>
      <w:r>
        <w:t xml:space="preserve"> G, </w:t>
      </w:r>
      <w:proofErr w:type="spellStart"/>
      <w:r>
        <w:t>Aderjan</w:t>
      </w:r>
      <w:proofErr w:type="spellEnd"/>
      <w:r>
        <w:t xml:space="preserve"> R and </w:t>
      </w:r>
      <w:proofErr w:type="spellStart"/>
      <w:r w:rsidRPr="0071582E">
        <w:t>Fuhr</w:t>
      </w:r>
      <w:proofErr w:type="spellEnd"/>
      <w:r w:rsidRPr="0071582E">
        <w:t xml:space="preserve"> U.</w:t>
      </w:r>
      <w:r>
        <w:t xml:space="preserve"> </w:t>
      </w:r>
      <w:r w:rsidRPr="0071582E">
        <w:t xml:space="preserve">The role of active metabolites in </w:t>
      </w:r>
      <w:proofErr w:type="spellStart"/>
      <w:r w:rsidRPr="0071582E">
        <w:t>dihydrocodeine</w:t>
      </w:r>
      <w:proofErr w:type="spellEnd"/>
      <w:r w:rsidRPr="0071582E">
        <w:t xml:space="preserve"> effects.</w:t>
      </w:r>
      <w:r>
        <w:t xml:space="preserve"> </w:t>
      </w:r>
      <w:proofErr w:type="spellStart"/>
      <w:r w:rsidRPr="0071582E">
        <w:t>Int</w:t>
      </w:r>
      <w:proofErr w:type="spellEnd"/>
      <w:r w:rsidRPr="0071582E">
        <w:t xml:space="preserve"> J </w:t>
      </w:r>
      <w:proofErr w:type="spellStart"/>
      <w:r w:rsidRPr="0071582E">
        <w:t>Clin</w:t>
      </w:r>
      <w:proofErr w:type="spellEnd"/>
      <w:r w:rsidRPr="0071582E">
        <w:t xml:space="preserve"> </w:t>
      </w:r>
      <w:proofErr w:type="spellStart"/>
      <w:r w:rsidRPr="0071582E">
        <w:t>Pharmacol</w:t>
      </w:r>
      <w:proofErr w:type="spellEnd"/>
      <w:r w:rsidRPr="0071582E">
        <w:t xml:space="preserve"> </w:t>
      </w:r>
      <w:proofErr w:type="spellStart"/>
      <w:r w:rsidRPr="0071582E">
        <w:t>Ther</w:t>
      </w:r>
      <w:proofErr w:type="spellEnd"/>
      <w:r w:rsidRPr="0071582E">
        <w:t>. 2003 Mar;41(3):95-106.</w:t>
      </w:r>
    </w:p>
  </w:endnote>
  <w:endnote w:id="32">
    <w:p w:rsidR="00590B17" w:rsidRDefault="00590B17" w:rsidP="0036000A">
      <w:pPr>
        <w:pStyle w:val="FootnoteText"/>
      </w:pPr>
      <w:r>
        <w:rPr>
          <w:rStyle w:val="EndnoteReference"/>
        </w:rPr>
        <w:endnoteRef/>
      </w:r>
      <w:r>
        <w:t xml:space="preserve"> </w:t>
      </w:r>
      <w:r w:rsidRPr="00F87606">
        <w:t>Codeine-containing medicinal products for the treatment of cough or cold in paediatric patients</w:t>
      </w:r>
      <w:r>
        <w:t>: summary page. “</w:t>
      </w:r>
      <w:r w:rsidRPr="00F87606">
        <w:t>PRAC recommends restrictions on the use of codeine for cough and cold in children</w:t>
      </w:r>
      <w:r>
        <w:t>.”</w:t>
      </w:r>
      <w:r w:rsidRPr="00F87606">
        <w:t xml:space="preserve"> </w:t>
      </w:r>
      <w:r>
        <w:t xml:space="preserve">Available at: </w:t>
      </w:r>
      <w:hyperlink r:id="rId10" w:history="1">
        <w:r w:rsidRPr="00D837D4">
          <w:rPr>
            <w:rStyle w:val="Hyperlink"/>
          </w:rPr>
          <w:t>http://www.ema.europa.eu/ema/index.jsp?curl=pages/medicines/human/referrals/Codeine_containing_medicinal_products_for_the_treatment_of_cough_and_cold_in_paediatric_patients/human_referral_prac_000039.jsp&amp;mid=WC0b01ac05805c516f</w:t>
        </w:r>
      </w:hyperlink>
      <w:r>
        <w:t xml:space="preserve"> </w:t>
      </w:r>
    </w:p>
  </w:endnote>
  <w:endnote w:id="33">
    <w:p w:rsidR="00590B17" w:rsidRPr="00070CB9" w:rsidRDefault="00590B17" w:rsidP="0036000A">
      <w:pPr>
        <w:pStyle w:val="FootnoteText"/>
      </w:pPr>
      <w:r w:rsidRPr="00070CB9">
        <w:rPr>
          <w:rStyle w:val="EndnoteReference"/>
          <w:rFonts w:cstheme="minorHAnsi"/>
        </w:rPr>
        <w:endnoteRef/>
      </w:r>
      <w:r w:rsidRPr="00070CB9">
        <w:t xml:space="preserve"> Health Canada website statement</w:t>
      </w:r>
      <w:r>
        <w:t xml:space="preserve">. </w:t>
      </w:r>
      <w:r w:rsidRPr="005115F2">
        <w:t>Available at</w:t>
      </w:r>
      <w:r w:rsidRPr="00070CB9">
        <w:t>:</w:t>
      </w:r>
      <w:r>
        <w:t xml:space="preserve"> </w:t>
      </w:r>
      <w:r>
        <w:rPr>
          <w:rStyle w:val="Hyperlink"/>
          <w:rFonts w:cstheme="minorHAnsi"/>
        </w:rPr>
        <w:t xml:space="preserve"> </w:t>
      </w:r>
      <w:hyperlink r:id="rId11" w:history="1">
        <w:r w:rsidRPr="00A7513A">
          <w:rPr>
            <w:rStyle w:val="Hyperlink"/>
            <w:rFonts w:cstheme="minorHAnsi"/>
          </w:rPr>
          <w:t>http://www.healthycanadians.gc.ca/recall-alert-rappel-avis/hc-sc/2013/33915a-eng.php</w:t>
        </w:r>
      </w:hyperlink>
    </w:p>
  </w:endnote>
  <w:endnote w:id="34">
    <w:p w:rsidR="00590B17" w:rsidRPr="00070CB9" w:rsidRDefault="00590B17" w:rsidP="0036000A">
      <w:pPr>
        <w:pStyle w:val="FootnoteText"/>
      </w:pPr>
      <w:r w:rsidRPr="00070CB9">
        <w:rPr>
          <w:rStyle w:val="EndnoteReference"/>
          <w:rFonts w:cstheme="minorHAnsi"/>
        </w:rPr>
        <w:endnoteRef/>
      </w:r>
      <w:r w:rsidRPr="00070CB9">
        <w:t xml:space="preserve"> </w:t>
      </w:r>
      <w:proofErr w:type="spellStart"/>
      <w:r w:rsidRPr="00070CB9">
        <w:t>Medsafe</w:t>
      </w:r>
      <w:proofErr w:type="spellEnd"/>
      <w:r w:rsidRPr="00070CB9">
        <w:t xml:space="preserve"> (New Zealand) website statement</w:t>
      </w:r>
      <w:r>
        <w:t>. Available at</w:t>
      </w:r>
      <w:r w:rsidRPr="00070CB9">
        <w:t xml:space="preserve">: </w:t>
      </w:r>
      <w:hyperlink r:id="rId12" w:history="1">
        <w:r w:rsidRPr="00070CB9">
          <w:rPr>
            <w:rStyle w:val="Hyperlink"/>
            <w:rFonts w:cstheme="minorHAnsi"/>
          </w:rPr>
          <w:t>http://www.medsafe.govt.nz/profs/puarticles/ mar2013codeine.htm</w:t>
        </w:r>
      </w:hyperlink>
      <w:r>
        <w:rPr>
          <w:rStyle w:val="Hyperlink"/>
          <w:rFonts w:cstheme="minorHAnsi"/>
        </w:rPr>
        <w:t xml:space="preserve"> </w:t>
      </w:r>
    </w:p>
  </w:endnote>
  <w:endnote w:id="35">
    <w:p w:rsidR="00590B17" w:rsidRDefault="00590B17" w:rsidP="0036000A">
      <w:pPr>
        <w:pStyle w:val="FootnoteText"/>
      </w:pPr>
      <w:r>
        <w:rPr>
          <w:rStyle w:val="EndnoteReference"/>
        </w:rPr>
        <w:endnoteRef/>
      </w:r>
      <w:r>
        <w:t xml:space="preserve"> </w:t>
      </w:r>
      <w:proofErr w:type="spellStart"/>
      <w:r>
        <w:t>Medsafe</w:t>
      </w:r>
      <w:proofErr w:type="spellEnd"/>
      <w:r>
        <w:t xml:space="preserve"> advisory committee (MARC) minutes regarding codeine in cough and cold medicines for paediatric patients. Available at: </w:t>
      </w:r>
      <w:hyperlink r:id="rId13" w:anchor="3.2.4" w:history="1">
        <w:r w:rsidRPr="00D837D4">
          <w:rPr>
            <w:rStyle w:val="Hyperlink"/>
          </w:rPr>
          <w:t>http://www.medsafe.govt.nz/profs/adverse/Minutes160.htm#3.2.4</w:t>
        </w:r>
      </w:hyperlink>
      <w:r>
        <w:t xml:space="preserve"> </w:t>
      </w:r>
    </w:p>
  </w:endnote>
  <w:endnote w:id="36">
    <w:p w:rsidR="00590B17" w:rsidRDefault="00590B17" w:rsidP="0036000A">
      <w:pPr>
        <w:pStyle w:val="FootnoteText"/>
      </w:pPr>
      <w:r>
        <w:rPr>
          <w:rStyle w:val="EndnoteReference"/>
        </w:rPr>
        <w:endnoteRef/>
      </w:r>
      <w:r>
        <w:t xml:space="preserve"> SUSMP Number 6. Available at: </w:t>
      </w:r>
      <w:hyperlink r:id="rId14" w:history="1">
        <w:r w:rsidRPr="00AB5E50">
          <w:rPr>
            <w:rStyle w:val="Hyperlink"/>
          </w:rPr>
          <w:t>http://www.comlaw.gov.au/Details/F2015L00128</w:t>
        </w:r>
      </w:hyperlink>
    </w:p>
  </w:endnote>
  <w:endnote w:id="37">
    <w:p w:rsidR="00590B17" w:rsidRDefault="00590B17" w:rsidP="00986C25">
      <w:pPr>
        <w:pStyle w:val="FootnoteText"/>
      </w:pPr>
      <w:r>
        <w:rPr>
          <w:rStyle w:val="EndnoteReference"/>
        </w:rPr>
        <w:endnoteRef/>
      </w:r>
      <w:r>
        <w:t xml:space="preserve"> TRIM document R15/55993: </w:t>
      </w:r>
      <w:r w:rsidRPr="00A02F0F">
        <w:t>Codeine containing products f</w:t>
      </w:r>
      <w:r>
        <w:t>rom Reporter search of the ARTG.</w:t>
      </w:r>
    </w:p>
  </w:endnote>
  <w:endnote w:id="38">
    <w:p w:rsidR="00590B17" w:rsidRPr="007E18D3" w:rsidRDefault="00590B17" w:rsidP="0036000A">
      <w:pPr>
        <w:pStyle w:val="FootnoteText"/>
      </w:pPr>
      <w:r w:rsidRPr="00070CB9">
        <w:rPr>
          <w:rStyle w:val="EndnoteReference"/>
        </w:rPr>
        <w:endnoteRef/>
      </w:r>
      <w:r w:rsidRPr="00070CB9">
        <w:t xml:space="preserve"> </w:t>
      </w:r>
      <w:r>
        <w:t xml:space="preserve">TRIM document </w:t>
      </w:r>
      <w:r w:rsidRPr="005115F2">
        <w:t>R14/375537</w:t>
      </w:r>
      <w:r>
        <w:t xml:space="preserve">: </w:t>
      </w:r>
      <w:r w:rsidRPr="007E18D3">
        <w:t>Required advisory statemen</w:t>
      </w:r>
      <w:r>
        <w:t>ts for medicine labels (RASML).</w:t>
      </w:r>
    </w:p>
  </w:endnote>
  <w:endnote w:id="39">
    <w:p w:rsidR="00590B17" w:rsidRDefault="00590B17" w:rsidP="00E73849">
      <w:pPr>
        <w:pStyle w:val="FootnoteText"/>
      </w:pPr>
      <w:r>
        <w:rPr>
          <w:rStyle w:val="EndnoteReference"/>
        </w:rPr>
        <w:endnoteRef/>
      </w:r>
      <w:r>
        <w:t xml:space="preserve"> </w:t>
      </w:r>
      <w:r w:rsidRPr="005115F2">
        <w:t>Medicines Advisory Statements Specification</w:t>
      </w:r>
      <w:r>
        <w:t xml:space="preserve">: source of </w:t>
      </w:r>
      <w:r w:rsidRPr="005115F2">
        <w:t>Required advisory statements for medicine labels</w:t>
      </w:r>
      <w:r>
        <w:t>. Available at:</w:t>
      </w:r>
      <w:r w:rsidRPr="005115F2">
        <w:t xml:space="preserve"> </w:t>
      </w:r>
      <w:hyperlink r:id="rId15" w:history="1">
        <w:r w:rsidRPr="00E323A8">
          <w:rPr>
            <w:rStyle w:val="Hyperlink"/>
          </w:rPr>
          <w:t>http://www.comlaw.gov.au/Details/F2014L00693</w:t>
        </w:r>
      </w:hyperlink>
      <w:r>
        <w:t xml:space="preserve"> </w:t>
      </w:r>
    </w:p>
  </w:endnote>
  <w:endnote w:id="40">
    <w:p w:rsidR="00590B17" w:rsidRDefault="00590B17" w:rsidP="00CC0E48">
      <w:pPr>
        <w:pStyle w:val="FootnoteText"/>
      </w:pPr>
      <w:r>
        <w:rPr>
          <w:rStyle w:val="EndnoteReference"/>
        </w:rPr>
        <w:endnoteRef/>
      </w:r>
      <w:r>
        <w:t xml:space="preserve"> OTC cough and cold medicines for children – Final outcomes of TGA review. Available at: </w:t>
      </w:r>
      <w:hyperlink r:id="rId16" w:history="1">
        <w:r w:rsidRPr="00BA1963">
          <w:rPr>
            <w:rStyle w:val="Hyperlink"/>
          </w:rPr>
          <w:t>https://www.tga.gov.au/otc-cough-and-cold-medicines-children-final-outcomes-tga-review</w:t>
        </w:r>
      </w:hyperlink>
      <w:r>
        <w:t xml:space="preserve"> </w:t>
      </w:r>
    </w:p>
  </w:endnote>
  <w:endnote w:id="41">
    <w:p w:rsidR="00590B17" w:rsidRDefault="00590B17" w:rsidP="0036000A">
      <w:pPr>
        <w:pStyle w:val="FootnoteText"/>
      </w:pPr>
      <w:r>
        <w:rPr>
          <w:rStyle w:val="EndnoteReference"/>
        </w:rPr>
        <w:endnoteRef/>
      </w:r>
      <w:r>
        <w:t xml:space="preserve"> </w:t>
      </w:r>
      <w:r w:rsidRPr="00803CF7">
        <w:t>ARGOM Appendix 5: Guidelines on OTC application for specific substances, p22. V1</w:t>
      </w:r>
      <w:r>
        <w:t xml:space="preserve">.0 October 2012. Available at: </w:t>
      </w:r>
      <w:hyperlink r:id="rId17" w:history="1">
        <w:r w:rsidRPr="00E323A8">
          <w:rPr>
            <w:rStyle w:val="Hyperlink"/>
          </w:rPr>
          <w:t>https://www.tga.gov.au/publication/argom-appendix-5-guidelines-otc-applications-specific-substances</w:t>
        </w:r>
      </w:hyperlink>
    </w:p>
  </w:endnote>
  <w:endnote w:id="42">
    <w:p w:rsidR="00590B17" w:rsidRDefault="00590B17" w:rsidP="0036000A">
      <w:pPr>
        <w:pStyle w:val="FootnoteText"/>
      </w:pPr>
      <w:r>
        <w:rPr>
          <w:rStyle w:val="EndnoteReference"/>
        </w:rPr>
        <w:endnoteRef/>
      </w:r>
      <w:r>
        <w:t xml:space="preserve"> </w:t>
      </w:r>
      <w:r w:rsidRPr="008202EC">
        <w:t>Codeine rescheduling - information for sponsors</w:t>
      </w:r>
      <w:r>
        <w:t xml:space="preserve"> (24 Feb 2010) including Core PI and CMI document templates. Available at: </w:t>
      </w:r>
      <w:hyperlink r:id="rId18" w:history="1">
        <w:r w:rsidRPr="00726086">
          <w:rPr>
            <w:rStyle w:val="Hyperlink"/>
          </w:rPr>
          <w:t>https://www.tga.gov.au/codeine-rescheduling-information-sponsors</w:t>
        </w:r>
      </w:hyperlink>
      <w:r>
        <w:t xml:space="preserve"> </w:t>
      </w:r>
    </w:p>
  </w:endnote>
  <w:endnote w:id="43">
    <w:p w:rsidR="00590B17" w:rsidRPr="00070CB9" w:rsidRDefault="00590B17" w:rsidP="0036000A">
      <w:pPr>
        <w:pStyle w:val="FootnoteText"/>
      </w:pPr>
      <w:r w:rsidRPr="00070CB9">
        <w:rPr>
          <w:rStyle w:val="EndnoteReference"/>
        </w:rPr>
        <w:endnoteRef/>
      </w:r>
      <w:r w:rsidRPr="00070CB9">
        <w:t xml:space="preserve"> Monthly Index of Medical Specialties (MIMS) online pharmaceutical products guide. Available at: </w:t>
      </w:r>
    </w:p>
    <w:p w:rsidR="00590B17" w:rsidRPr="00070CB9" w:rsidRDefault="00E844E6" w:rsidP="0036000A">
      <w:pPr>
        <w:pStyle w:val="FootnoteText"/>
      </w:pPr>
      <w:hyperlink r:id="rId19" w:history="1">
        <w:r w:rsidR="00590B17" w:rsidRPr="00070CB9">
          <w:rPr>
            <w:rStyle w:val="Hyperlink"/>
          </w:rPr>
          <w:t>https://www.mimsonline.com.au/Search/Search.aspx</w:t>
        </w:r>
      </w:hyperlink>
    </w:p>
  </w:endnote>
  <w:endnote w:id="44">
    <w:p w:rsidR="00590B17" w:rsidRDefault="00590B17" w:rsidP="0036000A">
      <w:pPr>
        <w:pStyle w:val="FootnoteText"/>
      </w:pPr>
      <w:r w:rsidRPr="00842593">
        <w:rPr>
          <w:rStyle w:val="EndnoteReference"/>
        </w:rPr>
        <w:endnoteRef/>
      </w:r>
      <w:r w:rsidRPr="00842593">
        <w:t xml:space="preserve"> The Australian Medicines Handbook. Available</w:t>
      </w:r>
      <w:r>
        <w:t xml:space="preserve"> via TGA library services</w:t>
      </w:r>
      <w:r w:rsidRPr="00842593">
        <w:t xml:space="preserve"> at: </w:t>
      </w:r>
      <w:hyperlink r:id="rId20" w:history="1">
        <w:r w:rsidRPr="00E323A8">
          <w:rPr>
            <w:rStyle w:val="Hyperlink"/>
          </w:rPr>
          <w:t>https://amhonline.amh.net.au/</w:t>
        </w:r>
      </w:hyperlink>
      <w:r>
        <w:t xml:space="preserve"> </w:t>
      </w:r>
    </w:p>
  </w:endnote>
  <w:endnote w:id="45">
    <w:p w:rsidR="00590B17" w:rsidRPr="00070CB9" w:rsidRDefault="00590B17" w:rsidP="0036000A">
      <w:pPr>
        <w:pStyle w:val="FootnoteText"/>
      </w:pPr>
      <w:r w:rsidRPr="00070CB9">
        <w:rPr>
          <w:rStyle w:val="EndnoteReference"/>
          <w:rFonts w:cstheme="minorHAnsi"/>
        </w:rPr>
        <w:endnoteRef/>
      </w:r>
      <w:r w:rsidRPr="00070CB9">
        <w:t xml:space="preserve"> The Therapeutic Guid</w:t>
      </w:r>
      <w:r>
        <w:t>e</w:t>
      </w:r>
      <w:r w:rsidRPr="00070CB9">
        <w:t xml:space="preserve">lines website. Available </w:t>
      </w:r>
      <w:r w:rsidRPr="00761477">
        <w:t xml:space="preserve">via TGA library services </w:t>
      </w:r>
      <w:r w:rsidRPr="00070CB9">
        <w:t xml:space="preserve">at: </w:t>
      </w:r>
      <w:hyperlink r:id="rId21" w:history="1">
        <w:r w:rsidRPr="00070CB9">
          <w:rPr>
            <w:rStyle w:val="Hyperlink"/>
            <w:rFonts w:cstheme="minorHAnsi"/>
          </w:rPr>
          <w:t>http://online.tg.org.au/ip/desktop/index.htm</w:t>
        </w:r>
      </w:hyperlink>
    </w:p>
  </w:endnote>
  <w:endnote w:id="46">
    <w:p w:rsidR="00590B17" w:rsidRPr="00070CB9" w:rsidRDefault="00590B17" w:rsidP="0036000A">
      <w:pPr>
        <w:pStyle w:val="FootnoteText"/>
      </w:pPr>
      <w:r w:rsidRPr="00070CB9">
        <w:rPr>
          <w:rStyle w:val="EndnoteReference"/>
        </w:rPr>
        <w:endnoteRef/>
      </w:r>
      <w:r w:rsidRPr="00070CB9">
        <w:t xml:space="preserve"> TRIM document R1</w:t>
      </w:r>
      <w:r>
        <w:t>5</w:t>
      </w:r>
      <w:r w:rsidRPr="00070CB9">
        <w:t>/</w:t>
      </w:r>
      <w:r>
        <w:t xml:space="preserve">88205: </w:t>
      </w:r>
      <w:r w:rsidRPr="00070CB9">
        <w:t xml:space="preserve">ADRS search (CLL output) for respiratory effects of codeine in children </w:t>
      </w:r>
    </w:p>
  </w:endnote>
  <w:endnote w:id="47">
    <w:p w:rsidR="00590B17" w:rsidRDefault="00590B17" w:rsidP="0036000A">
      <w:pPr>
        <w:pStyle w:val="FootnoteText"/>
      </w:pPr>
      <w:r>
        <w:rPr>
          <w:rStyle w:val="EndnoteReference"/>
        </w:rPr>
        <w:endnoteRef/>
      </w:r>
      <w:r>
        <w:t xml:space="preserve"> WHO guidelines on the pharmacological treatment of persisting pain in children with </w:t>
      </w:r>
      <w:r w:rsidRPr="000B1D88">
        <w:t>medical illnesses</w:t>
      </w:r>
      <w:r>
        <w:t>. Available at:</w:t>
      </w:r>
      <w:r w:rsidRPr="000B1D88">
        <w:t xml:space="preserve"> </w:t>
      </w:r>
      <w:hyperlink r:id="rId22" w:history="1">
        <w:r w:rsidRPr="00726656">
          <w:rPr>
            <w:rStyle w:val="Hyperlink"/>
          </w:rPr>
          <w:t>http://whqlibdoc.who.int/publications/2012/9789241548120_Guidelines.pdf</w:t>
        </w:r>
      </w:hyperlink>
      <w:r>
        <w:t xml:space="preserve"> </w:t>
      </w:r>
    </w:p>
  </w:endnote>
  <w:endnote w:id="48">
    <w:p w:rsidR="00590B17" w:rsidRDefault="00590B17" w:rsidP="0036000A">
      <w:pPr>
        <w:pStyle w:val="FootnoteText"/>
      </w:pPr>
      <w:r>
        <w:rPr>
          <w:rStyle w:val="EndnoteReference"/>
        </w:rPr>
        <w:endnoteRef/>
      </w:r>
      <w:r>
        <w:t xml:space="preserve"> TRIM document R15/109765: </w:t>
      </w:r>
      <w:proofErr w:type="spellStart"/>
      <w:r>
        <w:t>Dorkham</w:t>
      </w:r>
      <w:proofErr w:type="spellEnd"/>
      <w:r>
        <w:t xml:space="preserve"> et al. (2014) </w:t>
      </w:r>
      <w:r w:rsidRPr="00492CFF">
        <w:rPr>
          <w:i/>
        </w:rPr>
        <w:t>Effective postoperative pain management in children after ambulatory surgery, with a focus on tonsillectomy: barriers and possible solutions</w:t>
      </w:r>
      <w:r>
        <w:t xml:space="preserve">. </w:t>
      </w:r>
      <w:r w:rsidRPr="000B3DF6">
        <w:t xml:space="preserve">Paediatric </w:t>
      </w:r>
      <w:proofErr w:type="spellStart"/>
      <w:r w:rsidRPr="000B3DF6">
        <w:t>Anesthesia</w:t>
      </w:r>
      <w:proofErr w:type="spellEnd"/>
      <w:r w:rsidRPr="000B3DF6">
        <w:t>; 24: 239-248.</w:t>
      </w:r>
    </w:p>
  </w:endnote>
  <w:endnote w:id="49">
    <w:p w:rsidR="00590B17" w:rsidRDefault="00590B17" w:rsidP="0036000A">
      <w:pPr>
        <w:pStyle w:val="FootnoteText"/>
      </w:pPr>
      <w:r>
        <w:rPr>
          <w:rStyle w:val="EndnoteReference"/>
        </w:rPr>
        <w:endnoteRef/>
      </w:r>
      <w:r>
        <w:t xml:space="preserve"> </w:t>
      </w:r>
      <w:proofErr w:type="spellStart"/>
      <w:r w:rsidRPr="002B7E60">
        <w:t>Nierengarten</w:t>
      </w:r>
      <w:proofErr w:type="spellEnd"/>
      <w:r w:rsidRPr="002B7E60">
        <w:t xml:space="preserve"> MB. </w:t>
      </w:r>
      <w:r w:rsidRPr="00492CFF">
        <w:rPr>
          <w:i/>
        </w:rPr>
        <w:t>Post-Operative Pain in Children Undergoing Tonsillectomy.</w:t>
      </w:r>
      <w:r w:rsidRPr="002B7E60">
        <w:t xml:space="preserve"> ENT Today, Sept 2012. </w:t>
      </w:r>
      <w:r>
        <w:t xml:space="preserve">Saved at </w:t>
      </w:r>
      <w:r w:rsidRPr="002B7E60">
        <w:t>R14/374467</w:t>
      </w:r>
      <w:r>
        <w:t>.</w:t>
      </w:r>
    </w:p>
  </w:endnote>
  <w:endnote w:id="50">
    <w:p w:rsidR="00590B17" w:rsidRDefault="00590B17" w:rsidP="0036000A">
      <w:pPr>
        <w:pStyle w:val="FootnoteText"/>
      </w:pPr>
      <w:r>
        <w:rPr>
          <w:rStyle w:val="EndnoteReference"/>
        </w:rPr>
        <w:endnoteRef/>
      </w:r>
      <w:r>
        <w:t xml:space="preserve"> </w:t>
      </w:r>
      <w:r w:rsidRPr="00492CFF">
        <w:t>Lewis</w:t>
      </w:r>
      <w:r>
        <w:t xml:space="preserve"> SR</w:t>
      </w:r>
      <w:r w:rsidRPr="00492CFF">
        <w:t>, Nicholson</w:t>
      </w:r>
      <w:r>
        <w:t xml:space="preserve"> A, Cardwell ME, </w:t>
      </w:r>
      <w:proofErr w:type="spellStart"/>
      <w:r>
        <w:t>Siviter</w:t>
      </w:r>
      <w:proofErr w:type="spellEnd"/>
      <w:r>
        <w:t xml:space="preserve"> G and Smith</w:t>
      </w:r>
      <w:r w:rsidRPr="00492CFF">
        <w:t xml:space="preserve"> </w:t>
      </w:r>
      <w:r>
        <w:t>AF</w:t>
      </w:r>
      <w:r w:rsidRPr="00492CFF">
        <w:t xml:space="preserve"> (2013) </w:t>
      </w:r>
      <w:r w:rsidRPr="00492CFF">
        <w:rPr>
          <w:i/>
        </w:rPr>
        <w:t>Nonsteroidal anti-inflammatory drugs and perioperative bleeding in paediatric tonsillectomy.</w:t>
      </w:r>
      <w:r w:rsidRPr="00492CFF">
        <w:t xml:space="preserve"> Cochrane Database </w:t>
      </w:r>
      <w:proofErr w:type="spellStart"/>
      <w:r w:rsidRPr="00492CFF">
        <w:t>Syst</w:t>
      </w:r>
      <w:proofErr w:type="spellEnd"/>
      <w:r w:rsidRPr="00492CFF">
        <w:t xml:space="preserve"> Rev. 2013 Jul 18;7:CD003591. </w:t>
      </w:r>
      <w:proofErr w:type="spellStart"/>
      <w:r w:rsidRPr="00492CFF">
        <w:t>doi</w:t>
      </w:r>
      <w:proofErr w:type="spellEnd"/>
      <w:r w:rsidRPr="00492CFF">
        <w:t>: 10.1002/14651858.CD003591.pub3.</w:t>
      </w:r>
    </w:p>
  </w:endnote>
  <w:endnote w:id="51">
    <w:p w:rsidR="00590B17" w:rsidRDefault="00590B17" w:rsidP="0036000A">
      <w:pPr>
        <w:pStyle w:val="FootnoteText"/>
      </w:pPr>
      <w:r>
        <w:rPr>
          <w:rStyle w:val="EndnoteReference"/>
        </w:rPr>
        <w:endnoteRef/>
      </w:r>
      <w:r>
        <w:t xml:space="preserve"> </w:t>
      </w:r>
      <w:proofErr w:type="spellStart"/>
      <w:r>
        <w:t>Riggin</w:t>
      </w:r>
      <w:proofErr w:type="spellEnd"/>
      <w:r>
        <w:t xml:space="preserve"> L, Ramakrishna J, </w:t>
      </w:r>
      <w:proofErr w:type="spellStart"/>
      <w:r>
        <w:t>Sommer</w:t>
      </w:r>
      <w:proofErr w:type="spellEnd"/>
      <w:r>
        <w:t xml:space="preserve"> DD, </w:t>
      </w:r>
      <w:proofErr w:type="spellStart"/>
      <w:r>
        <w:t>Koren</w:t>
      </w:r>
      <w:proofErr w:type="spellEnd"/>
      <w:r>
        <w:t xml:space="preserve"> G. (2013) A 2013 updated systematic review &amp; meta-analysis of 36 randomized controlled trials; no apparent effects of non-steroidal anti-inflammatory agents on the risk of bleeding after tonsillectomy. </w:t>
      </w:r>
      <w:proofErr w:type="spellStart"/>
      <w:r>
        <w:t>Clin</w:t>
      </w:r>
      <w:proofErr w:type="spellEnd"/>
      <w:r>
        <w:t xml:space="preserve"> </w:t>
      </w:r>
      <w:proofErr w:type="spellStart"/>
      <w:r>
        <w:t>Otolaryngol</w:t>
      </w:r>
      <w:proofErr w:type="spellEnd"/>
      <w:r>
        <w:t xml:space="preserve">. 2013 Apr;38(2):115-29. </w:t>
      </w:r>
      <w:proofErr w:type="spellStart"/>
      <w:r>
        <w:t>doi</w:t>
      </w:r>
      <w:proofErr w:type="spellEnd"/>
      <w:r>
        <w:t>: 10.1111/coa.12106. Review. PubMed PMID: 23448586.</w:t>
      </w:r>
    </w:p>
  </w:endnote>
  <w:endnote w:id="52">
    <w:p w:rsidR="00590B17" w:rsidRDefault="00590B17" w:rsidP="0036000A">
      <w:pPr>
        <w:pStyle w:val="FootnoteText"/>
      </w:pPr>
      <w:r>
        <w:rPr>
          <w:rStyle w:val="EndnoteReference"/>
        </w:rPr>
        <w:endnoteRef/>
      </w:r>
      <w:r>
        <w:t xml:space="preserve"> TRIM document R15/107671:</w:t>
      </w:r>
      <w:r w:rsidRPr="00BE6280">
        <w:t xml:space="preserve"> </w:t>
      </w:r>
      <w:r w:rsidRPr="00492CFF">
        <w:t xml:space="preserve">Postoperative Analgesia for Children After Tonsillectomy </w:t>
      </w:r>
      <w:r>
        <w:t xml:space="preserve">(Royal </w:t>
      </w:r>
      <w:proofErr w:type="spellStart"/>
      <w:r>
        <w:t>Childrens</w:t>
      </w:r>
      <w:proofErr w:type="spellEnd"/>
      <w:r>
        <w:t xml:space="preserve"> Hospital presentation). Downloaded on 06/02/2015 from: </w:t>
      </w:r>
      <w:hyperlink r:id="rId23" w:history="1">
        <w:r w:rsidRPr="00726656">
          <w:rPr>
            <w:rStyle w:val="Hyperlink"/>
          </w:rPr>
          <w:t>http://www.rch.org.au/uploadedFiles/Main/Content/anaes/Analgesia%20post%20tonsillectomy%202014.pdf</w:t>
        </w:r>
      </w:hyperlink>
    </w:p>
  </w:endnote>
  <w:endnote w:id="53">
    <w:p w:rsidR="00590B17" w:rsidRPr="00895EF0" w:rsidRDefault="00590B17" w:rsidP="00895EF0">
      <w:pPr>
        <w:pStyle w:val="FootnoteText"/>
        <w:rPr>
          <w:color w:val="0000FF"/>
          <w:u w:val="single"/>
        </w:rPr>
      </w:pPr>
      <w:r>
        <w:rPr>
          <w:rStyle w:val="EndnoteReference"/>
        </w:rPr>
        <w:endnoteRef/>
      </w:r>
      <w:r>
        <w:t xml:space="preserve"> FDA label for </w:t>
      </w:r>
      <w:r w:rsidRPr="002D1367">
        <w:t>acetaminophen and codeine phosphate solution</w:t>
      </w:r>
      <w:r>
        <w:t xml:space="preserve"> accessed via FDA Daily Med website. Available at:</w:t>
      </w:r>
      <w:r w:rsidRPr="002D1367">
        <w:t xml:space="preserve"> </w:t>
      </w:r>
      <w:hyperlink r:id="rId24" w:history="1">
        <w:r w:rsidRPr="00F65C66">
          <w:rPr>
            <w:rStyle w:val="Hyperlink"/>
          </w:rPr>
          <w:t>http://dailymed.nlm.nih.gov/dailymed/drugInfo.cfm?setid=e1da6cd0-97fb-4dc4-b754-485ff364e35f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590B17" w:rsidRPr="00257138" w:rsidTr="000B30E5">
      <w:trPr>
        <w:trHeight w:val="423"/>
      </w:trPr>
      <w:tc>
        <w:tcPr>
          <w:tcW w:w="4360" w:type="dxa"/>
          <w:tcBorders>
            <w:top w:val="single" w:sz="4" w:space="0" w:color="auto"/>
          </w:tcBorders>
        </w:tcPr>
        <w:p w:rsidR="00590B17" w:rsidRDefault="00590B17" w:rsidP="000B30E5">
          <w:pPr>
            <w:pStyle w:val="Footer"/>
          </w:pPr>
        </w:p>
        <w:p w:rsidR="00590B17" w:rsidRPr="00257138" w:rsidRDefault="00590B17" w:rsidP="00406DB9">
          <w:pPr>
            <w:pStyle w:val="Footer"/>
          </w:pPr>
          <w:r w:rsidRPr="00257138">
            <w:t>Document title</w:t>
          </w:r>
        </w:p>
      </w:tc>
      <w:tc>
        <w:tcPr>
          <w:tcW w:w="4360" w:type="dxa"/>
          <w:tcBorders>
            <w:top w:val="single" w:sz="4" w:space="0" w:color="auto"/>
          </w:tcBorders>
        </w:tcPr>
        <w:sdt>
          <w:sdtPr>
            <w:id w:val="11571765"/>
            <w:docPartObj>
              <w:docPartGallery w:val="Page Numbers (Top of Page)"/>
              <w:docPartUnique/>
            </w:docPartObj>
          </w:sdtPr>
          <w:sdtEndPr/>
          <w:sdtContent>
            <w:p w:rsidR="00590B17" w:rsidRDefault="00590B17" w:rsidP="000B30E5">
              <w:pPr>
                <w:pStyle w:val="Footer"/>
                <w:jc w:val="right"/>
              </w:pPr>
            </w:p>
            <w:p w:rsidR="00590B17" w:rsidRPr="00257138" w:rsidRDefault="00590B17" w:rsidP="000B30E5">
              <w:pPr>
                <w:pStyle w:val="Footer"/>
                <w:jc w:val="right"/>
              </w:pPr>
              <w:r w:rsidRPr="00257138">
                <w:t xml:space="preserve">Page </w:t>
              </w:r>
              <w:r>
                <w:fldChar w:fldCharType="begin"/>
              </w:r>
              <w:r>
                <w:instrText xml:space="preserve"> PAGE </w:instrText>
              </w:r>
              <w:r>
                <w:fldChar w:fldCharType="separate"/>
              </w:r>
              <w:r>
                <w:rPr>
                  <w:noProof/>
                </w:rPr>
                <w:t>4</w:t>
              </w:r>
              <w:r>
                <w:rPr>
                  <w:noProof/>
                </w:rPr>
                <w:fldChar w:fldCharType="end"/>
              </w:r>
              <w:r w:rsidRPr="00257138">
                <w:t xml:space="preserve"> of </w:t>
              </w:r>
              <w:r w:rsidR="00E844E6">
                <w:fldChar w:fldCharType="begin"/>
              </w:r>
              <w:r w:rsidR="00E844E6">
                <w:instrText xml:space="preserve"> NUMPAGES  </w:instrText>
              </w:r>
              <w:r w:rsidR="00E844E6">
                <w:fldChar w:fldCharType="separate"/>
              </w:r>
              <w:r>
                <w:rPr>
                  <w:noProof/>
                </w:rPr>
                <w:t>1</w:t>
              </w:r>
              <w:r w:rsidR="00E844E6">
                <w:rPr>
                  <w:noProof/>
                </w:rPr>
                <w:fldChar w:fldCharType="end"/>
              </w:r>
            </w:p>
          </w:sdtContent>
        </w:sdt>
      </w:tc>
    </w:tr>
    <w:tr w:rsidR="00590B17" w:rsidRPr="00257138" w:rsidTr="000B30E5">
      <w:trPr>
        <w:trHeight w:val="263"/>
      </w:trPr>
      <w:tc>
        <w:tcPr>
          <w:tcW w:w="4360" w:type="dxa"/>
        </w:tcPr>
        <w:p w:rsidR="00590B17" w:rsidRPr="00257138" w:rsidRDefault="00590B17" w:rsidP="000B30E5">
          <w:pPr>
            <w:pStyle w:val="Footer"/>
          </w:pPr>
          <w:r w:rsidRPr="00257138">
            <w:t xml:space="preserve">V1.0 </w:t>
          </w:r>
          <w:r>
            <w:t>Month</w:t>
          </w:r>
          <w:r w:rsidRPr="00257138">
            <w:t xml:space="preserve"> 201</w:t>
          </w:r>
          <w:r>
            <w:t>2</w:t>
          </w:r>
        </w:p>
      </w:tc>
      <w:tc>
        <w:tcPr>
          <w:tcW w:w="4360" w:type="dxa"/>
        </w:tcPr>
        <w:p w:rsidR="00590B17" w:rsidRPr="00257138" w:rsidRDefault="00590B17" w:rsidP="000B30E5">
          <w:pPr>
            <w:pStyle w:val="Footer"/>
            <w:jc w:val="right"/>
          </w:pPr>
        </w:p>
      </w:tc>
    </w:tr>
  </w:tbl>
  <w:p w:rsidR="00590B17" w:rsidRPr="00826007" w:rsidRDefault="00590B17" w:rsidP="000B30E5">
    <w:pPr>
      <w:pStyle w:val="Footer"/>
      <w:tabs>
        <w:tab w:val="left" w:pos="7620"/>
        <w:tab w:val="right" w:pos="850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17" w:rsidRDefault="00590B17" w:rsidP="00816164">
    <w:pPr>
      <w:pStyle w:val="Footer"/>
      <w:ind w:left="-1701"/>
    </w:pPr>
    <w:r w:rsidRPr="002B29B2">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17" w:rsidRPr="00BC2153" w:rsidRDefault="00590B17">
    <w:pPr>
      <w:pStyle w:val="Footer"/>
      <w:jc w:val="right"/>
      <w:rPr>
        <w:rFonts w:cstheme="minorHAnsi"/>
      </w:r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4A0" w:firstRow="1" w:lastRow="0" w:firstColumn="1" w:lastColumn="0" w:noHBand="0" w:noVBand="1"/>
    </w:tblPr>
    <w:tblGrid>
      <w:gridCol w:w="7288"/>
      <w:gridCol w:w="1286"/>
    </w:tblGrid>
    <w:tr w:rsidR="00590B17" w:rsidRPr="00C23B6E" w:rsidTr="00874C21">
      <w:trPr>
        <w:trHeight w:hRule="exact" w:val="622"/>
      </w:trPr>
      <w:tc>
        <w:tcPr>
          <w:tcW w:w="7288" w:type="dxa"/>
          <w:tcBorders>
            <w:top w:val="single" w:sz="4" w:space="0" w:color="auto"/>
          </w:tcBorders>
        </w:tcPr>
        <w:p w:rsidR="00590B17" w:rsidRPr="00AF3B95" w:rsidRDefault="00590B17" w:rsidP="00874C21">
          <w:pPr>
            <w:pStyle w:val="Footer"/>
            <w:spacing w:before="240"/>
            <w:rPr>
              <w:szCs w:val="20"/>
            </w:rPr>
          </w:pPr>
          <w:r w:rsidRPr="00AF3B95">
            <w:rPr>
              <w:szCs w:val="20"/>
            </w:rPr>
            <w:t>S</w:t>
          </w:r>
          <w:r>
            <w:rPr>
              <w:szCs w:val="20"/>
            </w:rPr>
            <w:t>afety review</w:t>
          </w:r>
          <w:r w:rsidRPr="00AF3B95">
            <w:rPr>
              <w:szCs w:val="20"/>
            </w:rPr>
            <w:t>: C</w:t>
          </w:r>
          <w:r>
            <w:rPr>
              <w:szCs w:val="20"/>
            </w:rPr>
            <w:t>odeine use in children and ultra-rapid metabolisers</w:t>
          </w:r>
        </w:p>
      </w:tc>
      <w:tc>
        <w:tcPr>
          <w:tcW w:w="1286" w:type="dxa"/>
          <w:tcBorders>
            <w:top w:val="single" w:sz="4" w:space="0" w:color="auto"/>
          </w:tcBorders>
        </w:tcPr>
        <w:sdt>
          <w:sdtPr>
            <w:id w:val="1627738408"/>
            <w:docPartObj>
              <w:docPartGallery w:val="Page Numbers (Top of Page)"/>
              <w:docPartUnique/>
            </w:docPartObj>
          </w:sdtPr>
          <w:sdtEndPr/>
          <w:sdtContent>
            <w:p w:rsidR="00590B17" w:rsidRPr="00C23B6E" w:rsidRDefault="00590B17" w:rsidP="00874C21">
              <w:pPr>
                <w:pStyle w:val="Footer"/>
                <w:spacing w:before="240"/>
                <w:rPr>
                  <w:szCs w:val="20"/>
                </w:rPr>
              </w:pPr>
              <w:r w:rsidRPr="00C23B6E">
                <w:rPr>
                  <w:szCs w:val="20"/>
                </w:rPr>
                <w:t xml:space="preserve">Page </w:t>
              </w:r>
              <w:r w:rsidRPr="00C23B6E">
                <w:fldChar w:fldCharType="begin"/>
              </w:r>
              <w:r w:rsidRPr="00C23B6E">
                <w:rPr>
                  <w:szCs w:val="20"/>
                </w:rPr>
                <w:instrText xml:space="preserve"> PAGE </w:instrText>
              </w:r>
              <w:r w:rsidRPr="00C23B6E">
                <w:fldChar w:fldCharType="separate"/>
              </w:r>
              <w:r w:rsidR="00E844E6">
                <w:rPr>
                  <w:noProof/>
                  <w:szCs w:val="20"/>
                </w:rPr>
                <w:t>31</w:t>
              </w:r>
              <w:r w:rsidRPr="00C23B6E">
                <w:fldChar w:fldCharType="end"/>
              </w:r>
              <w:r w:rsidRPr="00C23B6E">
                <w:rPr>
                  <w:szCs w:val="20"/>
                </w:rPr>
                <w:t xml:space="preserve"> of </w:t>
              </w:r>
              <w:r w:rsidRPr="00C23B6E">
                <w:fldChar w:fldCharType="begin"/>
              </w:r>
              <w:r w:rsidRPr="00C23B6E">
                <w:rPr>
                  <w:szCs w:val="20"/>
                </w:rPr>
                <w:instrText xml:space="preserve"> NUMPAGES  </w:instrText>
              </w:r>
              <w:r w:rsidRPr="00C23B6E">
                <w:fldChar w:fldCharType="separate"/>
              </w:r>
              <w:r w:rsidR="00E844E6">
                <w:rPr>
                  <w:noProof/>
                  <w:szCs w:val="20"/>
                </w:rPr>
                <w:t>31</w:t>
              </w:r>
              <w:r w:rsidRPr="00C23B6E">
                <w:fldChar w:fldCharType="end"/>
              </w:r>
            </w:p>
          </w:sdtContent>
        </w:sdt>
      </w:tc>
    </w:tr>
  </w:tbl>
  <w:p w:rsidR="00590B17" w:rsidRPr="00AB60C1" w:rsidRDefault="00590B17" w:rsidP="0006736C">
    <w:pPr>
      <w:pStyle w:val="Footer"/>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4A0" w:firstRow="1" w:lastRow="0" w:firstColumn="1" w:lastColumn="0" w:noHBand="0" w:noVBand="1"/>
    </w:tblPr>
    <w:tblGrid>
      <w:gridCol w:w="7288"/>
      <w:gridCol w:w="1286"/>
    </w:tblGrid>
    <w:tr w:rsidR="00590B17" w:rsidRPr="00C23B6E" w:rsidTr="00AB60C1">
      <w:trPr>
        <w:trHeight w:hRule="exact" w:val="622"/>
      </w:trPr>
      <w:tc>
        <w:tcPr>
          <w:tcW w:w="7288" w:type="dxa"/>
          <w:tcBorders>
            <w:top w:val="single" w:sz="4" w:space="0" w:color="auto"/>
          </w:tcBorders>
        </w:tcPr>
        <w:p w:rsidR="00590B17" w:rsidRPr="00AF3B95" w:rsidRDefault="00590B17" w:rsidP="00AB60C1">
          <w:pPr>
            <w:pStyle w:val="Footer"/>
            <w:spacing w:before="240"/>
            <w:rPr>
              <w:szCs w:val="20"/>
            </w:rPr>
          </w:pPr>
          <w:r w:rsidRPr="00AF3B95">
            <w:rPr>
              <w:szCs w:val="20"/>
            </w:rPr>
            <w:t>S</w:t>
          </w:r>
          <w:r>
            <w:rPr>
              <w:szCs w:val="20"/>
            </w:rPr>
            <w:t>afety review</w:t>
          </w:r>
          <w:r w:rsidRPr="00AF3B95">
            <w:rPr>
              <w:szCs w:val="20"/>
            </w:rPr>
            <w:t>: C</w:t>
          </w:r>
          <w:r>
            <w:rPr>
              <w:szCs w:val="20"/>
            </w:rPr>
            <w:t>odeine use in children and ultra-rapid metabolisers</w:t>
          </w:r>
          <w:r w:rsidRPr="00AF3B95">
            <w:rPr>
              <w:szCs w:val="20"/>
            </w:rPr>
            <w:t xml:space="preserve"> </w:t>
          </w:r>
        </w:p>
      </w:tc>
      <w:tc>
        <w:tcPr>
          <w:tcW w:w="1286" w:type="dxa"/>
          <w:tcBorders>
            <w:top w:val="single" w:sz="4" w:space="0" w:color="auto"/>
          </w:tcBorders>
        </w:tcPr>
        <w:sdt>
          <w:sdtPr>
            <w:id w:val="1261564070"/>
            <w:docPartObj>
              <w:docPartGallery w:val="Page Numbers (Top of Page)"/>
              <w:docPartUnique/>
            </w:docPartObj>
          </w:sdtPr>
          <w:sdtEndPr/>
          <w:sdtContent>
            <w:p w:rsidR="00590B17" w:rsidRPr="00C23B6E" w:rsidRDefault="00590B17" w:rsidP="00AB60C1">
              <w:pPr>
                <w:pStyle w:val="Footer"/>
                <w:spacing w:before="240"/>
                <w:rPr>
                  <w:szCs w:val="20"/>
                </w:rPr>
              </w:pPr>
              <w:r w:rsidRPr="00C23B6E">
                <w:rPr>
                  <w:szCs w:val="20"/>
                </w:rPr>
                <w:t xml:space="preserve">Page </w:t>
              </w:r>
              <w:r w:rsidRPr="00C23B6E">
                <w:fldChar w:fldCharType="begin"/>
              </w:r>
              <w:r w:rsidRPr="00C23B6E">
                <w:rPr>
                  <w:szCs w:val="20"/>
                </w:rPr>
                <w:instrText xml:space="preserve"> PAGE </w:instrText>
              </w:r>
              <w:r w:rsidRPr="00C23B6E">
                <w:fldChar w:fldCharType="separate"/>
              </w:r>
              <w:r w:rsidR="00E844E6">
                <w:rPr>
                  <w:noProof/>
                  <w:szCs w:val="20"/>
                </w:rPr>
                <w:t>2</w:t>
              </w:r>
              <w:r w:rsidRPr="00C23B6E">
                <w:fldChar w:fldCharType="end"/>
              </w:r>
              <w:r w:rsidRPr="00C23B6E">
                <w:rPr>
                  <w:szCs w:val="20"/>
                </w:rPr>
                <w:t xml:space="preserve"> of </w:t>
              </w:r>
              <w:r w:rsidRPr="00C23B6E">
                <w:fldChar w:fldCharType="begin"/>
              </w:r>
              <w:r w:rsidRPr="00C23B6E">
                <w:rPr>
                  <w:szCs w:val="20"/>
                </w:rPr>
                <w:instrText xml:space="preserve"> NUMPAGES  </w:instrText>
              </w:r>
              <w:r w:rsidRPr="00C23B6E">
                <w:fldChar w:fldCharType="separate"/>
              </w:r>
              <w:r w:rsidR="00E844E6">
                <w:rPr>
                  <w:noProof/>
                  <w:szCs w:val="20"/>
                </w:rPr>
                <w:t>5</w:t>
              </w:r>
              <w:r w:rsidRPr="00C23B6E">
                <w:fldChar w:fldCharType="end"/>
              </w:r>
            </w:p>
          </w:sdtContent>
        </w:sdt>
      </w:tc>
    </w:tr>
  </w:tbl>
  <w:p w:rsidR="00590B17" w:rsidRPr="00AB60C1" w:rsidRDefault="00590B17" w:rsidP="00AB60C1">
    <w:pPr>
      <w:pStyle w:val="Footer"/>
      <w:rPr>
        <w:sz w:val="2"/>
        <w:szCs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4A0" w:firstRow="1" w:lastRow="0" w:firstColumn="1" w:lastColumn="0" w:noHBand="0" w:noVBand="1"/>
    </w:tblPr>
    <w:tblGrid>
      <w:gridCol w:w="7242"/>
      <w:gridCol w:w="1278"/>
    </w:tblGrid>
    <w:tr w:rsidR="00590B17" w:rsidRPr="00C23B6E" w:rsidTr="00AB60C1">
      <w:trPr>
        <w:trHeight w:hRule="exact" w:val="629"/>
      </w:trPr>
      <w:tc>
        <w:tcPr>
          <w:tcW w:w="7242" w:type="dxa"/>
          <w:tcBorders>
            <w:top w:val="single" w:sz="4" w:space="0" w:color="auto"/>
          </w:tcBorders>
        </w:tcPr>
        <w:p w:rsidR="00590B17" w:rsidRPr="00AF3B95" w:rsidRDefault="00590B17" w:rsidP="00874C21">
          <w:pPr>
            <w:pStyle w:val="Footer"/>
            <w:spacing w:before="240"/>
            <w:rPr>
              <w:szCs w:val="20"/>
            </w:rPr>
          </w:pPr>
          <w:r w:rsidRPr="00AF3B95">
            <w:rPr>
              <w:szCs w:val="20"/>
            </w:rPr>
            <w:t>S</w:t>
          </w:r>
          <w:r>
            <w:rPr>
              <w:szCs w:val="20"/>
            </w:rPr>
            <w:t>afety review</w:t>
          </w:r>
          <w:r w:rsidRPr="00AF3B95">
            <w:rPr>
              <w:szCs w:val="20"/>
            </w:rPr>
            <w:t>: C</w:t>
          </w:r>
          <w:r>
            <w:rPr>
              <w:szCs w:val="20"/>
            </w:rPr>
            <w:t>odeine use in children and ultra-rapid metabolisers</w:t>
          </w:r>
          <w:r w:rsidRPr="00AF3B95">
            <w:rPr>
              <w:szCs w:val="20"/>
            </w:rPr>
            <w:t xml:space="preserve"> </w:t>
          </w:r>
        </w:p>
      </w:tc>
      <w:tc>
        <w:tcPr>
          <w:tcW w:w="1278" w:type="dxa"/>
          <w:tcBorders>
            <w:top w:val="single" w:sz="4" w:space="0" w:color="auto"/>
          </w:tcBorders>
        </w:tcPr>
        <w:sdt>
          <w:sdtPr>
            <w:id w:val="7348933"/>
            <w:docPartObj>
              <w:docPartGallery w:val="Page Numbers (Top of Page)"/>
              <w:docPartUnique/>
            </w:docPartObj>
          </w:sdtPr>
          <w:sdtEndPr/>
          <w:sdtContent>
            <w:p w:rsidR="00590B17" w:rsidRPr="00C23B6E" w:rsidRDefault="00590B17" w:rsidP="00874C21">
              <w:pPr>
                <w:pStyle w:val="Footer"/>
                <w:spacing w:before="240"/>
                <w:rPr>
                  <w:szCs w:val="20"/>
                </w:rPr>
              </w:pPr>
              <w:r w:rsidRPr="00C23B6E">
                <w:rPr>
                  <w:szCs w:val="20"/>
                </w:rPr>
                <w:t xml:space="preserve">Page </w:t>
              </w:r>
              <w:r w:rsidRPr="00C23B6E">
                <w:fldChar w:fldCharType="begin"/>
              </w:r>
              <w:r w:rsidRPr="00C23B6E">
                <w:rPr>
                  <w:szCs w:val="20"/>
                </w:rPr>
                <w:instrText xml:space="preserve"> PAGE </w:instrText>
              </w:r>
              <w:r w:rsidRPr="00C23B6E">
                <w:fldChar w:fldCharType="separate"/>
              </w:r>
              <w:r w:rsidR="00E844E6">
                <w:rPr>
                  <w:noProof/>
                  <w:szCs w:val="20"/>
                </w:rPr>
                <w:t>4</w:t>
              </w:r>
              <w:r w:rsidRPr="00C23B6E">
                <w:fldChar w:fldCharType="end"/>
              </w:r>
              <w:r w:rsidRPr="00C23B6E">
                <w:rPr>
                  <w:szCs w:val="20"/>
                </w:rPr>
                <w:t xml:space="preserve"> of </w:t>
              </w:r>
              <w:r w:rsidRPr="00C23B6E">
                <w:fldChar w:fldCharType="begin"/>
              </w:r>
              <w:r w:rsidRPr="00C23B6E">
                <w:rPr>
                  <w:szCs w:val="20"/>
                </w:rPr>
                <w:instrText xml:space="preserve"> NUMPAGES  </w:instrText>
              </w:r>
              <w:r w:rsidRPr="00C23B6E">
                <w:fldChar w:fldCharType="separate"/>
              </w:r>
              <w:r w:rsidR="00E844E6">
                <w:rPr>
                  <w:noProof/>
                  <w:szCs w:val="20"/>
                </w:rPr>
                <w:t>4</w:t>
              </w:r>
              <w:r w:rsidRPr="00C23B6E">
                <w:fldChar w:fldCharType="end"/>
              </w:r>
            </w:p>
          </w:sdtContent>
        </w:sdt>
      </w:tc>
    </w:tr>
  </w:tbl>
  <w:p w:rsidR="00590B17" w:rsidRPr="00AB60C1" w:rsidRDefault="00590B17" w:rsidP="004D40F9">
    <w:pPr>
      <w:pStyle w:val="Footer"/>
      <w:rPr>
        <w:sz w:val="2"/>
        <w:szCs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17" w:rsidRPr="008E3C43" w:rsidRDefault="00590B17" w:rsidP="008E3C4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17" w:rsidRPr="00BC2153" w:rsidRDefault="00590B17">
    <w:pPr>
      <w:pStyle w:val="Footer"/>
      <w:jc w:val="right"/>
      <w:rPr>
        <w:rFonts w:cstheme="minorHAnsi"/>
      </w:rPr>
    </w:pPr>
  </w:p>
  <w:p w:rsidR="00590B17" w:rsidRPr="00AB60C1" w:rsidRDefault="00590B17" w:rsidP="0006736C">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B17" w:rsidRDefault="00590B17" w:rsidP="00C40A36">
      <w:pPr>
        <w:spacing w:after="0"/>
      </w:pPr>
      <w:r>
        <w:separator/>
      </w:r>
    </w:p>
    <w:p w:rsidR="00590B17" w:rsidRDefault="00590B17"/>
  </w:footnote>
  <w:footnote w:type="continuationSeparator" w:id="0">
    <w:p w:rsidR="00590B17" w:rsidRDefault="00590B17" w:rsidP="00C40A36">
      <w:pPr>
        <w:spacing w:after="0"/>
      </w:pPr>
      <w:r>
        <w:continuationSeparator/>
      </w:r>
    </w:p>
    <w:p w:rsidR="00590B17" w:rsidRDefault="00590B1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17" w:rsidRDefault="00E844E6" w:rsidP="00C3408D">
    <w:pPr>
      <w:pStyle w:val="Header"/>
    </w:pPr>
    <w:sdt>
      <w:sdtPr>
        <w:id w:val="11571764"/>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13303" o:spid="_x0000_s2063" type="#_x0000_t136" style="position:absolute;left:0;text-align:left;margin-left:0;margin-top:0;width:535.5pt;height:202.5pt;rotation:315;z-index:251657216;mso-position-horizontal:center;mso-position-horizontal-relative:margin;mso-position-vertical:center;mso-position-vertical-relative:margin" o:allowincell="f" fillcolor="#4a8485" stroked="f">
              <v:fill opacity=".5"/>
              <v:textpath style="font-family:&quot;Arial Black&quot;;font-size:2in" string="DRAFT"/>
              <w10:wrap anchorx="margin" anchory="margin"/>
            </v:shape>
          </w:pict>
        </w:r>
      </w:sdtContent>
    </w:sdt>
    <w:r w:rsidR="00590B17" w:rsidRPr="000F5176">
      <w:t>Therapeutic Goods Administration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page" w:horzAnchor="page" w:tblpX="1" w:tblpY="8999"/>
      <w:tblOverlap w:val="never"/>
      <w:tblW w:w="11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64"/>
    </w:tblGrid>
    <w:tr w:rsidR="00590B17" w:rsidRPr="002B29B2" w:rsidTr="00F71E1E">
      <w:trPr>
        <w:trHeight w:hRule="exact" w:val="8845"/>
      </w:trPr>
      <w:tc>
        <w:tcPr>
          <w:tcW w:w="11964" w:type="dxa"/>
          <w:vAlign w:val="center"/>
        </w:tcPr>
        <w:p w:rsidR="00590B17" w:rsidRPr="003E6B88" w:rsidRDefault="00E844E6" w:rsidP="00B00337">
          <w:pPr>
            <w:ind w:left="-57"/>
            <w:jc w:val="center"/>
            <w:rPr>
              <w:noProof/>
            </w:rPr>
          </w:pPr>
          <w:sdt>
            <w:sdtPr>
              <w:rPr>
                <w:noProof/>
              </w:rPr>
              <w:id w:val="8652892"/>
              <w:picture/>
            </w:sdtPr>
            <w:sdtEndPr/>
            <w:sdtContent>
              <w:r w:rsidR="00590B17" w:rsidRPr="00F71E1E">
                <w:rPr>
                  <w:noProof/>
                  <w:lang w:eastAsia="en-AU"/>
                </w:rPr>
                <w:drawing>
                  <wp:inline distT="0" distB="0" distL="0" distR="0" wp14:anchorId="0FF6CB2D" wp14:editId="09DD34B9">
                    <wp:extent cx="2507672" cy="4017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5434" t="-18348" r="9069" b="5150"/>
                            <a:stretch/>
                          </pic:blipFill>
                          <pic:spPr bwMode="auto">
                            <a:xfrm>
                              <a:off x="0" y="0"/>
                              <a:ext cx="2514893" cy="4029387"/>
                            </a:xfrm>
                            <a:prstGeom prst="rect">
                              <a:avLst/>
                            </a:prstGeom>
                            <a:noFill/>
                            <a:ln>
                              <a:noFill/>
                            </a:ln>
                            <a:extLst>
                              <a:ext uri="{53640926-AAD7-44D8-BBD7-CCE9431645EC}">
                                <a14:shadowObscured xmlns:a14="http://schemas.microsoft.com/office/drawing/2010/main"/>
                              </a:ext>
                            </a:extLst>
                          </pic:spPr>
                        </pic:pic>
                      </a:graphicData>
                    </a:graphic>
                  </wp:inline>
                </w:drawing>
              </w:r>
            </w:sdtContent>
          </w:sdt>
        </w:p>
      </w:tc>
    </w:tr>
  </w:tbl>
  <w:p w:rsidR="00590B17" w:rsidRDefault="00590B17" w:rsidP="006D03E5">
    <w:pPr>
      <w:rPr>
        <w:noProof/>
      </w:rPr>
    </w:pPr>
    <w:r>
      <w:rPr>
        <w:noProof/>
        <w:lang w:eastAsia="en-AU"/>
      </w:rPr>
      <w:drawing>
        <wp:anchor distT="0" distB="0" distL="114300" distR="114300" simplePos="0" relativeHeight="251662336" behindDoc="0" locked="0" layoutInCell="1" allowOverlap="1" wp14:anchorId="063C599A" wp14:editId="54462BDB">
          <wp:simplePos x="0" y="0"/>
          <wp:positionH relativeFrom="column">
            <wp:posOffset>-186055</wp:posOffset>
          </wp:positionH>
          <wp:positionV relativeFrom="paragraph">
            <wp:posOffset>-58420</wp:posOffset>
          </wp:positionV>
          <wp:extent cx="3524250" cy="1209675"/>
          <wp:effectExtent l="19050" t="0" r="0" b="0"/>
          <wp:wrapTopAndBottom/>
          <wp:docPr id="3" name="Picture 1" descr="Therapeutic Goods Admin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ork\_resources\TGA Vector Graphics\DH&amp;A\New crests Sept 2013\DH-TGA_inline_black-RGB-1200.gif"/>
                  <pic:cNvPicPr>
                    <a:picLocks noChangeAspect="1" noChangeArrowheads="1"/>
                  </pic:cNvPicPr>
                </pic:nvPicPr>
                <pic:blipFill>
                  <a:blip r:embed="rId2"/>
                  <a:srcRect/>
                  <a:stretch>
                    <a:fillRect/>
                  </a:stretch>
                </pic:blipFill>
                <pic:spPr bwMode="auto">
                  <a:xfrm>
                    <a:off x="0" y="0"/>
                    <a:ext cx="3524250" cy="1209675"/>
                  </a:xfrm>
                  <a:prstGeom prst="rect">
                    <a:avLst/>
                  </a:prstGeom>
                  <a:noFill/>
                  <a:ln w="9525">
                    <a:noFill/>
                    <a:miter lim="800000"/>
                    <a:headEnd/>
                    <a:tailEnd/>
                  </a:ln>
                </pic:spPr>
              </pic:pic>
            </a:graphicData>
          </a:graphic>
        </wp:anchor>
      </w:drawing>
    </w:r>
    <w:r w:rsidRPr="002B29B2">
      <w:rPr>
        <w:noProof/>
        <w:lang w:eastAsia="en-AU"/>
      </w:rPr>
      <w:drawing>
        <wp:anchor distT="0" distB="0" distL="114300" distR="114300" simplePos="0" relativeHeight="251658240" behindDoc="0" locked="0" layoutInCell="0" allowOverlap="1" wp14:anchorId="230D5244" wp14:editId="5119CF26">
          <wp:simplePos x="0" y="0"/>
          <wp:positionH relativeFrom="page">
            <wp:posOffset>0</wp:posOffset>
          </wp:positionH>
          <wp:positionV relativeFrom="page">
            <wp:posOffset>4152900</wp:posOffset>
          </wp:positionV>
          <wp:extent cx="7581900" cy="2447925"/>
          <wp:effectExtent l="19050" t="0" r="0" b="0"/>
          <wp:wrapNone/>
          <wp:docPr id="5" name="Picture 5" descr="TGA: Health, Safety, Reg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etct\Desktop\TGA-Swoosh-w-Wordmark-CMYK.gif"/>
                  <pic:cNvPicPr>
                    <a:picLocks noChangeAspect="1" noChangeArrowheads="1"/>
                  </pic:cNvPicPr>
                </pic:nvPicPr>
                <pic:blipFill>
                  <a:blip r:embed="rId3" cstate="print"/>
                  <a:srcRect/>
                  <a:stretch>
                    <a:fillRect/>
                  </a:stretch>
                </pic:blipFill>
                <pic:spPr bwMode="auto">
                  <a:xfrm>
                    <a:off x="0" y="0"/>
                    <a:ext cx="7581900" cy="244792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17" w:rsidRDefault="00590B17" w:rsidP="00AB60C1">
    <w:pPr>
      <w:pStyle w:val="Header"/>
    </w:pPr>
    <w:r w:rsidRPr="000F5176">
      <w:t>Therapeutic Goods Administration</w:t>
    </w:r>
  </w:p>
  <w:p w:rsidR="00590B17" w:rsidRDefault="00590B17" w:rsidP="003E6B88">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17" w:rsidRDefault="00590B17" w:rsidP="00A824B8">
    <w:pPr>
      <w:pStyle w:val="Header"/>
    </w:pPr>
    <w:r w:rsidRPr="000F5176">
      <w:t>Therapeutic Goods Administration</w:t>
    </w:r>
  </w:p>
  <w:p w:rsidR="00590B17" w:rsidRPr="00B15E87" w:rsidRDefault="00590B17" w:rsidP="003E6B88">
    <w:pPr>
      <w:pStyle w:val="Header"/>
      <w:pBdr>
        <w:bottom w:val="none" w:sz="0" w:space="0" w:color="auto"/>
      </w:pBdr>
      <w:tabs>
        <w:tab w:val="right" w:pos="5529"/>
      </w:tabs>
      <w:rPr>
        <w:noProof/>
        <w:color w:val="808080" w:themeColor="background1" w:themeShade="8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17" w:rsidRPr="00FE501F" w:rsidRDefault="00590B17" w:rsidP="005E1695">
    <w:pPr>
      <w:pStyle w:val="Headernoline"/>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17" w:rsidRDefault="00590B17" w:rsidP="003E6B8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A9A"/>
    <w:multiLevelType w:val="hybridMultilevel"/>
    <w:tmpl w:val="070234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02C57EDB"/>
    <w:multiLevelType w:val="hybridMultilevel"/>
    <w:tmpl w:val="BE520662"/>
    <w:lvl w:ilvl="0" w:tplc="D67E166A">
      <w:start w:val="1"/>
      <w:numFmt w:val="bullet"/>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6FE5FC7"/>
    <w:multiLevelType w:val="hybridMultilevel"/>
    <w:tmpl w:val="34BC89BE"/>
    <w:lvl w:ilvl="0" w:tplc="0C090005">
      <w:start w:val="1"/>
      <w:numFmt w:val="bullet"/>
      <w:lvlText w:val=""/>
      <w:lvlJc w:val="left"/>
      <w:pPr>
        <w:ind w:left="1145" w:hanging="360"/>
      </w:pPr>
      <w:rPr>
        <w:rFonts w:ascii="Wingdings" w:hAnsi="Wingdings"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3">
    <w:nsid w:val="10053F11"/>
    <w:multiLevelType w:val="multilevel"/>
    <w:tmpl w:val="60109EC6"/>
    <w:styleLink w:val="NumberBullet"/>
    <w:lvl w:ilvl="0">
      <w:start w:val="1"/>
      <w:numFmt w:val="decimal"/>
      <w:pStyle w:val="Numberbullet0"/>
      <w:lvlText w:val="%1."/>
      <w:lvlJc w:val="left"/>
      <w:pPr>
        <w:ind w:left="425" w:hanging="425"/>
      </w:pPr>
      <w:rPr>
        <w:rFonts w:ascii="Cambria" w:hAnsi="Cambria" w:hint="default"/>
      </w:rPr>
    </w:lvl>
    <w:lvl w:ilvl="1">
      <w:start w:val="1"/>
      <w:numFmt w:val="lowerLetter"/>
      <w:lvlText w:val="%2."/>
      <w:lvlJc w:val="left"/>
      <w:pPr>
        <w:ind w:left="851" w:hanging="426"/>
      </w:pPr>
      <w:rPr>
        <w:rFonts w:hint="default"/>
      </w:rPr>
    </w:lvl>
    <w:lvl w:ilvl="2">
      <w:start w:val="1"/>
      <w:numFmt w:val="lowerRoman"/>
      <w:lvlText w:val="%3."/>
      <w:lvlJc w:val="left"/>
      <w:pPr>
        <w:ind w:left="1276" w:hanging="425"/>
      </w:pPr>
      <w:rPr>
        <w:rFonts w:hint="default"/>
      </w:rPr>
    </w:lvl>
    <w:lvl w:ilvl="3">
      <w:start w:val="1"/>
      <w:numFmt w:val="none"/>
      <w:lvlText w:val=""/>
      <w:lvlJc w:val="left"/>
      <w:pPr>
        <w:ind w:left="1276" w:hanging="425"/>
      </w:pPr>
      <w:rPr>
        <w:rFonts w:hint="default"/>
      </w:rPr>
    </w:lvl>
    <w:lvl w:ilvl="4">
      <w:start w:val="1"/>
      <w:numFmt w:val="none"/>
      <w:lvlText w:val=""/>
      <w:lvlJc w:val="left"/>
      <w:pPr>
        <w:ind w:left="1276" w:hanging="425"/>
      </w:pPr>
      <w:rPr>
        <w:rFonts w:hint="default"/>
      </w:rPr>
    </w:lvl>
    <w:lvl w:ilvl="5">
      <w:start w:val="1"/>
      <w:numFmt w:val="none"/>
      <w:lvlText w:val=""/>
      <w:lvlJc w:val="left"/>
      <w:pPr>
        <w:ind w:left="1276" w:hanging="425"/>
      </w:pPr>
      <w:rPr>
        <w:rFonts w:hint="default"/>
      </w:rPr>
    </w:lvl>
    <w:lvl w:ilvl="6">
      <w:start w:val="1"/>
      <w:numFmt w:val="none"/>
      <w:lvlText w:val="%7"/>
      <w:lvlJc w:val="left"/>
      <w:pPr>
        <w:ind w:left="1276" w:hanging="425"/>
      </w:pPr>
      <w:rPr>
        <w:rFonts w:hint="default"/>
      </w:rPr>
    </w:lvl>
    <w:lvl w:ilvl="7">
      <w:start w:val="1"/>
      <w:numFmt w:val="none"/>
      <w:lvlText w:val=""/>
      <w:lvlJc w:val="left"/>
      <w:pPr>
        <w:ind w:left="1276" w:hanging="425"/>
      </w:pPr>
      <w:rPr>
        <w:rFonts w:hint="default"/>
      </w:rPr>
    </w:lvl>
    <w:lvl w:ilvl="8">
      <w:start w:val="1"/>
      <w:numFmt w:val="none"/>
      <w:lvlText w:val=""/>
      <w:lvlJc w:val="left"/>
      <w:pPr>
        <w:ind w:left="1276" w:hanging="425"/>
      </w:pPr>
      <w:rPr>
        <w:rFonts w:hint="default"/>
      </w:rPr>
    </w:lvl>
  </w:abstractNum>
  <w:abstractNum w:abstractNumId="4">
    <w:nsid w:val="168F13E9"/>
    <w:multiLevelType w:val="multilevel"/>
    <w:tmpl w:val="25A8142C"/>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Arial" w:hAnsi="Arial" w:hint="default"/>
      </w:rPr>
    </w:lvl>
    <w:lvl w:ilvl="2">
      <w:start w:val="1"/>
      <w:numFmt w:val="bullet"/>
      <w:lvlText w:val=""/>
      <w:lvlJc w:val="left"/>
      <w:pPr>
        <w:ind w:left="1080" w:hanging="360"/>
      </w:pPr>
      <w:rPr>
        <w:rFonts w:ascii="Wingdings" w:hAnsi="Wingding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
    <w:nsid w:val="18D72D7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E2A579E"/>
    <w:multiLevelType w:val="multilevel"/>
    <w:tmpl w:val="235255C0"/>
    <w:lvl w:ilvl="0">
      <w:start w:val="1"/>
      <w:numFmt w:val="bullet"/>
      <w:lvlText w:val=""/>
      <w:lvlJc w:val="left"/>
      <w:pPr>
        <w:ind w:left="425" w:hanging="425"/>
      </w:pPr>
      <w:rPr>
        <w:rFonts w:ascii="Symbol" w:hAnsi="Symbol" w:hint="default"/>
      </w:rPr>
    </w:lvl>
    <w:lvl w:ilvl="1">
      <w:start w:val="1"/>
      <w:numFmt w:val="lowerLetter"/>
      <w:lvlText w:val="%2."/>
      <w:lvlJc w:val="left"/>
      <w:pPr>
        <w:ind w:left="851" w:hanging="426"/>
      </w:pPr>
      <w:rPr>
        <w:rFonts w:hint="default"/>
      </w:rPr>
    </w:lvl>
    <w:lvl w:ilvl="2">
      <w:start w:val="1"/>
      <w:numFmt w:val="lowerRoman"/>
      <w:lvlText w:val="%3."/>
      <w:lvlJc w:val="left"/>
      <w:pPr>
        <w:ind w:left="1276" w:hanging="425"/>
      </w:pPr>
      <w:rPr>
        <w:rFonts w:hint="default"/>
      </w:rPr>
    </w:lvl>
    <w:lvl w:ilvl="3">
      <w:start w:val="1"/>
      <w:numFmt w:val="none"/>
      <w:lvlText w:val=""/>
      <w:lvlJc w:val="left"/>
      <w:pPr>
        <w:ind w:left="1276" w:hanging="425"/>
      </w:pPr>
      <w:rPr>
        <w:rFonts w:hint="default"/>
      </w:rPr>
    </w:lvl>
    <w:lvl w:ilvl="4">
      <w:start w:val="1"/>
      <w:numFmt w:val="none"/>
      <w:lvlText w:val=""/>
      <w:lvlJc w:val="left"/>
      <w:pPr>
        <w:ind w:left="1276" w:hanging="425"/>
      </w:pPr>
      <w:rPr>
        <w:rFonts w:hint="default"/>
      </w:rPr>
    </w:lvl>
    <w:lvl w:ilvl="5">
      <w:start w:val="1"/>
      <w:numFmt w:val="none"/>
      <w:lvlText w:val=""/>
      <w:lvlJc w:val="left"/>
      <w:pPr>
        <w:ind w:left="1276" w:hanging="425"/>
      </w:pPr>
      <w:rPr>
        <w:rFonts w:hint="default"/>
      </w:rPr>
    </w:lvl>
    <w:lvl w:ilvl="6">
      <w:start w:val="1"/>
      <w:numFmt w:val="none"/>
      <w:lvlText w:val="%7"/>
      <w:lvlJc w:val="left"/>
      <w:pPr>
        <w:ind w:left="1276" w:hanging="425"/>
      </w:pPr>
      <w:rPr>
        <w:rFonts w:hint="default"/>
      </w:rPr>
    </w:lvl>
    <w:lvl w:ilvl="7">
      <w:start w:val="1"/>
      <w:numFmt w:val="none"/>
      <w:lvlText w:val=""/>
      <w:lvlJc w:val="left"/>
      <w:pPr>
        <w:ind w:left="1276" w:hanging="425"/>
      </w:pPr>
      <w:rPr>
        <w:rFonts w:hint="default"/>
      </w:rPr>
    </w:lvl>
    <w:lvl w:ilvl="8">
      <w:start w:val="1"/>
      <w:numFmt w:val="none"/>
      <w:lvlText w:val=""/>
      <w:lvlJc w:val="left"/>
      <w:pPr>
        <w:ind w:left="1276" w:hanging="425"/>
      </w:pPr>
      <w:rPr>
        <w:rFonts w:hint="default"/>
      </w:rPr>
    </w:lvl>
  </w:abstractNum>
  <w:abstractNum w:abstractNumId="7">
    <w:nsid w:val="259E4F2C"/>
    <w:multiLevelType w:val="hybridMultilevel"/>
    <w:tmpl w:val="3EB057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7C90753"/>
    <w:multiLevelType w:val="hybridMultilevel"/>
    <w:tmpl w:val="C9F67D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27CE3105"/>
    <w:multiLevelType w:val="hybridMultilevel"/>
    <w:tmpl w:val="8F30B9F6"/>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0">
    <w:nsid w:val="29D17093"/>
    <w:multiLevelType w:val="hybridMultilevel"/>
    <w:tmpl w:val="E94EE00A"/>
    <w:lvl w:ilvl="0" w:tplc="0C090001">
      <w:start w:val="1"/>
      <w:numFmt w:val="bullet"/>
      <w:lvlText w:val=""/>
      <w:lvlJc w:val="left"/>
      <w:pPr>
        <w:ind w:left="360" w:hanging="360"/>
      </w:pPr>
      <w:rPr>
        <w:rFonts w:ascii="Symbol" w:hAnsi="Symbol" w:hint="default"/>
      </w:rPr>
    </w:lvl>
    <w:lvl w:ilvl="1" w:tplc="D67E166A">
      <w:start w:val="1"/>
      <w:numFmt w:val="bullet"/>
      <w:lvlText w:val="-"/>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2F156C4B"/>
    <w:multiLevelType w:val="hybridMultilevel"/>
    <w:tmpl w:val="6AE09FC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32BB7196"/>
    <w:multiLevelType w:val="hybridMultilevel"/>
    <w:tmpl w:val="32CC0260"/>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AF803F9"/>
    <w:multiLevelType w:val="hybridMultilevel"/>
    <w:tmpl w:val="423AF88E"/>
    <w:lvl w:ilvl="0" w:tplc="D67E166A">
      <w:start w:val="1"/>
      <w:numFmt w:val="bullet"/>
      <w:lvlText w:val="-"/>
      <w:lvlJc w:val="left"/>
      <w:pPr>
        <w:ind w:left="72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E463A79"/>
    <w:multiLevelType w:val="hybridMultilevel"/>
    <w:tmpl w:val="DAF8DF9C"/>
    <w:lvl w:ilvl="0" w:tplc="D67E166A">
      <w:start w:val="1"/>
      <w:numFmt w:val="bullet"/>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8D55D82"/>
    <w:multiLevelType w:val="hybridMultilevel"/>
    <w:tmpl w:val="2C44B53C"/>
    <w:lvl w:ilvl="0" w:tplc="0C090005">
      <w:start w:val="1"/>
      <w:numFmt w:val="bullet"/>
      <w:lvlText w:val=""/>
      <w:lvlJc w:val="left"/>
      <w:pPr>
        <w:ind w:left="1080" w:hanging="360"/>
      </w:pPr>
      <w:rPr>
        <w:rFonts w:ascii="Wingdings" w:hAnsi="Wingding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4CAC3402"/>
    <w:multiLevelType w:val="multilevel"/>
    <w:tmpl w:val="B7BE624C"/>
    <w:lvl w:ilvl="0">
      <w:start w:val="1"/>
      <w:numFmt w:val="lowerLetter"/>
      <w:lvlText w:val="%1."/>
      <w:lvlJc w:val="left"/>
      <w:pPr>
        <w:ind w:left="850" w:hanging="425"/>
      </w:pPr>
      <w:rPr>
        <w:rFonts w:hint="default"/>
      </w:rPr>
    </w:lvl>
    <w:lvl w:ilvl="1">
      <w:start w:val="1"/>
      <w:numFmt w:val="lowerLetter"/>
      <w:lvlText w:val="%2."/>
      <w:lvlJc w:val="left"/>
      <w:pPr>
        <w:ind w:left="1276" w:hanging="426"/>
      </w:pPr>
      <w:rPr>
        <w:rFonts w:hint="default"/>
      </w:rPr>
    </w:lvl>
    <w:lvl w:ilvl="2">
      <w:start w:val="1"/>
      <w:numFmt w:val="lowerRoman"/>
      <w:lvlText w:val="%3."/>
      <w:lvlJc w:val="left"/>
      <w:pPr>
        <w:ind w:left="1701" w:hanging="425"/>
      </w:pPr>
      <w:rPr>
        <w:rFonts w:hint="default"/>
      </w:rPr>
    </w:lvl>
    <w:lvl w:ilvl="3">
      <w:start w:val="1"/>
      <w:numFmt w:val="none"/>
      <w:lvlText w:val=""/>
      <w:lvlJc w:val="left"/>
      <w:pPr>
        <w:ind w:left="1701" w:hanging="425"/>
      </w:pPr>
      <w:rPr>
        <w:rFonts w:hint="default"/>
      </w:rPr>
    </w:lvl>
    <w:lvl w:ilvl="4">
      <w:start w:val="1"/>
      <w:numFmt w:val="none"/>
      <w:lvlText w:val=""/>
      <w:lvlJc w:val="left"/>
      <w:pPr>
        <w:ind w:left="1701" w:hanging="425"/>
      </w:pPr>
      <w:rPr>
        <w:rFonts w:hint="default"/>
      </w:rPr>
    </w:lvl>
    <w:lvl w:ilvl="5">
      <w:start w:val="1"/>
      <w:numFmt w:val="none"/>
      <w:lvlText w:val=""/>
      <w:lvlJc w:val="left"/>
      <w:pPr>
        <w:ind w:left="1701" w:hanging="425"/>
      </w:pPr>
      <w:rPr>
        <w:rFonts w:hint="default"/>
      </w:rPr>
    </w:lvl>
    <w:lvl w:ilvl="6">
      <w:start w:val="1"/>
      <w:numFmt w:val="none"/>
      <w:lvlText w:val="%7"/>
      <w:lvlJc w:val="left"/>
      <w:pPr>
        <w:ind w:left="1701" w:hanging="425"/>
      </w:pPr>
      <w:rPr>
        <w:rFonts w:hint="default"/>
      </w:rPr>
    </w:lvl>
    <w:lvl w:ilvl="7">
      <w:start w:val="1"/>
      <w:numFmt w:val="none"/>
      <w:lvlText w:val=""/>
      <w:lvlJc w:val="left"/>
      <w:pPr>
        <w:ind w:left="1701" w:hanging="425"/>
      </w:pPr>
      <w:rPr>
        <w:rFonts w:hint="default"/>
      </w:rPr>
    </w:lvl>
    <w:lvl w:ilvl="8">
      <w:start w:val="1"/>
      <w:numFmt w:val="none"/>
      <w:lvlText w:val=""/>
      <w:lvlJc w:val="left"/>
      <w:pPr>
        <w:ind w:left="1701" w:hanging="425"/>
      </w:pPr>
      <w:rPr>
        <w:rFonts w:hint="default"/>
      </w:rPr>
    </w:lvl>
  </w:abstractNum>
  <w:abstractNum w:abstractNumId="17">
    <w:nsid w:val="4E0C6059"/>
    <w:multiLevelType w:val="hybridMultilevel"/>
    <w:tmpl w:val="FB2C6280"/>
    <w:lvl w:ilvl="0" w:tplc="0C090001">
      <w:start w:val="1"/>
      <w:numFmt w:val="bullet"/>
      <w:lvlText w:val=""/>
      <w:lvlJc w:val="left"/>
      <w:pPr>
        <w:ind w:left="1080" w:hanging="360"/>
      </w:pPr>
      <w:rPr>
        <w:rFonts w:ascii="Symbol" w:hAnsi="Symbol" w:hint="default"/>
      </w:rPr>
    </w:lvl>
    <w:lvl w:ilvl="1" w:tplc="0C090005">
      <w:start w:val="1"/>
      <w:numFmt w:val="bullet"/>
      <w:lvlText w:val=""/>
      <w:lvlJc w:val="left"/>
      <w:pPr>
        <w:ind w:left="1800" w:hanging="360"/>
      </w:pPr>
      <w:rPr>
        <w:rFonts w:ascii="Wingdings" w:hAnsi="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nsid w:val="4E653399"/>
    <w:multiLevelType w:val="hybridMultilevel"/>
    <w:tmpl w:val="A6D6CB90"/>
    <w:lvl w:ilvl="0" w:tplc="D67E166A">
      <w:start w:val="1"/>
      <w:numFmt w:val="bullet"/>
      <w:lvlText w:val="-"/>
      <w:lvlJc w:val="left"/>
      <w:pPr>
        <w:ind w:left="1080" w:hanging="360"/>
      </w:pPr>
      <w:rPr>
        <w:rFonts w:ascii="Courier New" w:hAnsi="Courier New" w:hint="default"/>
      </w:rPr>
    </w:lvl>
    <w:lvl w:ilvl="1" w:tplc="D67E166A">
      <w:start w:val="1"/>
      <w:numFmt w:val="bullet"/>
      <w:lvlText w:val="-"/>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nsid w:val="51CE222D"/>
    <w:multiLevelType w:val="hybridMultilevel"/>
    <w:tmpl w:val="A7E20B4A"/>
    <w:lvl w:ilvl="0" w:tplc="130E7D20">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1EC1663"/>
    <w:multiLevelType w:val="hybridMultilevel"/>
    <w:tmpl w:val="CAF46B2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42E26F4"/>
    <w:multiLevelType w:val="hybridMultilevel"/>
    <w:tmpl w:val="1E3A1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6EC64C9"/>
    <w:multiLevelType w:val="hybridMultilevel"/>
    <w:tmpl w:val="859C54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58F278C1"/>
    <w:multiLevelType w:val="hybridMultilevel"/>
    <w:tmpl w:val="AC54A12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nsid w:val="5C160D1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E455429"/>
    <w:multiLevelType w:val="hybridMultilevel"/>
    <w:tmpl w:val="F35EFB5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nsid w:val="62E539A7"/>
    <w:multiLevelType w:val="multilevel"/>
    <w:tmpl w:val="C40EF91A"/>
    <w:lvl w:ilvl="0">
      <w:start w:val="1"/>
      <w:numFmt w:val="decimal"/>
      <w:lvlText w:val="%1"/>
      <w:lvlJc w:val="left"/>
      <w:pPr>
        <w:ind w:left="862" w:hanging="720"/>
      </w:pPr>
      <w:rPr>
        <w:rFonts w:asciiTheme="majorHAnsi" w:hAnsiTheme="majorHAnsi" w:cstheme="majorHAnsi" w:hint="default"/>
        <w:color w:val="auto"/>
        <w:sz w:val="38"/>
        <w:szCs w:val="38"/>
      </w:rPr>
    </w:lvl>
    <w:lvl w:ilvl="1">
      <w:start w:val="1"/>
      <w:numFmt w:val="decimal"/>
      <w:isLgl/>
      <w:lvlText w:val="%1.%2"/>
      <w:lvlJc w:val="left"/>
      <w:pPr>
        <w:ind w:left="720" w:hanging="720"/>
      </w:pPr>
      <w:rPr>
        <w:rFonts w:hint="default"/>
        <w:sz w:val="32"/>
        <w:szCs w:val="32"/>
      </w:rPr>
    </w:lvl>
    <w:lvl w:ilvl="2">
      <w:start w:val="1"/>
      <w:numFmt w:val="decimal"/>
      <w:isLgl/>
      <w:lvlText w:val="%1.%2.%3"/>
      <w:lvlJc w:val="left"/>
      <w:pPr>
        <w:ind w:left="720" w:hanging="720"/>
      </w:pPr>
      <w:rPr>
        <w:rFonts w:hint="default"/>
        <w:sz w:val="26"/>
        <w:szCs w:val="26"/>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7">
    <w:nsid w:val="67684BD9"/>
    <w:multiLevelType w:val="multilevel"/>
    <w:tmpl w:val="31D2C3B4"/>
    <w:lvl w:ilvl="0">
      <w:start w:val="1"/>
      <w:numFmt w:val="lowerLetter"/>
      <w:lvlText w:val="%1."/>
      <w:lvlJc w:val="left"/>
      <w:pPr>
        <w:ind w:left="850" w:hanging="425"/>
      </w:pPr>
      <w:rPr>
        <w:rFonts w:hint="default"/>
      </w:rPr>
    </w:lvl>
    <w:lvl w:ilvl="1">
      <w:start w:val="1"/>
      <w:numFmt w:val="lowerLetter"/>
      <w:lvlText w:val="%2."/>
      <w:lvlJc w:val="left"/>
      <w:pPr>
        <w:ind w:left="1276" w:hanging="426"/>
      </w:pPr>
      <w:rPr>
        <w:rFonts w:hint="default"/>
      </w:rPr>
    </w:lvl>
    <w:lvl w:ilvl="2">
      <w:start w:val="1"/>
      <w:numFmt w:val="lowerRoman"/>
      <w:lvlText w:val="%3."/>
      <w:lvlJc w:val="left"/>
      <w:pPr>
        <w:ind w:left="1701" w:hanging="425"/>
      </w:pPr>
      <w:rPr>
        <w:rFonts w:hint="default"/>
      </w:rPr>
    </w:lvl>
    <w:lvl w:ilvl="3">
      <w:start w:val="1"/>
      <w:numFmt w:val="none"/>
      <w:lvlText w:val=""/>
      <w:lvlJc w:val="left"/>
      <w:pPr>
        <w:ind w:left="1701" w:hanging="425"/>
      </w:pPr>
      <w:rPr>
        <w:rFonts w:hint="default"/>
      </w:rPr>
    </w:lvl>
    <w:lvl w:ilvl="4">
      <w:start w:val="1"/>
      <w:numFmt w:val="none"/>
      <w:lvlText w:val=""/>
      <w:lvlJc w:val="left"/>
      <w:pPr>
        <w:ind w:left="1701" w:hanging="425"/>
      </w:pPr>
      <w:rPr>
        <w:rFonts w:hint="default"/>
      </w:rPr>
    </w:lvl>
    <w:lvl w:ilvl="5">
      <w:start w:val="1"/>
      <w:numFmt w:val="none"/>
      <w:lvlText w:val=""/>
      <w:lvlJc w:val="left"/>
      <w:pPr>
        <w:ind w:left="1701" w:hanging="425"/>
      </w:pPr>
      <w:rPr>
        <w:rFonts w:hint="default"/>
      </w:rPr>
    </w:lvl>
    <w:lvl w:ilvl="6">
      <w:start w:val="1"/>
      <w:numFmt w:val="none"/>
      <w:lvlText w:val="%7"/>
      <w:lvlJc w:val="left"/>
      <w:pPr>
        <w:ind w:left="1701" w:hanging="425"/>
      </w:pPr>
      <w:rPr>
        <w:rFonts w:hint="default"/>
      </w:rPr>
    </w:lvl>
    <w:lvl w:ilvl="7">
      <w:start w:val="1"/>
      <w:numFmt w:val="none"/>
      <w:lvlText w:val=""/>
      <w:lvlJc w:val="left"/>
      <w:pPr>
        <w:ind w:left="1701" w:hanging="425"/>
      </w:pPr>
      <w:rPr>
        <w:rFonts w:hint="default"/>
      </w:rPr>
    </w:lvl>
    <w:lvl w:ilvl="8">
      <w:start w:val="1"/>
      <w:numFmt w:val="none"/>
      <w:lvlText w:val=""/>
      <w:lvlJc w:val="left"/>
      <w:pPr>
        <w:ind w:left="1701" w:hanging="425"/>
      </w:pPr>
      <w:rPr>
        <w:rFonts w:hint="default"/>
      </w:rPr>
    </w:lvl>
  </w:abstractNum>
  <w:abstractNum w:abstractNumId="28">
    <w:nsid w:val="6947094E"/>
    <w:multiLevelType w:val="multilevel"/>
    <w:tmpl w:val="5246B31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nsid w:val="697E5B88"/>
    <w:multiLevelType w:val="hybridMultilevel"/>
    <w:tmpl w:val="52420C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nsid w:val="6B68301F"/>
    <w:multiLevelType w:val="hybridMultilevel"/>
    <w:tmpl w:val="994EB5CC"/>
    <w:lvl w:ilvl="0" w:tplc="D67E166A">
      <w:start w:val="1"/>
      <w:numFmt w:val="bullet"/>
      <w:lvlText w:val="-"/>
      <w:lvlJc w:val="left"/>
      <w:pPr>
        <w:ind w:left="785" w:hanging="360"/>
      </w:pPr>
      <w:rPr>
        <w:rFonts w:ascii="Courier New" w:hAnsi="Courier New" w:hint="default"/>
      </w:rPr>
    </w:lvl>
    <w:lvl w:ilvl="1" w:tplc="D67E166A">
      <w:start w:val="1"/>
      <w:numFmt w:val="bullet"/>
      <w:lvlText w:val="-"/>
      <w:lvlJc w:val="left"/>
      <w:pPr>
        <w:ind w:left="1505" w:hanging="360"/>
      </w:pPr>
      <w:rPr>
        <w:rFonts w:ascii="Courier New" w:hAnsi="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1">
    <w:nsid w:val="6E852D3D"/>
    <w:multiLevelType w:val="hybridMultilevel"/>
    <w:tmpl w:val="F8322E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nsid w:val="716E540C"/>
    <w:multiLevelType w:val="hybridMultilevel"/>
    <w:tmpl w:val="18804E32"/>
    <w:lvl w:ilvl="0" w:tplc="0C09000F">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nsid w:val="7B584296"/>
    <w:multiLevelType w:val="hybridMultilevel"/>
    <w:tmpl w:val="55AC26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nsid w:val="7F622410"/>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4"/>
    <w:lvlOverride w:ilvl="0">
      <w:lvl w:ilvl="0">
        <w:start w:val="1"/>
        <w:numFmt w:val="bullet"/>
        <w:lvlText w:val=""/>
        <w:lvlJc w:val="left"/>
        <w:pPr>
          <w:ind w:left="360" w:hanging="360"/>
        </w:pPr>
        <w:rPr>
          <w:rFonts w:ascii="Symbol" w:hAnsi="Symbol" w:hint="default"/>
        </w:rPr>
      </w:lvl>
    </w:lvlOverride>
    <w:lvlOverride w:ilvl="1">
      <w:lvl w:ilvl="1">
        <w:start w:val="1"/>
        <w:numFmt w:val="bullet"/>
        <w:lvlText w:val="–"/>
        <w:lvlJc w:val="left"/>
        <w:pPr>
          <w:ind w:left="720" w:hanging="360"/>
        </w:pPr>
        <w:rPr>
          <w:rFonts w:ascii="Arial" w:hAnsi="Arial" w:hint="default"/>
        </w:rPr>
      </w:lvl>
    </w:lvlOverride>
    <w:lvlOverride w:ilvl="2">
      <w:lvl w:ilvl="2">
        <w:start w:val="1"/>
        <w:numFmt w:val="bullet"/>
        <w:lvlText w:val=""/>
        <w:lvlJc w:val="left"/>
        <w:pPr>
          <w:ind w:left="1080" w:hanging="360"/>
        </w:pPr>
        <w:rPr>
          <w:rFonts w:ascii="Wingdings" w:hAnsi="Wingding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7"/>
        <w:lvlJc w:val="left"/>
        <w:pPr>
          <w:ind w:left="2520" w:hanging="360"/>
        </w:pPr>
        <w:rPr>
          <w:rFonts w:hint="default"/>
        </w:rPr>
      </w:lvl>
    </w:lvlOverride>
    <w:lvlOverride w:ilvl="7">
      <w:lvl w:ilvl="7">
        <w:start w:val="1"/>
        <w:numFmt w:val="none"/>
        <w:lvlText w:val="%8"/>
        <w:lvlJc w:val="left"/>
        <w:pPr>
          <w:ind w:left="2880" w:hanging="360"/>
        </w:pPr>
        <w:rPr>
          <w:rFonts w:hint="default"/>
        </w:rPr>
      </w:lvl>
    </w:lvlOverride>
    <w:lvlOverride w:ilvl="8">
      <w:lvl w:ilvl="8">
        <w:start w:val="1"/>
        <w:numFmt w:val="none"/>
        <w:lvlText w:val="%9"/>
        <w:lvlJc w:val="left"/>
        <w:pPr>
          <w:ind w:left="3240" w:hanging="360"/>
        </w:pPr>
        <w:rPr>
          <w:rFonts w:hint="default"/>
        </w:rPr>
      </w:lvl>
    </w:lvlOverride>
  </w:num>
  <w:num w:numId="4">
    <w:abstractNumId w:val="3"/>
    <w:lvlOverride w:ilvl="0">
      <w:lvl w:ilvl="0">
        <w:start w:val="1"/>
        <w:numFmt w:val="decimal"/>
        <w:pStyle w:val="Numberbullet0"/>
        <w:lvlText w:val="%1."/>
        <w:lvlJc w:val="left"/>
        <w:pPr>
          <w:ind w:left="425" w:hanging="425"/>
        </w:pPr>
        <w:rPr>
          <w:rFonts w:ascii="Cambria" w:hAnsi="Cambria" w:hint="default"/>
        </w:rPr>
      </w:lvl>
    </w:lvlOverride>
    <w:lvlOverride w:ilvl="1">
      <w:lvl w:ilvl="1">
        <w:start w:val="1"/>
        <w:numFmt w:val="lowerLetter"/>
        <w:lvlText w:val="%2."/>
        <w:lvlJc w:val="left"/>
        <w:pPr>
          <w:ind w:left="851" w:hanging="426"/>
        </w:pPr>
        <w:rPr>
          <w:rFonts w:hint="default"/>
        </w:rPr>
      </w:lvl>
    </w:lvlOverride>
    <w:lvlOverride w:ilvl="2">
      <w:lvl w:ilvl="2">
        <w:start w:val="1"/>
        <w:numFmt w:val="lowerRoman"/>
        <w:lvlText w:val="%3."/>
        <w:lvlJc w:val="left"/>
        <w:pPr>
          <w:ind w:left="1276" w:hanging="425"/>
        </w:pPr>
        <w:rPr>
          <w:rFonts w:hint="default"/>
        </w:rPr>
      </w:lvl>
    </w:lvlOverride>
    <w:lvlOverride w:ilvl="3">
      <w:lvl w:ilvl="3">
        <w:start w:val="1"/>
        <w:numFmt w:val="none"/>
        <w:lvlText w:val=""/>
        <w:lvlJc w:val="left"/>
        <w:pPr>
          <w:ind w:left="1276" w:hanging="425"/>
        </w:pPr>
        <w:rPr>
          <w:rFonts w:hint="default"/>
        </w:rPr>
      </w:lvl>
    </w:lvlOverride>
    <w:lvlOverride w:ilvl="4">
      <w:lvl w:ilvl="4">
        <w:start w:val="1"/>
        <w:numFmt w:val="none"/>
        <w:lvlText w:val=""/>
        <w:lvlJc w:val="left"/>
        <w:pPr>
          <w:ind w:left="1276" w:hanging="425"/>
        </w:pPr>
        <w:rPr>
          <w:rFonts w:hint="default"/>
        </w:rPr>
      </w:lvl>
    </w:lvlOverride>
    <w:lvlOverride w:ilvl="5">
      <w:lvl w:ilvl="5">
        <w:start w:val="1"/>
        <w:numFmt w:val="none"/>
        <w:lvlText w:val=""/>
        <w:lvlJc w:val="left"/>
        <w:pPr>
          <w:ind w:left="1276" w:hanging="425"/>
        </w:pPr>
        <w:rPr>
          <w:rFonts w:hint="default"/>
        </w:rPr>
      </w:lvl>
    </w:lvlOverride>
    <w:lvlOverride w:ilvl="6">
      <w:lvl w:ilvl="6">
        <w:start w:val="1"/>
        <w:numFmt w:val="none"/>
        <w:lvlText w:val="%7"/>
        <w:lvlJc w:val="left"/>
        <w:pPr>
          <w:ind w:left="1276" w:hanging="425"/>
        </w:pPr>
        <w:rPr>
          <w:rFonts w:hint="default"/>
        </w:rPr>
      </w:lvl>
    </w:lvlOverride>
    <w:lvlOverride w:ilvl="7">
      <w:lvl w:ilvl="7">
        <w:start w:val="1"/>
        <w:numFmt w:val="none"/>
        <w:lvlText w:val=""/>
        <w:lvlJc w:val="left"/>
        <w:pPr>
          <w:ind w:left="1276" w:hanging="425"/>
        </w:pPr>
        <w:rPr>
          <w:rFonts w:hint="default"/>
        </w:rPr>
      </w:lvl>
    </w:lvlOverride>
    <w:lvlOverride w:ilvl="8">
      <w:lvl w:ilvl="8">
        <w:start w:val="1"/>
        <w:numFmt w:val="none"/>
        <w:lvlText w:val=""/>
        <w:lvlJc w:val="left"/>
        <w:pPr>
          <w:ind w:left="1276" w:hanging="425"/>
        </w:pPr>
        <w:rPr>
          <w:rFonts w:hint="default"/>
        </w:rPr>
      </w:lvl>
    </w:lvlOverride>
  </w:num>
  <w:num w:numId="5">
    <w:abstractNumId w:val="24"/>
  </w:num>
  <w:num w:numId="6">
    <w:abstractNumId w:val="5"/>
  </w:num>
  <w:num w:numId="7">
    <w:abstractNumId w:val="34"/>
  </w:num>
  <w:num w:numId="8">
    <w:abstractNumId w:val="13"/>
  </w:num>
  <w:num w:numId="9">
    <w:abstractNumId w:val="7"/>
  </w:num>
  <w:num w:numId="10">
    <w:abstractNumId w:val="23"/>
  </w:num>
  <w:num w:numId="11">
    <w:abstractNumId w:val="3"/>
    <w:lvlOverride w:ilvl="0">
      <w:startOverride w:val="1"/>
      <w:lvl w:ilvl="0">
        <w:start w:val="1"/>
        <w:numFmt w:val="decimal"/>
        <w:pStyle w:val="Numberbullet0"/>
        <w:lvlText w:val="%1."/>
        <w:lvlJc w:val="left"/>
        <w:pPr>
          <w:ind w:left="425" w:hanging="425"/>
        </w:pPr>
        <w:rPr>
          <w:rFonts w:ascii="Cambria" w:hAnsi="Cambria" w:hint="default"/>
        </w:rPr>
      </w:lvl>
    </w:lvlOverride>
    <w:lvlOverride w:ilvl="1">
      <w:startOverride w:val="1"/>
      <w:lvl w:ilvl="1">
        <w:start w:val="1"/>
        <w:numFmt w:val="lowerLetter"/>
        <w:lvlText w:val="%2."/>
        <w:lvlJc w:val="left"/>
        <w:pPr>
          <w:ind w:left="851" w:hanging="426"/>
        </w:pPr>
        <w:rPr>
          <w:rFonts w:hint="default"/>
        </w:rPr>
      </w:lvl>
    </w:lvlOverride>
    <w:lvlOverride w:ilvl="2">
      <w:startOverride w:val="1"/>
      <w:lvl w:ilvl="2">
        <w:start w:val="1"/>
        <w:numFmt w:val="lowerRoman"/>
        <w:lvlText w:val="%3."/>
        <w:lvlJc w:val="left"/>
        <w:pPr>
          <w:ind w:left="1276" w:hanging="425"/>
        </w:pPr>
        <w:rPr>
          <w:rFonts w:hint="default"/>
        </w:rPr>
      </w:lvl>
    </w:lvlOverride>
    <w:lvlOverride w:ilvl="3">
      <w:startOverride w:val="1"/>
      <w:lvl w:ilvl="3">
        <w:start w:val="1"/>
        <w:numFmt w:val="none"/>
        <w:lvlText w:val=""/>
        <w:lvlJc w:val="left"/>
        <w:pPr>
          <w:ind w:left="1276" w:hanging="425"/>
        </w:pPr>
        <w:rPr>
          <w:rFonts w:hint="default"/>
        </w:rPr>
      </w:lvl>
    </w:lvlOverride>
    <w:lvlOverride w:ilvl="4">
      <w:startOverride w:val="1"/>
      <w:lvl w:ilvl="4">
        <w:start w:val="1"/>
        <w:numFmt w:val="none"/>
        <w:lvlText w:val=""/>
        <w:lvlJc w:val="left"/>
        <w:pPr>
          <w:ind w:left="1276" w:hanging="425"/>
        </w:pPr>
        <w:rPr>
          <w:rFonts w:hint="default"/>
        </w:rPr>
      </w:lvl>
    </w:lvlOverride>
    <w:lvlOverride w:ilvl="5">
      <w:startOverride w:val="1"/>
      <w:lvl w:ilvl="5">
        <w:start w:val="1"/>
        <w:numFmt w:val="none"/>
        <w:lvlText w:val=""/>
        <w:lvlJc w:val="left"/>
        <w:pPr>
          <w:ind w:left="1276" w:hanging="425"/>
        </w:pPr>
        <w:rPr>
          <w:rFonts w:hint="default"/>
        </w:rPr>
      </w:lvl>
    </w:lvlOverride>
    <w:lvlOverride w:ilvl="6">
      <w:startOverride w:val="1"/>
      <w:lvl w:ilvl="6">
        <w:start w:val="1"/>
        <w:numFmt w:val="none"/>
        <w:lvlText w:val="%7"/>
        <w:lvlJc w:val="left"/>
        <w:pPr>
          <w:ind w:left="1276" w:hanging="425"/>
        </w:pPr>
        <w:rPr>
          <w:rFonts w:hint="default"/>
        </w:rPr>
      </w:lvl>
    </w:lvlOverride>
    <w:lvlOverride w:ilvl="7">
      <w:startOverride w:val="1"/>
      <w:lvl w:ilvl="7">
        <w:start w:val="1"/>
        <w:numFmt w:val="none"/>
        <w:lvlText w:val=""/>
        <w:lvlJc w:val="left"/>
        <w:pPr>
          <w:ind w:left="1276" w:hanging="425"/>
        </w:pPr>
        <w:rPr>
          <w:rFonts w:hint="default"/>
        </w:rPr>
      </w:lvl>
    </w:lvlOverride>
    <w:lvlOverride w:ilvl="8">
      <w:startOverride w:val="1"/>
      <w:lvl w:ilvl="8">
        <w:start w:val="1"/>
        <w:numFmt w:val="none"/>
        <w:lvlText w:val=""/>
        <w:lvlJc w:val="left"/>
        <w:pPr>
          <w:ind w:left="1276" w:hanging="425"/>
        </w:pPr>
        <w:rPr>
          <w:rFonts w:hint="default"/>
        </w:rPr>
      </w:lvl>
    </w:lvlOverride>
  </w:num>
  <w:num w:numId="12">
    <w:abstractNumId w:val="3"/>
    <w:lvlOverride w:ilvl="0">
      <w:startOverride w:val="1"/>
      <w:lvl w:ilvl="0">
        <w:start w:val="1"/>
        <w:numFmt w:val="decimal"/>
        <w:pStyle w:val="Numberbullet0"/>
        <w:lvlText w:val="%1."/>
        <w:lvlJc w:val="left"/>
        <w:pPr>
          <w:ind w:left="425" w:hanging="425"/>
        </w:pPr>
        <w:rPr>
          <w:rFonts w:ascii="Cambria" w:hAnsi="Cambria" w:hint="default"/>
        </w:rPr>
      </w:lvl>
    </w:lvlOverride>
    <w:lvlOverride w:ilvl="1">
      <w:startOverride w:val="1"/>
      <w:lvl w:ilvl="1">
        <w:start w:val="1"/>
        <w:numFmt w:val="lowerLetter"/>
        <w:lvlText w:val="%2."/>
        <w:lvlJc w:val="left"/>
        <w:pPr>
          <w:ind w:left="851" w:hanging="426"/>
        </w:pPr>
        <w:rPr>
          <w:rFonts w:hint="default"/>
        </w:rPr>
      </w:lvl>
    </w:lvlOverride>
    <w:lvlOverride w:ilvl="2">
      <w:startOverride w:val="1"/>
      <w:lvl w:ilvl="2">
        <w:start w:val="1"/>
        <w:numFmt w:val="lowerRoman"/>
        <w:lvlText w:val="%3."/>
        <w:lvlJc w:val="left"/>
        <w:pPr>
          <w:ind w:left="1276" w:hanging="425"/>
        </w:pPr>
        <w:rPr>
          <w:rFonts w:hint="default"/>
        </w:rPr>
      </w:lvl>
    </w:lvlOverride>
    <w:lvlOverride w:ilvl="3">
      <w:startOverride w:val="1"/>
      <w:lvl w:ilvl="3">
        <w:start w:val="1"/>
        <w:numFmt w:val="none"/>
        <w:lvlText w:val=""/>
        <w:lvlJc w:val="left"/>
        <w:pPr>
          <w:ind w:left="1276" w:hanging="425"/>
        </w:pPr>
        <w:rPr>
          <w:rFonts w:hint="default"/>
        </w:rPr>
      </w:lvl>
    </w:lvlOverride>
    <w:lvlOverride w:ilvl="4">
      <w:startOverride w:val="1"/>
      <w:lvl w:ilvl="4">
        <w:start w:val="1"/>
        <w:numFmt w:val="none"/>
        <w:lvlText w:val=""/>
        <w:lvlJc w:val="left"/>
        <w:pPr>
          <w:ind w:left="1276" w:hanging="425"/>
        </w:pPr>
        <w:rPr>
          <w:rFonts w:hint="default"/>
        </w:rPr>
      </w:lvl>
    </w:lvlOverride>
    <w:lvlOverride w:ilvl="5">
      <w:startOverride w:val="1"/>
      <w:lvl w:ilvl="5">
        <w:start w:val="1"/>
        <w:numFmt w:val="none"/>
        <w:lvlText w:val=""/>
        <w:lvlJc w:val="left"/>
        <w:pPr>
          <w:ind w:left="1276" w:hanging="425"/>
        </w:pPr>
        <w:rPr>
          <w:rFonts w:hint="default"/>
        </w:rPr>
      </w:lvl>
    </w:lvlOverride>
    <w:lvlOverride w:ilvl="6">
      <w:startOverride w:val="1"/>
      <w:lvl w:ilvl="6">
        <w:start w:val="1"/>
        <w:numFmt w:val="none"/>
        <w:lvlText w:val="%7"/>
        <w:lvlJc w:val="left"/>
        <w:pPr>
          <w:ind w:left="1276" w:hanging="425"/>
        </w:pPr>
        <w:rPr>
          <w:rFonts w:hint="default"/>
        </w:rPr>
      </w:lvl>
    </w:lvlOverride>
    <w:lvlOverride w:ilvl="7">
      <w:startOverride w:val="1"/>
      <w:lvl w:ilvl="7">
        <w:start w:val="1"/>
        <w:numFmt w:val="none"/>
        <w:lvlText w:val=""/>
        <w:lvlJc w:val="left"/>
        <w:pPr>
          <w:ind w:left="1276" w:hanging="425"/>
        </w:pPr>
        <w:rPr>
          <w:rFonts w:hint="default"/>
        </w:rPr>
      </w:lvl>
    </w:lvlOverride>
    <w:lvlOverride w:ilvl="8">
      <w:startOverride w:val="1"/>
      <w:lvl w:ilvl="8">
        <w:start w:val="1"/>
        <w:numFmt w:val="none"/>
        <w:lvlText w:val=""/>
        <w:lvlJc w:val="left"/>
        <w:pPr>
          <w:ind w:left="1276" w:hanging="425"/>
        </w:pPr>
        <w:rPr>
          <w:rFonts w:hint="default"/>
        </w:rPr>
      </w:lvl>
    </w:lvlOverride>
  </w:num>
  <w:num w:numId="13">
    <w:abstractNumId w:val="6"/>
  </w:num>
  <w:num w:numId="14">
    <w:abstractNumId w:val="11"/>
  </w:num>
  <w:num w:numId="15">
    <w:abstractNumId w:val="3"/>
    <w:lvlOverride w:ilvl="0">
      <w:startOverride w:val="1"/>
      <w:lvl w:ilvl="0">
        <w:start w:val="1"/>
        <w:numFmt w:val="decimal"/>
        <w:pStyle w:val="Numberbullet0"/>
        <w:lvlText w:val="%1."/>
        <w:lvlJc w:val="left"/>
        <w:pPr>
          <w:ind w:left="425" w:hanging="425"/>
        </w:pPr>
        <w:rPr>
          <w:rFonts w:ascii="Cambria" w:hAnsi="Cambria" w:hint="default"/>
        </w:rPr>
      </w:lvl>
    </w:lvlOverride>
    <w:lvlOverride w:ilvl="1">
      <w:startOverride w:val="1"/>
      <w:lvl w:ilvl="1">
        <w:start w:val="1"/>
        <w:numFmt w:val="lowerLetter"/>
        <w:lvlText w:val="%2."/>
        <w:lvlJc w:val="left"/>
        <w:pPr>
          <w:ind w:left="851" w:hanging="426"/>
        </w:pPr>
        <w:rPr>
          <w:rFonts w:hint="default"/>
        </w:rPr>
      </w:lvl>
    </w:lvlOverride>
    <w:lvlOverride w:ilvl="2">
      <w:startOverride w:val="1"/>
      <w:lvl w:ilvl="2">
        <w:start w:val="1"/>
        <w:numFmt w:val="lowerRoman"/>
        <w:lvlText w:val="%3."/>
        <w:lvlJc w:val="left"/>
        <w:pPr>
          <w:ind w:left="1276" w:hanging="425"/>
        </w:pPr>
        <w:rPr>
          <w:rFonts w:hint="default"/>
        </w:rPr>
      </w:lvl>
    </w:lvlOverride>
    <w:lvlOverride w:ilvl="3">
      <w:startOverride w:val="1"/>
      <w:lvl w:ilvl="3">
        <w:start w:val="1"/>
        <w:numFmt w:val="none"/>
        <w:lvlText w:val=""/>
        <w:lvlJc w:val="left"/>
        <w:pPr>
          <w:ind w:left="1276" w:hanging="425"/>
        </w:pPr>
        <w:rPr>
          <w:rFonts w:hint="default"/>
        </w:rPr>
      </w:lvl>
    </w:lvlOverride>
    <w:lvlOverride w:ilvl="4">
      <w:startOverride w:val="1"/>
      <w:lvl w:ilvl="4">
        <w:start w:val="1"/>
        <w:numFmt w:val="none"/>
        <w:lvlText w:val=""/>
        <w:lvlJc w:val="left"/>
        <w:pPr>
          <w:ind w:left="1276" w:hanging="425"/>
        </w:pPr>
        <w:rPr>
          <w:rFonts w:hint="default"/>
        </w:rPr>
      </w:lvl>
    </w:lvlOverride>
    <w:lvlOverride w:ilvl="5">
      <w:startOverride w:val="1"/>
      <w:lvl w:ilvl="5">
        <w:start w:val="1"/>
        <w:numFmt w:val="none"/>
        <w:lvlText w:val=""/>
        <w:lvlJc w:val="left"/>
        <w:pPr>
          <w:ind w:left="1276" w:hanging="425"/>
        </w:pPr>
        <w:rPr>
          <w:rFonts w:hint="default"/>
        </w:rPr>
      </w:lvl>
    </w:lvlOverride>
    <w:lvlOverride w:ilvl="6">
      <w:startOverride w:val="1"/>
      <w:lvl w:ilvl="6">
        <w:start w:val="1"/>
        <w:numFmt w:val="none"/>
        <w:lvlText w:val="%7"/>
        <w:lvlJc w:val="left"/>
        <w:pPr>
          <w:ind w:left="1276" w:hanging="425"/>
        </w:pPr>
        <w:rPr>
          <w:rFonts w:hint="default"/>
        </w:rPr>
      </w:lvl>
    </w:lvlOverride>
    <w:lvlOverride w:ilvl="7">
      <w:startOverride w:val="1"/>
      <w:lvl w:ilvl="7">
        <w:start w:val="1"/>
        <w:numFmt w:val="none"/>
        <w:lvlText w:val=""/>
        <w:lvlJc w:val="left"/>
        <w:pPr>
          <w:ind w:left="1276" w:hanging="425"/>
        </w:pPr>
        <w:rPr>
          <w:rFonts w:hint="default"/>
        </w:rPr>
      </w:lvl>
    </w:lvlOverride>
    <w:lvlOverride w:ilvl="8">
      <w:startOverride w:val="1"/>
      <w:lvl w:ilvl="8">
        <w:start w:val="1"/>
        <w:numFmt w:val="none"/>
        <w:lvlText w:val=""/>
        <w:lvlJc w:val="left"/>
        <w:pPr>
          <w:ind w:left="1276" w:hanging="425"/>
        </w:pPr>
        <w:rPr>
          <w:rFonts w:hint="default"/>
        </w:rPr>
      </w:lvl>
    </w:lvlOverride>
  </w:num>
  <w:num w:numId="16">
    <w:abstractNumId w:val="20"/>
  </w:num>
  <w:num w:numId="17">
    <w:abstractNumId w:val="12"/>
  </w:num>
  <w:num w:numId="18">
    <w:abstractNumId w:val="26"/>
  </w:num>
  <w:num w:numId="19">
    <w:abstractNumId w:val="28"/>
  </w:num>
  <w:num w:numId="20">
    <w:abstractNumId w:val="21"/>
  </w:num>
  <w:num w:numId="21">
    <w:abstractNumId w:val="14"/>
  </w:num>
  <w:num w:numId="22">
    <w:abstractNumId w:val="25"/>
  </w:num>
  <w:num w:numId="23">
    <w:abstractNumId w:val="4"/>
    <w:lvlOverride w:ilvl="0">
      <w:lvl w:ilvl="0">
        <w:start w:val="1"/>
        <w:numFmt w:val="bullet"/>
        <w:lvlText w:val=""/>
        <w:lvlJc w:val="left"/>
        <w:pPr>
          <w:ind w:left="360" w:hanging="360"/>
        </w:pPr>
        <w:rPr>
          <w:rFonts w:ascii="Symbol" w:hAnsi="Symbol" w:hint="default"/>
        </w:rPr>
      </w:lvl>
    </w:lvlOverride>
    <w:lvlOverride w:ilvl="1">
      <w:lvl w:ilvl="1">
        <w:start w:val="1"/>
        <w:numFmt w:val="bullet"/>
        <w:lvlText w:val="–"/>
        <w:lvlJc w:val="left"/>
        <w:pPr>
          <w:ind w:left="720" w:hanging="360"/>
        </w:pPr>
        <w:rPr>
          <w:rFonts w:ascii="Arial" w:hAnsi="Arial" w:hint="default"/>
        </w:rPr>
      </w:lvl>
    </w:lvlOverride>
    <w:lvlOverride w:ilvl="2">
      <w:lvl w:ilvl="2">
        <w:start w:val="1"/>
        <w:numFmt w:val="bullet"/>
        <w:lvlText w:val=""/>
        <w:lvlJc w:val="left"/>
        <w:pPr>
          <w:ind w:left="1080" w:hanging="360"/>
        </w:pPr>
        <w:rPr>
          <w:rFonts w:ascii="Wingdings" w:hAnsi="Wingding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7"/>
        <w:lvlJc w:val="left"/>
        <w:pPr>
          <w:ind w:left="2520" w:hanging="360"/>
        </w:pPr>
        <w:rPr>
          <w:rFonts w:hint="default"/>
        </w:rPr>
      </w:lvl>
    </w:lvlOverride>
    <w:lvlOverride w:ilvl="7">
      <w:lvl w:ilvl="7">
        <w:start w:val="1"/>
        <w:numFmt w:val="none"/>
        <w:lvlText w:val="%8"/>
        <w:lvlJc w:val="left"/>
        <w:pPr>
          <w:ind w:left="2880" w:hanging="360"/>
        </w:pPr>
        <w:rPr>
          <w:rFonts w:hint="default"/>
        </w:rPr>
      </w:lvl>
    </w:lvlOverride>
    <w:lvlOverride w:ilvl="8">
      <w:lvl w:ilvl="8">
        <w:start w:val="1"/>
        <w:numFmt w:val="none"/>
        <w:lvlText w:val="%9"/>
        <w:lvlJc w:val="left"/>
        <w:pPr>
          <w:ind w:left="3240" w:hanging="360"/>
        </w:pPr>
        <w:rPr>
          <w:rFonts w:hint="default"/>
        </w:rPr>
      </w:lvl>
    </w:lvlOverride>
  </w:num>
  <w:num w:numId="24">
    <w:abstractNumId w:val="4"/>
    <w:lvlOverride w:ilvl="0">
      <w:lvl w:ilvl="0">
        <w:start w:val="1"/>
        <w:numFmt w:val="bullet"/>
        <w:lvlText w:val=""/>
        <w:lvlJc w:val="left"/>
        <w:pPr>
          <w:ind w:left="360" w:hanging="360"/>
        </w:pPr>
        <w:rPr>
          <w:rFonts w:ascii="Symbol" w:hAnsi="Symbol" w:hint="default"/>
        </w:rPr>
      </w:lvl>
    </w:lvlOverride>
    <w:lvlOverride w:ilvl="1">
      <w:lvl w:ilvl="1">
        <w:start w:val="1"/>
        <w:numFmt w:val="bullet"/>
        <w:lvlText w:val="–"/>
        <w:lvlJc w:val="left"/>
        <w:pPr>
          <w:ind w:left="720" w:hanging="360"/>
        </w:pPr>
        <w:rPr>
          <w:rFonts w:ascii="Arial" w:hAnsi="Arial" w:hint="default"/>
        </w:rPr>
      </w:lvl>
    </w:lvlOverride>
    <w:lvlOverride w:ilvl="2">
      <w:lvl w:ilvl="2">
        <w:start w:val="1"/>
        <w:numFmt w:val="bullet"/>
        <w:lvlText w:val=""/>
        <w:lvlJc w:val="left"/>
        <w:pPr>
          <w:ind w:left="1080" w:hanging="360"/>
        </w:pPr>
        <w:rPr>
          <w:rFonts w:ascii="Wingdings" w:hAnsi="Wingding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7"/>
        <w:lvlJc w:val="left"/>
        <w:pPr>
          <w:ind w:left="2520" w:hanging="360"/>
        </w:pPr>
        <w:rPr>
          <w:rFonts w:hint="default"/>
        </w:rPr>
      </w:lvl>
    </w:lvlOverride>
    <w:lvlOverride w:ilvl="7">
      <w:lvl w:ilvl="7">
        <w:start w:val="1"/>
        <w:numFmt w:val="none"/>
        <w:lvlText w:val="%8"/>
        <w:lvlJc w:val="left"/>
        <w:pPr>
          <w:ind w:left="2880" w:hanging="360"/>
        </w:pPr>
        <w:rPr>
          <w:rFonts w:hint="default"/>
        </w:rPr>
      </w:lvl>
    </w:lvlOverride>
    <w:lvlOverride w:ilvl="8">
      <w:lvl w:ilvl="8">
        <w:start w:val="1"/>
        <w:numFmt w:val="none"/>
        <w:lvlText w:val="%9"/>
        <w:lvlJc w:val="left"/>
        <w:pPr>
          <w:ind w:left="3240" w:hanging="360"/>
        </w:pPr>
        <w:rPr>
          <w:rFonts w:hint="default"/>
        </w:rPr>
      </w:lvl>
    </w:lvlOverride>
  </w:num>
  <w:num w:numId="25">
    <w:abstractNumId w:val="4"/>
    <w:lvlOverride w:ilvl="0">
      <w:lvl w:ilvl="0">
        <w:start w:val="1"/>
        <w:numFmt w:val="bullet"/>
        <w:lvlText w:val=""/>
        <w:lvlJc w:val="left"/>
        <w:pPr>
          <w:ind w:left="360" w:hanging="360"/>
        </w:pPr>
        <w:rPr>
          <w:rFonts w:ascii="Symbol" w:hAnsi="Symbol" w:hint="default"/>
        </w:rPr>
      </w:lvl>
    </w:lvlOverride>
    <w:lvlOverride w:ilvl="1">
      <w:lvl w:ilvl="1">
        <w:start w:val="1"/>
        <w:numFmt w:val="bullet"/>
        <w:lvlText w:val="–"/>
        <w:lvlJc w:val="left"/>
        <w:pPr>
          <w:ind w:left="720" w:hanging="360"/>
        </w:pPr>
        <w:rPr>
          <w:rFonts w:ascii="Arial" w:hAnsi="Arial" w:hint="default"/>
        </w:rPr>
      </w:lvl>
    </w:lvlOverride>
    <w:lvlOverride w:ilvl="2">
      <w:lvl w:ilvl="2">
        <w:start w:val="1"/>
        <w:numFmt w:val="bullet"/>
        <w:lvlText w:val=""/>
        <w:lvlJc w:val="left"/>
        <w:pPr>
          <w:ind w:left="1080" w:hanging="360"/>
        </w:pPr>
        <w:rPr>
          <w:rFonts w:ascii="Wingdings" w:hAnsi="Wingding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7"/>
        <w:lvlJc w:val="left"/>
        <w:pPr>
          <w:ind w:left="2520" w:hanging="360"/>
        </w:pPr>
        <w:rPr>
          <w:rFonts w:hint="default"/>
        </w:rPr>
      </w:lvl>
    </w:lvlOverride>
    <w:lvlOverride w:ilvl="7">
      <w:lvl w:ilvl="7">
        <w:start w:val="1"/>
        <w:numFmt w:val="none"/>
        <w:lvlText w:val="%8"/>
        <w:lvlJc w:val="left"/>
        <w:pPr>
          <w:ind w:left="2880" w:hanging="360"/>
        </w:pPr>
        <w:rPr>
          <w:rFonts w:hint="default"/>
        </w:rPr>
      </w:lvl>
    </w:lvlOverride>
    <w:lvlOverride w:ilvl="8">
      <w:lvl w:ilvl="8">
        <w:start w:val="1"/>
        <w:numFmt w:val="none"/>
        <w:lvlText w:val="%9"/>
        <w:lvlJc w:val="left"/>
        <w:pPr>
          <w:ind w:left="3240" w:hanging="360"/>
        </w:pPr>
        <w:rPr>
          <w:rFonts w:hint="default"/>
        </w:rPr>
      </w:lvl>
    </w:lvlOverride>
  </w:num>
  <w:num w:numId="26">
    <w:abstractNumId w:val="4"/>
    <w:lvlOverride w:ilvl="0">
      <w:lvl w:ilvl="0">
        <w:start w:val="1"/>
        <w:numFmt w:val="bullet"/>
        <w:lvlText w:val=""/>
        <w:lvlJc w:val="left"/>
        <w:pPr>
          <w:ind w:left="360" w:hanging="360"/>
        </w:pPr>
        <w:rPr>
          <w:rFonts w:ascii="Symbol" w:hAnsi="Symbol" w:hint="default"/>
        </w:rPr>
      </w:lvl>
    </w:lvlOverride>
    <w:lvlOverride w:ilvl="1">
      <w:lvl w:ilvl="1">
        <w:start w:val="1"/>
        <w:numFmt w:val="bullet"/>
        <w:lvlText w:val="–"/>
        <w:lvlJc w:val="left"/>
        <w:pPr>
          <w:ind w:left="720" w:hanging="360"/>
        </w:pPr>
        <w:rPr>
          <w:rFonts w:ascii="Arial" w:hAnsi="Arial" w:hint="default"/>
        </w:rPr>
      </w:lvl>
    </w:lvlOverride>
    <w:lvlOverride w:ilvl="2">
      <w:lvl w:ilvl="2">
        <w:start w:val="1"/>
        <w:numFmt w:val="bullet"/>
        <w:lvlText w:val=""/>
        <w:lvlJc w:val="left"/>
        <w:pPr>
          <w:ind w:left="1080" w:hanging="360"/>
        </w:pPr>
        <w:rPr>
          <w:rFonts w:ascii="Wingdings" w:hAnsi="Wingding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7"/>
        <w:lvlJc w:val="left"/>
        <w:pPr>
          <w:ind w:left="2520" w:hanging="360"/>
        </w:pPr>
        <w:rPr>
          <w:rFonts w:hint="default"/>
        </w:rPr>
      </w:lvl>
    </w:lvlOverride>
    <w:lvlOverride w:ilvl="7">
      <w:lvl w:ilvl="7">
        <w:start w:val="1"/>
        <w:numFmt w:val="none"/>
        <w:lvlText w:val="%8"/>
        <w:lvlJc w:val="left"/>
        <w:pPr>
          <w:ind w:left="2880" w:hanging="360"/>
        </w:pPr>
        <w:rPr>
          <w:rFonts w:hint="default"/>
        </w:rPr>
      </w:lvl>
    </w:lvlOverride>
    <w:lvlOverride w:ilvl="8">
      <w:lvl w:ilvl="8">
        <w:start w:val="1"/>
        <w:numFmt w:val="none"/>
        <w:lvlText w:val="%9"/>
        <w:lvlJc w:val="left"/>
        <w:pPr>
          <w:ind w:left="3240" w:hanging="360"/>
        </w:pPr>
        <w:rPr>
          <w:rFonts w:hint="default"/>
        </w:rPr>
      </w:lvl>
    </w:lvlOverride>
  </w:num>
  <w:num w:numId="27">
    <w:abstractNumId w:val="4"/>
    <w:lvlOverride w:ilvl="0">
      <w:lvl w:ilvl="0">
        <w:start w:val="1"/>
        <w:numFmt w:val="bullet"/>
        <w:lvlText w:val=""/>
        <w:lvlJc w:val="left"/>
        <w:pPr>
          <w:ind w:left="360" w:hanging="360"/>
        </w:pPr>
        <w:rPr>
          <w:rFonts w:ascii="Symbol" w:hAnsi="Symbol" w:hint="default"/>
        </w:rPr>
      </w:lvl>
    </w:lvlOverride>
    <w:lvlOverride w:ilvl="1">
      <w:lvl w:ilvl="1">
        <w:start w:val="1"/>
        <w:numFmt w:val="bullet"/>
        <w:lvlText w:val="–"/>
        <w:lvlJc w:val="left"/>
        <w:pPr>
          <w:ind w:left="720" w:hanging="360"/>
        </w:pPr>
        <w:rPr>
          <w:rFonts w:ascii="Arial" w:hAnsi="Arial" w:hint="default"/>
        </w:rPr>
      </w:lvl>
    </w:lvlOverride>
    <w:lvlOverride w:ilvl="2">
      <w:lvl w:ilvl="2">
        <w:start w:val="1"/>
        <w:numFmt w:val="bullet"/>
        <w:lvlText w:val=""/>
        <w:lvlJc w:val="left"/>
        <w:pPr>
          <w:ind w:left="1080" w:hanging="360"/>
        </w:pPr>
        <w:rPr>
          <w:rFonts w:ascii="Wingdings" w:hAnsi="Wingding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7"/>
        <w:lvlJc w:val="left"/>
        <w:pPr>
          <w:ind w:left="2520" w:hanging="360"/>
        </w:pPr>
        <w:rPr>
          <w:rFonts w:hint="default"/>
        </w:rPr>
      </w:lvl>
    </w:lvlOverride>
    <w:lvlOverride w:ilvl="7">
      <w:lvl w:ilvl="7">
        <w:start w:val="1"/>
        <w:numFmt w:val="none"/>
        <w:lvlText w:val="%8"/>
        <w:lvlJc w:val="left"/>
        <w:pPr>
          <w:ind w:left="2880" w:hanging="360"/>
        </w:pPr>
        <w:rPr>
          <w:rFonts w:hint="default"/>
        </w:rPr>
      </w:lvl>
    </w:lvlOverride>
    <w:lvlOverride w:ilvl="8">
      <w:lvl w:ilvl="8">
        <w:start w:val="1"/>
        <w:numFmt w:val="none"/>
        <w:lvlText w:val="%9"/>
        <w:lvlJc w:val="left"/>
        <w:pPr>
          <w:ind w:left="3240" w:hanging="360"/>
        </w:pPr>
        <w:rPr>
          <w:rFonts w:hint="default"/>
        </w:rPr>
      </w:lvl>
    </w:lvlOverride>
  </w:num>
  <w:num w:numId="28">
    <w:abstractNumId w:val="17"/>
  </w:num>
  <w:num w:numId="29">
    <w:abstractNumId w:val="2"/>
  </w:num>
  <w:num w:numId="30">
    <w:abstractNumId w:val="0"/>
  </w:num>
  <w:num w:numId="31">
    <w:abstractNumId w:val="9"/>
  </w:num>
  <w:num w:numId="32">
    <w:abstractNumId w:val="18"/>
  </w:num>
  <w:num w:numId="33">
    <w:abstractNumId w:val="22"/>
  </w:num>
  <w:num w:numId="34">
    <w:abstractNumId w:val="33"/>
  </w:num>
  <w:num w:numId="35">
    <w:abstractNumId w:val="27"/>
  </w:num>
  <w:num w:numId="36">
    <w:abstractNumId w:val="29"/>
  </w:num>
  <w:num w:numId="37">
    <w:abstractNumId w:val="31"/>
  </w:num>
  <w:num w:numId="38">
    <w:abstractNumId w:val="32"/>
  </w:num>
  <w:num w:numId="39">
    <w:abstractNumId w:val="1"/>
  </w:num>
  <w:num w:numId="40">
    <w:abstractNumId w:val="16"/>
  </w:num>
  <w:num w:numId="41">
    <w:abstractNumId w:val="10"/>
  </w:num>
  <w:num w:numId="42">
    <w:abstractNumId w:val="30"/>
  </w:num>
  <w:num w:numId="43">
    <w:abstractNumId w:val="3"/>
    <w:lvlOverride w:ilvl="0">
      <w:lvl w:ilvl="0">
        <w:start w:val="1"/>
        <w:numFmt w:val="decimal"/>
        <w:pStyle w:val="Numberbullet0"/>
        <w:lvlText w:val="%1."/>
        <w:lvlJc w:val="left"/>
        <w:pPr>
          <w:ind w:left="425" w:hanging="425"/>
        </w:pPr>
        <w:rPr>
          <w:rFonts w:ascii="Cambria" w:hAnsi="Cambria" w:hint="default"/>
        </w:rPr>
      </w:lvl>
    </w:lvlOverride>
    <w:lvlOverride w:ilvl="1">
      <w:lvl w:ilvl="1">
        <w:start w:val="1"/>
        <w:numFmt w:val="lowerLetter"/>
        <w:lvlText w:val="%2."/>
        <w:lvlJc w:val="left"/>
        <w:pPr>
          <w:ind w:left="851" w:hanging="426"/>
        </w:pPr>
        <w:rPr>
          <w:rFonts w:hint="default"/>
        </w:rPr>
      </w:lvl>
    </w:lvlOverride>
    <w:lvlOverride w:ilvl="2">
      <w:lvl w:ilvl="2">
        <w:start w:val="1"/>
        <w:numFmt w:val="lowerRoman"/>
        <w:lvlText w:val="%3."/>
        <w:lvlJc w:val="left"/>
        <w:pPr>
          <w:ind w:left="1276" w:hanging="425"/>
        </w:pPr>
        <w:rPr>
          <w:rFonts w:hint="default"/>
        </w:rPr>
      </w:lvl>
    </w:lvlOverride>
    <w:lvlOverride w:ilvl="3">
      <w:lvl w:ilvl="3">
        <w:start w:val="1"/>
        <w:numFmt w:val="none"/>
        <w:lvlText w:val=""/>
        <w:lvlJc w:val="left"/>
        <w:pPr>
          <w:ind w:left="1276" w:hanging="425"/>
        </w:pPr>
        <w:rPr>
          <w:rFonts w:hint="default"/>
        </w:rPr>
      </w:lvl>
    </w:lvlOverride>
    <w:lvlOverride w:ilvl="4">
      <w:lvl w:ilvl="4">
        <w:start w:val="1"/>
        <w:numFmt w:val="none"/>
        <w:lvlText w:val=""/>
        <w:lvlJc w:val="left"/>
        <w:pPr>
          <w:ind w:left="1276" w:hanging="425"/>
        </w:pPr>
        <w:rPr>
          <w:rFonts w:hint="default"/>
        </w:rPr>
      </w:lvl>
    </w:lvlOverride>
    <w:lvlOverride w:ilvl="5">
      <w:lvl w:ilvl="5">
        <w:start w:val="1"/>
        <w:numFmt w:val="none"/>
        <w:lvlText w:val=""/>
        <w:lvlJc w:val="left"/>
        <w:pPr>
          <w:ind w:left="1276" w:hanging="425"/>
        </w:pPr>
        <w:rPr>
          <w:rFonts w:hint="default"/>
        </w:rPr>
      </w:lvl>
    </w:lvlOverride>
    <w:lvlOverride w:ilvl="6">
      <w:lvl w:ilvl="6">
        <w:start w:val="1"/>
        <w:numFmt w:val="none"/>
        <w:lvlText w:val="%7"/>
        <w:lvlJc w:val="left"/>
        <w:pPr>
          <w:ind w:left="1276" w:hanging="425"/>
        </w:pPr>
        <w:rPr>
          <w:rFonts w:hint="default"/>
        </w:rPr>
      </w:lvl>
    </w:lvlOverride>
    <w:lvlOverride w:ilvl="7">
      <w:lvl w:ilvl="7">
        <w:start w:val="1"/>
        <w:numFmt w:val="none"/>
        <w:lvlText w:val=""/>
        <w:lvlJc w:val="left"/>
        <w:pPr>
          <w:ind w:left="1276" w:hanging="425"/>
        </w:pPr>
        <w:rPr>
          <w:rFonts w:hint="default"/>
        </w:rPr>
      </w:lvl>
    </w:lvlOverride>
    <w:lvlOverride w:ilvl="8">
      <w:lvl w:ilvl="8">
        <w:start w:val="1"/>
        <w:numFmt w:val="none"/>
        <w:lvlText w:val=""/>
        <w:lvlJc w:val="left"/>
        <w:pPr>
          <w:ind w:left="1276" w:hanging="425"/>
        </w:pPr>
        <w:rPr>
          <w:rFonts w:hint="default"/>
        </w:rPr>
      </w:lvl>
    </w:lvlOverride>
  </w:num>
  <w:num w:numId="44">
    <w:abstractNumId w:val="3"/>
    <w:lvlOverride w:ilvl="0">
      <w:lvl w:ilvl="0">
        <w:start w:val="1"/>
        <w:numFmt w:val="decimal"/>
        <w:pStyle w:val="Numberbullet0"/>
        <w:lvlText w:val="%1."/>
        <w:lvlJc w:val="left"/>
        <w:pPr>
          <w:ind w:left="425" w:hanging="425"/>
        </w:pPr>
        <w:rPr>
          <w:rFonts w:ascii="Cambria" w:hAnsi="Cambria" w:hint="default"/>
        </w:rPr>
      </w:lvl>
    </w:lvlOverride>
    <w:lvlOverride w:ilvl="1">
      <w:lvl w:ilvl="1">
        <w:start w:val="1"/>
        <w:numFmt w:val="lowerLetter"/>
        <w:lvlText w:val="%2."/>
        <w:lvlJc w:val="left"/>
        <w:pPr>
          <w:ind w:left="851" w:hanging="426"/>
        </w:pPr>
        <w:rPr>
          <w:rFonts w:hint="default"/>
        </w:rPr>
      </w:lvl>
    </w:lvlOverride>
    <w:lvlOverride w:ilvl="2">
      <w:lvl w:ilvl="2">
        <w:start w:val="1"/>
        <w:numFmt w:val="lowerRoman"/>
        <w:lvlText w:val="%3."/>
        <w:lvlJc w:val="left"/>
        <w:pPr>
          <w:ind w:left="1276" w:hanging="425"/>
        </w:pPr>
        <w:rPr>
          <w:rFonts w:hint="default"/>
        </w:rPr>
      </w:lvl>
    </w:lvlOverride>
    <w:lvlOverride w:ilvl="3">
      <w:lvl w:ilvl="3">
        <w:start w:val="1"/>
        <w:numFmt w:val="none"/>
        <w:lvlText w:val=""/>
        <w:lvlJc w:val="left"/>
        <w:pPr>
          <w:ind w:left="1276" w:hanging="425"/>
        </w:pPr>
        <w:rPr>
          <w:rFonts w:hint="default"/>
        </w:rPr>
      </w:lvl>
    </w:lvlOverride>
    <w:lvlOverride w:ilvl="4">
      <w:lvl w:ilvl="4">
        <w:start w:val="1"/>
        <w:numFmt w:val="none"/>
        <w:lvlText w:val=""/>
        <w:lvlJc w:val="left"/>
        <w:pPr>
          <w:ind w:left="1276" w:hanging="425"/>
        </w:pPr>
        <w:rPr>
          <w:rFonts w:hint="default"/>
        </w:rPr>
      </w:lvl>
    </w:lvlOverride>
    <w:lvlOverride w:ilvl="5">
      <w:lvl w:ilvl="5">
        <w:start w:val="1"/>
        <w:numFmt w:val="none"/>
        <w:lvlText w:val=""/>
        <w:lvlJc w:val="left"/>
        <w:pPr>
          <w:ind w:left="1276" w:hanging="425"/>
        </w:pPr>
        <w:rPr>
          <w:rFonts w:hint="default"/>
        </w:rPr>
      </w:lvl>
    </w:lvlOverride>
    <w:lvlOverride w:ilvl="6">
      <w:lvl w:ilvl="6">
        <w:start w:val="1"/>
        <w:numFmt w:val="none"/>
        <w:lvlText w:val="%7"/>
        <w:lvlJc w:val="left"/>
        <w:pPr>
          <w:ind w:left="1276" w:hanging="425"/>
        </w:pPr>
        <w:rPr>
          <w:rFonts w:hint="default"/>
        </w:rPr>
      </w:lvl>
    </w:lvlOverride>
    <w:lvlOverride w:ilvl="7">
      <w:lvl w:ilvl="7">
        <w:start w:val="1"/>
        <w:numFmt w:val="none"/>
        <w:lvlText w:val=""/>
        <w:lvlJc w:val="left"/>
        <w:pPr>
          <w:ind w:left="1276" w:hanging="425"/>
        </w:pPr>
        <w:rPr>
          <w:rFonts w:hint="default"/>
        </w:rPr>
      </w:lvl>
    </w:lvlOverride>
    <w:lvlOverride w:ilvl="8">
      <w:lvl w:ilvl="8">
        <w:start w:val="1"/>
        <w:numFmt w:val="none"/>
        <w:lvlText w:val=""/>
        <w:lvlJc w:val="left"/>
        <w:pPr>
          <w:ind w:left="1276" w:hanging="425"/>
        </w:pPr>
        <w:rPr>
          <w:rFonts w:hint="default"/>
        </w:rPr>
      </w:lvl>
    </w:lvlOverride>
  </w:num>
  <w:num w:numId="45">
    <w:abstractNumId w:val="19"/>
  </w:num>
  <w:num w:numId="46">
    <w:abstractNumId w:val="15"/>
  </w:num>
  <w:num w:numId="4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displayBackgroundShape/>
  <w:proofState w:spelling="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64" fill="f" fillcolor="#c6d4e9" strokecolor="#002c47">
      <v:fill color="#c6d4e9" on="f"/>
      <v:stroke color="#002c47"/>
    </o:shapedefaults>
    <o:shapelayout v:ext="edit">
      <o:idmap v:ext="edit" data="2"/>
    </o:shapelayout>
  </w:hdrShapeDefaults>
  <w:footnotePr>
    <w:footnote w:id="-1"/>
    <w:footnote w:id="0"/>
  </w:footnotePr>
  <w:endnotePr>
    <w:pos w:val="sectEnd"/>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0C7"/>
    <w:rsid w:val="0000062F"/>
    <w:rsid w:val="00002031"/>
    <w:rsid w:val="000040BA"/>
    <w:rsid w:val="00004734"/>
    <w:rsid w:val="00006B22"/>
    <w:rsid w:val="00010A18"/>
    <w:rsid w:val="00010E4D"/>
    <w:rsid w:val="0001276A"/>
    <w:rsid w:val="00016BEB"/>
    <w:rsid w:val="0002249D"/>
    <w:rsid w:val="000246AE"/>
    <w:rsid w:val="00025C67"/>
    <w:rsid w:val="00032FFB"/>
    <w:rsid w:val="00046584"/>
    <w:rsid w:val="00046BDB"/>
    <w:rsid w:val="000512E5"/>
    <w:rsid w:val="00052D93"/>
    <w:rsid w:val="0005559E"/>
    <w:rsid w:val="000579A0"/>
    <w:rsid w:val="000631DB"/>
    <w:rsid w:val="0006736C"/>
    <w:rsid w:val="00070216"/>
    <w:rsid w:val="000703AB"/>
    <w:rsid w:val="000711F1"/>
    <w:rsid w:val="00074D14"/>
    <w:rsid w:val="00077775"/>
    <w:rsid w:val="00082C3C"/>
    <w:rsid w:val="00090471"/>
    <w:rsid w:val="00090BFA"/>
    <w:rsid w:val="000934A6"/>
    <w:rsid w:val="000A04C2"/>
    <w:rsid w:val="000A18EA"/>
    <w:rsid w:val="000A1A9E"/>
    <w:rsid w:val="000A28CA"/>
    <w:rsid w:val="000A2C47"/>
    <w:rsid w:val="000A3543"/>
    <w:rsid w:val="000A4147"/>
    <w:rsid w:val="000A4371"/>
    <w:rsid w:val="000B22A2"/>
    <w:rsid w:val="000B30E5"/>
    <w:rsid w:val="000B3532"/>
    <w:rsid w:val="000B3A75"/>
    <w:rsid w:val="000B574E"/>
    <w:rsid w:val="000B5E4E"/>
    <w:rsid w:val="000B6CAE"/>
    <w:rsid w:val="000B7084"/>
    <w:rsid w:val="000C70C7"/>
    <w:rsid w:val="000D0851"/>
    <w:rsid w:val="000D157F"/>
    <w:rsid w:val="000D391B"/>
    <w:rsid w:val="000D3D6D"/>
    <w:rsid w:val="000D4FC7"/>
    <w:rsid w:val="000D5840"/>
    <w:rsid w:val="000F0241"/>
    <w:rsid w:val="000F1C73"/>
    <w:rsid w:val="000F1D3F"/>
    <w:rsid w:val="000F4869"/>
    <w:rsid w:val="000F5176"/>
    <w:rsid w:val="000F5978"/>
    <w:rsid w:val="000F5B42"/>
    <w:rsid w:val="000F6E6F"/>
    <w:rsid w:val="001003F2"/>
    <w:rsid w:val="00102BDA"/>
    <w:rsid w:val="00103812"/>
    <w:rsid w:val="0010601F"/>
    <w:rsid w:val="00110EA5"/>
    <w:rsid w:val="0011511B"/>
    <w:rsid w:val="00115240"/>
    <w:rsid w:val="00115508"/>
    <w:rsid w:val="001210F1"/>
    <w:rsid w:val="00125091"/>
    <w:rsid w:val="00125318"/>
    <w:rsid w:val="001305A2"/>
    <w:rsid w:val="00133238"/>
    <w:rsid w:val="0013799D"/>
    <w:rsid w:val="00140FE3"/>
    <w:rsid w:val="0014197B"/>
    <w:rsid w:val="0014247A"/>
    <w:rsid w:val="001447CD"/>
    <w:rsid w:val="001500F7"/>
    <w:rsid w:val="001516B1"/>
    <w:rsid w:val="001525B4"/>
    <w:rsid w:val="00156316"/>
    <w:rsid w:val="001567A9"/>
    <w:rsid w:val="00164F16"/>
    <w:rsid w:val="00165389"/>
    <w:rsid w:val="00165DC3"/>
    <w:rsid w:val="00167E05"/>
    <w:rsid w:val="001713A3"/>
    <w:rsid w:val="00172A15"/>
    <w:rsid w:val="0017693F"/>
    <w:rsid w:val="0018110E"/>
    <w:rsid w:val="00181684"/>
    <w:rsid w:val="00182DFF"/>
    <w:rsid w:val="001843C6"/>
    <w:rsid w:val="001850E0"/>
    <w:rsid w:val="00185D3A"/>
    <w:rsid w:val="0018660B"/>
    <w:rsid w:val="00187559"/>
    <w:rsid w:val="00192AAA"/>
    <w:rsid w:val="001940CF"/>
    <w:rsid w:val="001A38DB"/>
    <w:rsid w:val="001A525F"/>
    <w:rsid w:val="001A6FAB"/>
    <w:rsid w:val="001B0924"/>
    <w:rsid w:val="001B09F9"/>
    <w:rsid w:val="001B20F1"/>
    <w:rsid w:val="001B31AC"/>
    <w:rsid w:val="001B6448"/>
    <w:rsid w:val="001C3A9E"/>
    <w:rsid w:val="001C75F7"/>
    <w:rsid w:val="001D1457"/>
    <w:rsid w:val="001D56B6"/>
    <w:rsid w:val="001D7224"/>
    <w:rsid w:val="001E07CF"/>
    <w:rsid w:val="001E280D"/>
    <w:rsid w:val="001E59F1"/>
    <w:rsid w:val="001F124F"/>
    <w:rsid w:val="001F20F9"/>
    <w:rsid w:val="001F49EB"/>
    <w:rsid w:val="001F6CBA"/>
    <w:rsid w:val="00201D4E"/>
    <w:rsid w:val="0021214E"/>
    <w:rsid w:val="00212FE1"/>
    <w:rsid w:val="00217091"/>
    <w:rsid w:val="00220B8A"/>
    <w:rsid w:val="002257F3"/>
    <w:rsid w:val="002312ED"/>
    <w:rsid w:val="00231E8D"/>
    <w:rsid w:val="00233456"/>
    <w:rsid w:val="002339A5"/>
    <w:rsid w:val="00237691"/>
    <w:rsid w:val="00241577"/>
    <w:rsid w:val="00245A41"/>
    <w:rsid w:val="00247FB9"/>
    <w:rsid w:val="00257138"/>
    <w:rsid w:val="00257848"/>
    <w:rsid w:val="0027084A"/>
    <w:rsid w:val="00283552"/>
    <w:rsid w:val="00286434"/>
    <w:rsid w:val="00286C59"/>
    <w:rsid w:val="00290795"/>
    <w:rsid w:val="002942D1"/>
    <w:rsid w:val="002A0556"/>
    <w:rsid w:val="002A3077"/>
    <w:rsid w:val="002A3C5E"/>
    <w:rsid w:val="002A5B3A"/>
    <w:rsid w:val="002B1638"/>
    <w:rsid w:val="002B2016"/>
    <w:rsid w:val="002B25CB"/>
    <w:rsid w:val="002B29B2"/>
    <w:rsid w:val="002B35F4"/>
    <w:rsid w:val="002C376C"/>
    <w:rsid w:val="002C4778"/>
    <w:rsid w:val="002C6E9C"/>
    <w:rsid w:val="002D018E"/>
    <w:rsid w:val="002D5552"/>
    <w:rsid w:val="002D6E84"/>
    <w:rsid w:val="002E0593"/>
    <w:rsid w:val="002E193A"/>
    <w:rsid w:val="002E364F"/>
    <w:rsid w:val="002E4C9A"/>
    <w:rsid w:val="002E6573"/>
    <w:rsid w:val="002F11F8"/>
    <w:rsid w:val="002F260A"/>
    <w:rsid w:val="002F3F56"/>
    <w:rsid w:val="002F41CC"/>
    <w:rsid w:val="002F44B5"/>
    <w:rsid w:val="002F6B60"/>
    <w:rsid w:val="00300350"/>
    <w:rsid w:val="00301FA3"/>
    <w:rsid w:val="003073CF"/>
    <w:rsid w:val="00311AC0"/>
    <w:rsid w:val="00312705"/>
    <w:rsid w:val="00323F14"/>
    <w:rsid w:val="003252DE"/>
    <w:rsid w:val="00330277"/>
    <w:rsid w:val="00331DBB"/>
    <w:rsid w:val="00333592"/>
    <w:rsid w:val="00335C3B"/>
    <w:rsid w:val="003361D1"/>
    <w:rsid w:val="0034281B"/>
    <w:rsid w:val="00350236"/>
    <w:rsid w:val="0035146C"/>
    <w:rsid w:val="003521E8"/>
    <w:rsid w:val="0035410D"/>
    <w:rsid w:val="00356287"/>
    <w:rsid w:val="00357700"/>
    <w:rsid w:val="0036000A"/>
    <w:rsid w:val="0036361E"/>
    <w:rsid w:val="003664BF"/>
    <w:rsid w:val="003711B3"/>
    <w:rsid w:val="003728F3"/>
    <w:rsid w:val="00376793"/>
    <w:rsid w:val="003800B4"/>
    <w:rsid w:val="00390900"/>
    <w:rsid w:val="00390B02"/>
    <w:rsid w:val="00395A5F"/>
    <w:rsid w:val="003A2DDF"/>
    <w:rsid w:val="003A4020"/>
    <w:rsid w:val="003B362C"/>
    <w:rsid w:val="003B7E39"/>
    <w:rsid w:val="003C58DC"/>
    <w:rsid w:val="003D2CA7"/>
    <w:rsid w:val="003D3B63"/>
    <w:rsid w:val="003D6B56"/>
    <w:rsid w:val="003E0A89"/>
    <w:rsid w:val="003E19C1"/>
    <w:rsid w:val="003E3208"/>
    <w:rsid w:val="003E6B88"/>
    <w:rsid w:val="003F0B04"/>
    <w:rsid w:val="003F2E95"/>
    <w:rsid w:val="003F472A"/>
    <w:rsid w:val="0040134E"/>
    <w:rsid w:val="004015D9"/>
    <w:rsid w:val="00404B57"/>
    <w:rsid w:val="00406DB9"/>
    <w:rsid w:val="00416BCB"/>
    <w:rsid w:val="00431BD9"/>
    <w:rsid w:val="0043267E"/>
    <w:rsid w:val="00435CCD"/>
    <w:rsid w:val="00437CCC"/>
    <w:rsid w:val="00440A2D"/>
    <w:rsid w:val="00447E67"/>
    <w:rsid w:val="00450843"/>
    <w:rsid w:val="00454CEB"/>
    <w:rsid w:val="00455AFE"/>
    <w:rsid w:val="004564A7"/>
    <w:rsid w:val="00460CCF"/>
    <w:rsid w:val="00461113"/>
    <w:rsid w:val="0046168D"/>
    <w:rsid w:val="004617BF"/>
    <w:rsid w:val="00461AA0"/>
    <w:rsid w:val="00465901"/>
    <w:rsid w:val="00466AD6"/>
    <w:rsid w:val="00467FCB"/>
    <w:rsid w:val="00470247"/>
    <w:rsid w:val="00473864"/>
    <w:rsid w:val="00473AE2"/>
    <w:rsid w:val="00480F71"/>
    <w:rsid w:val="00483D37"/>
    <w:rsid w:val="00485F72"/>
    <w:rsid w:val="004923FF"/>
    <w:rsid w:val="004927EC"/>
    <w:rsid w:val="00494CA4"/>
    <w:rsid w:val="00494E60"/>
    <w:rsid w:val="0049734C"/>
    <w:rsid w:val="004A3084"/>
    <w:rsid w:val="004A56B9"/>
    <w:rsid w:val="004B7B76"/>
    <w:rsid w:val="004C0070"/>
    <w:rsid w:val="004C100A"/>
    <w:rsid w:val="004C4096"/>
    <w:rsid w:val="004C7068"/>
    <w:rsid w:val="004D1332"/>
    <w:rsid w:val="004D404D"/>
    <w:rsid w:val="004D40F9"/>
    <w:rsid w:val="004D51A6"/>
    <w:rsid w:val="004D7B79"/>
    <w:rsid w:val="004E02D0"/>
    <w:rsid w:val="004E0C24"/>
    <w:rsid w:val="004F0F38"/>
    <w:rsid w:val="004F1240"/>
    <w:rsid w:val="004F40D8"/>
    <w:rsid w:val="004F484B"/>
    <w:rsid w:val="004F4866"/>
    <w:rsid w:val="00501921"/>
    <w:rsid w:val="005050E3"/>
    <w:rsid w:val="00505612"/>
    <w:rsid w:val="00510E78"/>
    <w:rsid w:val="00514884"/>
    <w:rsid w:val="00520605"/>
    <w:rsid w:val="00520B67"/>
    <w:rsid w:val="00524C80"/>
    <w:rsid w:val="00530354"/>
    <w:rsid w:val="00532658"/>
    <w:rsid w:val="00535D83"/>
    <w:rsid w:val="005365EB"/>
    <w:rsid w:val="00537C8C"/>
    <w:rsid w:val="00541FD8"/>
    <w:rsid w:val="005423EF"/>
    <w:rsid w:val="005434C6"/>
    <w:rsid w:val="00543B39"/>
    <w:rsid w:val="00550096"/>
    <w:rsid w:val="00557FF9"/>
    <w:rsid w:val="00560037"/>
    <w:rsid w:val="00567A2E"/>
    <w:rsid w:val="00576378"/>
    <w:rsid w:val="00577E38"/>
    <w:rsid w:val="00583423"/>
    <w:rsid w:val="00584285"/>
    <w:rsid w:val="00585322"/>
    <w:rsid w:val="005857A0"/>
    <w:rsid w:val="00586194"/>
    <w:rsid w:val="00590B17"/>
    <w:rsid w:val="00593AD1"/>
    <w:rsid w:val="005A0D7D"/>
    <w:rsid w:val="005A1131"/>
    <w:rsid w:val="005B4642"/>
    <w:rsid w:val="005B6F50"/>
    <w:rsid w:val="005C3CFB"/>
    <w:rsid w:val="005C5570"/>
    <w:rsid w:val="005C5FD4"/>
    <w:rsid w:val="005C79A4"/>
    <w:rsid w:val="005D1689"/>
    <w:rsid w:val="005D5442"/>
    <w:rsid w:val="005D55A3"/>
    <w:rsid w:val="005E1695"/>
    <w:rsid w:val="005F1B4A"/>
    <w:rsid w:val="005F458A"/>
    <w:rsid w:val="005F5830"/>
    <w:rsid w:val="005F7AC3"/>
    <w:rsid w:val="00601D60"/>
    <w:rsid w:val="00602915"/>
    <w:rsid w:val="00610D73"/>
    <w:rsid w:val="0061271E"/>
    <w:rsid w:val="00623C9C"/>
    <w:rsid w:val="00625015"/>
    <w:rsid w:val="00626995"/>
    <w:rsid w:val="006315AA"/>
    <w:rsid w:val="00640FC3"/>
    <w:rsid w:val="00642020"/>
    <w:rsid w:val="0065200D"/>
    <w:rsid w:val="0065337B"/>
    <w:rsid w:val="0065419D"/>
    <w:rsid w:val="00656BCD"/>
    <w:rsid w:val="006604D8"/>
    <w:rsid w:val="00664A5B"/>
    <w:rsid w:val="00667942"/>
    <w:rsid w:val="00680C08"/>
    <w:rsid w:val="00680C95"/>
    <w:rsid w:val="0068741A"/>
    <w:rsid w:val="00692B1E"/>
    <w:rsid w:val="006931B1"/>
    <w:rsid w:val="00697A5C"/>
    <w:rsid w:val="006A119E"/>
    <w:rsid w:val="006A15C0"/>
    <w:rsid w:val="006A2426"/>
    <w:rsid w:val="006A2A31"/>
    <w:rsid w:val="006A38E4"/>
    <w:rsid w:val="006C1022"/>
    <w:rsid w:val="006C14D6"/>
    <w:rsid w:val="006C1F3B"/>
    <w:rsid w:val="006C3E2A"/>
    <w:rsid w:val="006C42D6"/>
    <w:rsid w:val="006C43B5"/>
    <w:rsid w:val="006C6034"/>
    <w:rsid w:val="006C642F"/>
    <w:rsid w:val="006C6517"/>
    <w:rsid w:val="006D03E5"/>
    <w:rsid w:val="006D5D3E"/>
    <w:rsid w:val="006E08B3"/>
    <w:rsid w:val="006E4E00"/>
    <w:rsid w:val="006E4F8A"/>
    <w:rsid w:val="006F1604"/>
    <w:rsid w:val="006F46EA"/>
    <w:rsid w:val="006F4ACC"/>
    <w:rsid w:val="006F572E"/>
    <w:rsid w:val="006F6284"/>
    <w:rsid w:val="006F652C"/>
    <w:rsid w:val="006F6C81"/>
    <w:rsid w:val="007046D6"/>
    <w:rsid w:val="00705DB0"/>
    <w:rsid w:val="00706634"/>
    <w:rsid w:val="00706AFE"/>
    <w:rsid w:val="00706C4D"/>
    <w:rsid w:val="007209E7"/>
    <w:rsid w:val="00723A70"/>
    <w:rsid w:val="00723BF8"/>
    <w:rsid w:val="007256BF"/>
    <w:rsid w:val="00732FEE"/>
    <w:rsid w:val="0074238D"/>
    <w:rsid w:val="0074253D"/>
    <w:rsid w:val="0074429B"/>
    <w:rsid w:val="007477F8"/>
    <w:rsid w:val="00753687"/>
    <w:rsid w:val="00753A56"/>
    <w:rsid w:val="0075524A"/>
    <w:rsid w:val="007567E2"/>
    <w:rsid w:val="007578C7"/>
    <w:rsid w:val="007615BC"/>
    <w:rsid w:val="007622D7"/>
    <w:rsid w:val="00762F05"/>
    <w:rsid w:val="0076354C"/>
    <w:rsid w:val="007640FE"/>
    <w:rsid w:val="00764A5D"/>
    <w:rsid w:val="00764FC4"/>
    <w:rsid w:val="007652FF"/>
    <w:rsid w:val="00771329"/>
    <w:rsid w:val="00773EF7"/>
    <w:rsid w:val="00774E1D"/>
    <w:rsid w:val="0077675A"/>
    <w:rsid w:val="00780355"/>
    <w:rsid w:val="00784904"/>
    <w:rsid w:val="00785721"/>
    <w:rsid w:val="00793A59"/>
    <w:rsid w:val="00795DC5"/>
    <w:rsid w:val="007960FB"/>
    <w:rsid w:val="007A0401"/>
    <w:rsid w:val="007A2162"/>
    <w:rsid w:val="007A7395"/>
    <w:rsid w:val="007A7C4A"/>
    <w:rsid w:val="007B3C16"/>
    <w:rsid w:val="007C0F3D"/>
    <w:rsid w:val="007C1AF7"/>
    <w:rsid w:val="007C5B52"/>
    <w:rsid w:val="007D2AAF"/>
    <w:rsid w:val="007D643E"/>
    <w:rsid w:val="007E175B"/>
    <w:rsid w:val="007F17AF"/>
    <w:rsid w:val="007F2054"/>
    <w:rsid w:val="008157AD"/>
    <w:rsid w:val="00816164"/>
    <w:rsid w:val="00816E5C"/>
    <w:rsid w:val="00821776"/>
    <w:rsid w:val="00824FFC"/>
    <w:rsid w:val="00826007"/>
    <w:rsid w:val="008320C3"/>
    <w:rsid w:val="008321F5"/>
    <w:rsid w:val="00832369"/>
    <w:rsid w:val="008337EF"/>
    <w:rsid w:val="00834660"/>
    <w:rsid w:val="00836BC2"/>
    <w:rsid w:val="0085641B"/>
    <w:rsid w:val="00857136"/>
    <w:rsid w:val="008610C1"/>
    <w:rsid w:val="00870516"/>
    <w:rsid w:val="00874C21"/>
    <w:rsid w:val="00875B14"/>
    <w:rsid w:val="00887826"/>
    <w:rsid w:val="00895EF0"/>
    <w:rsid w:val="00896018"/>
    <w:rsid w:val="008A129B"/>
    <w:rsid w:val="008A2B9D"/>
    <w:rsid w:val="008A5E0B"/>
    <w:rsid w:val="008A6D59"/>
    <w:rsid w:val="008A7095"/>
    <w:rsid w:val="008B4B03"/>
    <w:rsid w:val="008B553E"/>
    <w:rsid w:val="008B596F"/>
    <w:rsid w:val="008C159F"/>
    <w:rsid w:val="008C1623"/>
    <w:rsid w:val="008C51A9"/>
    <w:rsid w:val="008C63C5"/>
    <w:rsid w:val="008C7541"/>
    <w:rsid w:val="008D12F1"/>
    <w:rsid w:val="008E3C43"/>
    <w:rsid w:val="008F1CCC"/>
    <w:rsid w:val="008F2967"/>
    <w:rsid w:val="008F6EF7"/>
    <w:rsid w:val="0091131C"/>
    <w:rsid w:val="00920330"/>
    <w:rsid w:val="00920FF4"/>
    <w:rsid w:val="009219D7"/>
    <w:rsid w:val="00922D53"/>
    <w:rsid w:val="00923B70"/>
    <w:rsid w:val="0092600B"/>
    <w:rsid w:val="00927AF8"/>
    <w:rsid w:val="00930237"/>
    <w:rsid w:val="009309E8"/>
    <w:rsid w:val="00932BBB"/>
    <w:rsid w:val="00942182"/>
    <w:rsid w:val="009421E6"/>
    <w:rsid w:val="00942DB4"/>
    <w:rsid w:val="0096319D"/>
    <w:rsid w:val="00963C08"/>
    <w:rsid w:val="00964F68"/>
    <w:rsid w:val="009707B8"/>
    <w:rsid w:val="00972ED0"/>
    <w:rsid w:val="009734C4"/>
    <w:rsid w:val="00974DBB"/>
    <w:rsid w:val="009768B2"/>
    <w:rsid w:val="00980E66"/>
    <w:rsid w:val="00986C25"/>
    <w:rsid w:val="0099110E"/>
    <w:rsid w:val="009971DE"/>
    <w:rsid w:val="009A0B4C"/>
    <w:rsid w:val="009A128D"/>
    <w:rsid w:val="009A23DA"/>
    <w:rsid w:val="009A4CED"/>
    <w:rsid w:val="009A5BC7"/>
    <w:rsid w:val="009B1D12"/>
    <w:rsid w:val="009B3475"/>
    <w:rsid w:val="009B416B"/>
    <w:rsid w:val="009B68A6"/>
    <w:rsid w:val="009B6A71"/>
    <w:rsid w:val="009C3315"/>
    <w:rsid w:val="009C4BD5"/>
    <w:rsid w:val="009D00E3"/>
    <w:rsid w:val="009D059A"/>
    <w:rsid w:val="009D2E04"/>
    <w:rsid w:val="009D7B77"/>
    <w:rsid w:val="009D7C7D"/>
    <w:rsid w:val="009E0BB0"/>
    <w:rsid w:val="009E3FBB"/>
    <w:rsid w:val="009E7C17"/>
    <w:rsid w:val="009F018D"/>
    <w:rsid w:val="009F0B33"/>
    <w:rsid w:val="009F0C9A"/>
    <w:rsid w:val="009F251A"/>
    <w:rsid w:val="00A03798"/>
    <w:rsid w:val="00A11DDF"/>
    <w:rsid w:val="00A1235B"/>
    <w:rsid w:val="00A14DF7"/>
    <w:rsid w:val="00A153E7"/>
    <w:rsid w:val="00A160DD"/>
    <w:rsid w:val="00A1705D"/>
    <w:rsid w:val="00A26E24"/>
    <w:rsid w:val="00A3246D"/>
    <w:rsid w:val="00A35D1D"/>
    <w:rsid w:val="00A36C43"/>
    <w:rsid w:val="00A36FA7"/>
    <w:rsid w:val="00A4235C"/>
    <w:rsid w:val="00A475B7"/>
    <w:rsid w:val="00A47AF7"/>
    <w:rsid w:val="00A47C3E"/>
    <w:rsid w:val="00A50226"/>
    <w:rsid w:val="00A60BAD"/>
    <w:rsid w:val="00A63933"/>
    <w:rsid w:val="00A6738A"/>
    <w:rsid w:val="00A73A8D"/>
    <w:rsid w:val="00A73FDF"/>
    <w:rsid w:val="00A77452"/>
    <w:rsid w:val="00A824B8"/>
    <w:rsid w:val="00A87334"/>
    <w:rsid w:val="00A87AC4"/>
    <w:rsid w:val="00AA30C3"/>
    <w:rsid w:val="00AA3D73"/>
    <w:rsid w:val="00AA3EB9"/>
    <w:rsid w:val="00AB0244"/>
    <w:rsid w:val="00AB60C1"/>
    <w:rsid w:val="00AC2B40"/>
    <w:rsid w:val="00AC2BB2"/>
    <w:rsid w:val="00AC2C3C"/>
    <w:rsid w:val="00AC2EFB"/>
    <w:rsid w:val="00AC3BD9"/>
    <w:rsid w:val="00AC3D45"/>
    <w:rsid w:val="00AD51B0"/>
    <w:rsid w:val="00AD5831"/>
    <w:rsid w:val="00AE33DF"/>
    <w:rsid w:val="00AE3450"/>
    <w:rsid w:val="00AE5AB2"/>
    <w:rsid w:val="00AE65EB"/>
    <w:rsid w:val="00AF0258"/>
    <w:rsid w:val="00AF1D94"/>
    <w:rsid w:val="00AF3B95"/>
    <w:rsid w:val="00AF60C5"/>
    <w:rsid w:val="00AF6C1A"/>
    <w:rsid w:val="00AF6FE3"/>
    <w:rsid w:val="00B00337"/>
    <w:rsid w:val="00B009C6"/>
    <w:rsid w:val="00B00ACB"/>
    <w:rsid w:val="00B01548"/>
    <w:rsid w:val="00B01551"/>
    <w:rsid w:val="00B147DA"/>
    <w:rsid w:val="00B21D29"/>
    <w:rsid w:val="00B21FC5"/>
    <w:rsid w:val="00B23323"/>
    <w:rsid w:val="00B24FF5"/>
    <w:rsid w:val="00B25034"/>
    <w:rsid w:val="00B33863"/>
    <w:rsid w:val="00B375A4"/>
    <w:rsid w:val="00B37D17"/>
    <w:rsid w:val="00B4175E"/>
    <w:rsid w:val="00B45C47"/>
    <w:rsid w:val="00B510E1"/>
    <w:rsid w:val="00B54C25"/>
    <w:rsid w:val="00B6479B"/>
    <w:rsid w:val="00B74473"/>
    <w:rsid w:val="00B76B91"/>
    <w:rsid w:val="00B8091C"/>
    <w:rsid w:val="00B835FD"/>
    <w:rsid w:val="00B861E0"/>
    <w:rsid w:val="00B87BB7"/>
    <w:rsid w:val="00B9025F"/>
    <w:rsid w:val="00B946A9"/>
    <w:rsid w:val="00B9484C"/>
    <w:rsid w:val="00B94CFB"/>
    <w:rsid w:val="00BA3ADE"/>
    <w:rsid w:val="00BA6741"/>
    <w:rsid w:val="00BC1CAB"/>
    <w:rsid w:val="00BC3424"/>
    <w:rsid w:val="00BC4E7A"/>
    <w:rsid w:val="00BC622A"/>
    <w:rsid w:val="00BC7106"/>
    <w:rsid w:val="00BD0B28"/>
    <w:rsid w:val="00BD39F9"/>
    <w:rsid w:val="00BE0A78"/>
    <w:rsid w:val="00BE243C"/>
    <w:rsid w:val="00BE2BB4"/>
    <w:rsid w:val="00BE376A"/>
    <w:rsid w:val="00BE79F0"/>
    <w:rsid w:val="00BF046D"/>
    <w:rsid w:val="00BF18E8"/>
    <w:rsid w:val="00BF43F2"/>
    <w:rsid w:val="00BF5D04"/>
    <w:rsid w:val="00C00B47"/>
    <w:rsid w:val="00C01C18"/>
    <w:rsid w:val="00C04277"/>
    <w:rsid w:val="00C13563"/>
    <w:rsid w:val="00C14835"/>
    <w:rsid w:val="00C15FD2"/>
    <w:rsid w:val="00C1617C"/>
    <w:rsid w:val="00C164F9"/>
    <w:rsid w:val="00C22360"/>
    <w:rsid w:val="00C23477"/>
    <w:rsid w:val="00C23B6E"/>
    <w:rsid w:val="00C24CB3"/>
    <w:rsid w:val="00C24FC6"/>
    <w:rsid w:val="00C3408D"/>
    <w:rsid w:val="00C363D1"/>
    <w:rsid w:val="00C404A6"/>
    <w:rsid w:val="00C40A36"/>
    <w:rsid w:val="00C44419"/>
    <w:rsid w:val="00C45E7B"/>
    <w:rsid w:val="00C471B1"/>
    <w:rsid w:val="00C4743E"/>
    <w:rsid w:val="00C50E5C"/>
    <w:rsid w:val="00C6316B"/>
    <w:rsid w:val="00C634A9"/>
    <w:rsid w:val="00C63950"/>
    <w:rsid w:val="00C700E0"/>
    <w:rsid w:val="00C71313"/>
    <w:rsid w:val="00C7475B"/>
    <w:rsid w:val="00C76805"/>
    <w:rsid w:val="00C772FF"/>
    <w:rsid w:val="00C801AF"/>
    <w:rsid w:val="00C80256"/>
    <w:rsid w:val="00C82EB9"/>
    <w:rsid w:val="00C85953"/>
    <w:rsid w:val="00C8600C"/>
    <w:rsid w:val="00C87DC4"/>
    <w:rsid w:val="00C9497C"/>
    <w:rsid w:val="00C9504A"/>
    <w:rsid w:val="00CA7F9C"/>
    <w:rsid w:val="00CB5F78"/>
    <w:rsid w:val="00CB6BC0"/>
    <w:rsid w:val="00CB6ECE"/>
    <w:rsid w:val="00CB73C5"/>
    <w:rsid w:val="00CC0E48"/>
    <w:rsid w:val="00CC1B7C"/>
    <w:rsid w:val="00CC1C80"/>
    <w:rsid w:val="00CC727F"/>
    <w:rsid w:val="00CD1F02"/>
    <w:rsid w:val="00CD30CC"/>
    <w:rsid w:val="00CD3EA3"/>
    <w:rsid w:val="00CD6FCC"/>
    <w:rsid w:val="00CE0014"/>
    <w:rsid w:val="00CE06CA"/>
    <w:rsid w:val="00CE5067"/>
    <w:rsid w:val="00CE5BB0"/>
    <w:rsid w:val="00CE6EDB"/>
    <w:rsid w:val="00CF15C3"/>
    <w:rsid w:val="00CF2B6F"/>
    <w:rsid w:val="00CF4791"/>
    <w:rsid w:val="00CF6195"/>
    <w:rsid w:val="00D017ED"/>
    <w:rsid w:val="00D11F5C"/>
    <w:rsid w:val="00D13D04"/>
    <w:rsid w:val="00D153B1"/>
    <w:rsid w:val="00D20C54"/>
    <w:rsid w:val="00D224FE"/>
    <w:rsid w:val="00D229BA"/>
    <w:rsid w:val="00D24557"/>
    <w:rsid w:val="00D25478"/>
    <w:rsid w:val="00D25F22"/>
    <w:rsid w:val="00D27857"/>
    <w:rsid w:val="00D30526"/>
    <w:rsid w:val="00D32DB0"/>
    <w:rsid w:val="00D3646E"/>
    <w:rsid w:val="00D5538A"/>
    <w:rsid w:val="00D55652"/>
    <w:rsid w:val="00D64401"/>
    <w:rsid w:val="00D6493E"/>
    <w:rsid w:val="00D84600"/>
    <w:rsid w:val="00D85417"/>
    <w:rsid w:val="00D92625"/>
    <w:rsid w:val="00D92A3D"/>
    <w:rsid w:val="00D97CBD"/>
    <w:rsid w:val="00DA1124"/>
    <w:rsid w:val="00DA24C7"/>
    <w:rsid w:val="00DA381C"/>
    <w:rsid w:val="00DA4CD9"/>
    <w:rsid w:val="00DA6417"/>
    <w:rsid w:val="00DA6BE1"/>
    <w:rsid w:val="00DA7CC7"/>
    <w:rsid w:val="00DB5E85"/>
    <w:rsid w:val="00DC521C"/>
    <w:rsid w:val="00DD16CA"/>
    <w:rsid w:val="00DD4557"/>
    <w:rsid w:val="00DD75A3"/>
    <w:rsid w:val="00DD76DE"/>
    <w:rsid w:val="00DE02AE"/>
    <w:rsid w:val="00DE6A0C"/>
    <w:rsid w:val="00DE6C04"/>
    <w:rsid w:val="00DE7576"/>
    <w:rsid w:val="00DF1397"/>
    <w:rsid w:val="00DF1B8B"/>
    <w:rsid w:val="00DF1C7B"/>
    <w:rsid w:val="00DF1D7F"/>
    <w:rsid w:val="00DF2581"/>
    <w:rsid w:val="00DF2EF4"/>
    <w:rsid w:val="00DF45B9"/>
    <w:rsid w:val="00DF6BE8"/>
    <w:rsid w:val="00E016C2"/>
    <w:rsid w:val="00E02FB4"/>
    <w:rsid w:val="00E10972"/>
    <w:rsid w:val="00E11E4D"/>
    <w:rsid w:val="00E1340C"/>
    <w:rsid w:val="00E177F4"/>
    <w:rsid w:val="00E20571"/>
    <w:rsid w:val="00E21651"/>
    <w:rsid w:val="00E22953"/>
    <w:rsid w:val="00E235F7"/>
    <w:rsid w:val="00E239D4"/>
    <w:rsid w:val="00E30356"/>
    <w:rsid w:val="00E30BF4"/>
    <w:rsid w:val="00E30C88"/>
    <w:rsid w:val="00E32A5C"/>
    <w:rsid w:val="00E40B22"/>
    <w:rsid w:val="00E42A5C"/>
    <w:rsid w:val="00E44E46"/>
    <w:rsid w:val="00E4588F"/>
    <w:rsid w:val="00E46DA3"/>
    <w:rsid w:val="00E47660"/>
    <w:rsid w:val="00E66303"/>
    <w:rsid w:val="00E675F6"/>
    <w:rsid w:val="00E73849"/>
    <w:rsid w:val="00E82D19"/>
    <w:rsid w:val="00E844E6"/>
    <w:rsid w:val="00E86072"/>
    <w:rsid w:val="00E9352F"/>
    <w:rsid w:val="00E94C74"/>
    <w:rsid w:val="00EA16DE"/>
    <w:rsid w:val="00EA1F09"/>
    <w:rsid w:val="00EA2E55"/>
    <w:rsid w:val="00EA406B"/>
    <w:rsid w:val="00EA7E1D"/>
    <w:rsid w:val="00EB0798"/>
    <w:rsid w:val="00EB0ECB"/>
    <w:rsid w:val="00EB129A"/>
    <w:rsid w:val="00EB40AD"/>
    <w:rsid w:val="00EB5622"/>
    <w:rsid w:val="00EB586E"/>
    <w:rsid w:val="00EB5FC8"/>
    <w:rsid w:val="00ED555A"/>
    <w:rsid w:val="00ED5A41"/>
    <w:rsid w:val="00EE3B89"/>
    <w:rsid w:val="00EF1DB3"/>
    <w:rsid w:val="00EF3F86"/>
    <w:rsid w:val="00EF578B"/>
    <w:rsid w:val="00EF6895"/>
    <w:rsid w:val="00EF7E5A"/>
    <w:rsid w:val="00F033EC"/>
    <w:rsid w:val="00F0481B"/>
    <w:rsid w:val="00F04F68"/>
    <w:rsid w:val="00F12013"/>
    <w:rsid w:val="00F12670"/>
    <w:rsid w:val="00F1317D"/>
    <w:rsid w:val="00F14B27"/>
    <w:rsid w:val="00F16B55"/>
    <w:rsid w:val="00F2301F"/>
    <w:rsid w:val="00F2322F"/>
    <w:rsid w:val="00F27023"/>
    <w:rsid w:val="00F27030"/>
    <w:rsid w:val="00F31011"/>
    <w:rsid w:val="00F3148D"/>
    <w:rsid w:val="00F35298"/>
    <w:rsid w:val="00F3529E"/>
    <w:rsid w:val="00F37CAB"/>
    <w:rsid w:val="00F401EF"/>
    <w:rsid w:val="00F410F4"/>
    <w:rsid w:val="00F427F0"/>
    <w:rsid w:val="00F47E37"/>
    <w:rsid w:val="00F516A3"/>
    <w:rsid w:val="00F640B6"/>
    <w:rsid w:val="00F66635"/>
    <w:rsid w:val="00F71E1E"/>
    <w:rsid w:val="00F759D8"/>
    <w:rsid w:val="00F80E40"/>
    <w:rsid w:val="00F859D2"/>
    <w:rsid w:val="00F8709D"/>
    <w:rsid w:val="00F9022D"/>
    <w:rsid w:val="00F968F2"/>
    <w:rsid w:val="00F97C79"/>
    <w:rsid w:val="00FA0DE3"/>
    <w:rsid w:val="00FA3AE1"/>
    <w:rsid w:val="00FA5B82"/>
    <w:rsid w:val="00FA639E"/>
    <w:rsid w:val="00FA6499"/>
    <w:rsid w:val="00FB2696"/>
    <w:rsid w:val="00FC03C8"/>
    <w:rsid w:val="00FC1750"/>
    <w:rsid w:val="00FC25E4"/>
    <w:rsid w:val="00FC2B97"/>
    <w:rsid w:val="00FC4EF7"/>
    <w:rsid w:val="00FC75AA"/>
    <w:rsid w:val="00FC7BC0"/>
    <w:rsid w:val="00FD01EE"/>
    <w:rsid w:val="00FE0752"/>
    <w:rsid w:val="00FE1DEE"/>
    <w:rsid w:val="00FE206C"/>
    <w:rsid w:val="00FE501F"/>
    <w:rsid w:val="00FF0710"/>
    <w:rsid w:val="00FF18FE"/>
    <w:rsid w:val="00FF2126"/>
    <w:rsid w:val="00FF2993"/>
    <w:rsid w:val="00FF3772"/>
    <w:rsid w:val="00FF4F40"/>
    <w:rsid w:val="00FF60F6"/>
    <w:rsid w:val="00FF69BE"/>
    <w:rsid w:val="00FF7B93"/>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64" fill="f" fillcolor="#c6d4e9" strokecolor="#002c47">
      <v:fill color="#c6d4e9" on="f"/>
      <v:stroke color="#002c4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35" w:unhideWhenUsed="0"/>
    <w:lsdException w:name="List Bullet" w:semiHidden="0" w:uiPriority="2" w:unhideWhenUsed="0" w:qFormat="1"/>
    <w:lsdException w:name="List Bullet 2" w:semiHidden="0" w:uiPriority="2" w:unhideWhenUsed="0" w:qFormat="1"/>
    <w:lsdException w:name="List Bullet 3" w:uiPriority="2"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F260A"/>
    <w:pPr>
      <w:spacing w:before="120" w:after="180" w:line="240" w:lineRule="atLeast"/>
    </w:pPr>
    <w:rPr>
      <w:sz w:val="22"/>
      <w:lang w:eastAsia="en-US"/>
    </w:rPr>
  </w:style>
  <w:style w:type="paragraph" w:styleId="Heading1">
    <w:name w:val="heading 1"/>
    <w:basedOn w:val="Normal"/>
    <w:next w:val="Normal"/>
    <w:link w:val="Heading1Char"/>
    <w:uiPriority w:val="9"/>
    <w:qFormat/>
    <w:rsid w:val="00F401EF"/>
    <w:pPr>
      <w:keepNext/>
      <w:keepLines/>
      <w:spacing w:before="360" w:after="240"/>
      <w:outlineLvl w:val="0"/>
    </w:pPr>
    <w:rPr>
      <w:rFonts w:ascii="Arial" w:eastAsia="Times New Roman" w:hAnsi="Arial"/>
      <w:b/>
      <w:bCs/>
      <w:sz w:val="48"/>
      <w:szCs w:val="48"/>
    </w:rPr>
  </w:style>
  <w:style w:type="paragraph" w:styleId="Heading2">
    <w:name w:val="heading 2"/>
    <w:basedOn w:val="Normal"/>
    <w:next w:val="Normal"/>
    <w:link w:val="Heading2Char"/>
    <w:uiPriority w:val="9"/>
    <w:qFormat/>
    <w:rsid w:val="00F401EF"/>
    <w:pPr>
      <w:keepNext/>
      <w:keepLines/>
      <w:spacing w:before="480" w:after="120"/>
      <w:outlineLvl w:val="1"/>
    </w:pPr>
    <w:rPr>
      <w:rFonts w:ascii="Arial" w:eastAsia="Times New Roman" w:hAnsi="Arial"/>
      <w:b/>
      <w:bCs/>
      <w:sz w:val="38"/>
      <w:szCs w:val="38"/>
    </w:rPr>
  </w:style>
  <w:style w:type="paragraph" w:styleId="Heading3">
    <w:name w:val="heading 3"/>
    <w:basedOn w:val="Normal"/>
    <w:next w:val="Normal"/>
    <w:link w:val="Heading3Char"/>
    <w:uiPriority w:val="9"/>
    <w:qFormat/>
    <w:rsid w:val="004015D9"/>
    <w:pPr>
      <w:keepNext/>
      <w:keepLines/>
      <w:spacing w:before="480" w:after="120"/>
      <w:outlineLvl w:val="2"/>
    </w:pPr>
    <w:rPr>
      <w:rFonts w:ascii="Arial" w:eastAsia="Times New Roman" w:hAnsi="Arial"/>
      <w:b/>
      <w:bCs/>
      <w:sz w:val="32"/>
      <w:szCs w:val="32"/>
    </w:rPr>
  </w:style>
  <w:style w:type="paragraph" w:styleId="Heading4">
    <w:name w:val="heading 4"/>
    <w:basedOn w:val="Normal"/>
    <w:next w:val="Normal"/>
    <w:link w:val="Heading4Char"/>
    <w:uiPriority w:val="9"/>
    <w:qFormat/>
    <w:rsid w:val="000D5840"/>
    <w:pPr>
      <w:keepNext/>
      <w:keepLines/>
      <w:spacing w:before="360" w:after="120"/>
      <w:outlineLvl w:val="3"/>
    </w:pPr>
    <w:rPr>
      <w:rFonts w:ascii="Arial" w:hAnsi="Arial"/>
      <w:b/>
      <w:bCs/>
      <w:sz w:val="26"/>
      <w:szCs w:val="26"/>
    </w:rPr>
  </w:style>
  <w:style w:type="paragraph" w:styleId="Heading5">
    <w:name w:val="heading 5"/>
    <w:basedOn w:val="Normal"/>
    <w:next w:val="Normal"/>
    <w:link w:val="Heading5Char"/>
    <w:uiPriority w:val="9"/>
    <w:qFormat/>
    <w:rsid w:val="00F401EF"/>
    <w:pPr>
      <w:keepNext/>
      <w:keepLines/>
      <w:spacing w:before="240" w:after="120"/>
      <w:outlineLvl w:val="4"/>
    </w:pPr>
    <w:rPr>
      <w:rFonts w:eastAsia="Times New Roman"/>
      <w:b/>
      <w:bCs/>
      <w:color w:val="001523"/>
      <w:sz w:val="26"/>
      <w:szCs w:val="26"/>
    </w:rPr>
  </w:style>
  <w:style w:type="paragraph" w:styleId="Heading6">
    <w:name w:val="heading 6"/>
    <w:basedOn w:val="Normal"/>
    <w:next w:val="Normal"/>
    <w:link w:val="Heading6Char"/>
    <w:uiPriority w:val="9"/>
    <w:qFormat/>
    <w:rsid w:val="00F401EF"/>
    <w:pPr>
      <w:keepNext/>
      <w:keepLines/>
      <w:spacing w:before="240" w:after="120"/>
      <w:outlineLvl w:val="5"/>
    </w:pPr>
    <w:rPr>
      <w:rFonts w:eastAsia="Times New Roman"/>
      <w:b/>
      <w:bCs/>
      <w:i/>
      <w:szCs w:val="21"/>
    </w:rPr>
  </w:style>
  <w:style w:type="paragraph" w:styleId="Heading7">
    <w:name w:val="heading 7"/>
    <w:basedOn w:val="Normal"/>
    <w:next w:val="Normal"/>
    <w:link w:val="Heading7Char"/>
    <w:uiPriority w:val="9"/>
    <w:qFormat/>
    <w:rsid w:val="00F401EF"/>
    <w:pPr>
      <w:keepNext/>
      <w:keepLines/>
      <w:spacing w:before="240" w:after="60" w:line="180" w:lineRule="atLeast"/>
      <w:outlineLvl w:val="6"/>
    </w:pPr>
    <w:rPr>
      <w:rFonts w:eastAsia="Times New Roman"/>
      <w:bCs/>
      <w:i/>
      <w:szCs w:val="22"/>
    </w:rPr>
  </w:style>
  <w:style w:type="paragraph" w:styleId="Heading8">
    <w:name w:val="heading 8"/>
    <w:basedOn w:val="Normal"/>
    <w:next w:val="Normal"/>
    <w:link w:val="Heading8Char"/>
    <w:uiPriority w:val="9"/>
    <w:semiHidden/>
    <w:unhideWhenUsed/>
    <w:qFormat/>
    <w:rsid w:val="003800B4"/>
    <w:pPr>
      <w:spacing w:before="0" w:after="0" w:line="276" w:lineRule="auto"/>
      <w:outlineLvl w:val="7"/>
    </w:pPr>
    <w:rPr>
      <w:rFonts w:asciiTheme="majorHAnsi" w:eastAsiaTheme="majorEastAsia" w:hAnsiTheme="majorHAnsi" w:cstheme="majorBidi"/>
      <w:sz w:val="20"/>
      <w:lang w:eastAsia="en-AU"/>
    </w:rPr>
  </w:style>
  <w:style w:type="paragraph" w:styleId="Heading9">
    <w:name w:val="heading 9"/>
    <w:basedOn w:val="Normal"/>
    <w:next w:val="Normal"/>
    <w:link w:val="Heading9Char"/>
    <w:uiPriority w:val="9"/>
    <w:semiHidden/>
    <w:unhideWhenUsed/>
    <w:qFormat/>
    <w:rsid w:val="003800B4"/>
    <w:pPr>
      <w:spacing w:before="0" w:after="0" w:line="276" w:lineRule="auto"/>
      <w:outlineLvl w:val="8"/>
    </w:pPr>
    <w:rPr>
      <w:rFonts w:asciiTheme="majorHAnsi" w:eastAsiaTheme="majorEastAsia" w:hAnsiTheme="majorHAnsi" w:cstheme="majorBidi"/>
      <w:i/>
      <w:iCs/>
      <w:spacing w:val="5"/>
      <w:sz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3C5"/>
    <w:rPr>
      <w:rFonts w:ascii="Arial" w:eastAsia="Times New Roman" w:hAnsi="Arial"/>
      <w:b/>
      <w:bCs/>
      <w:sz w:val="48"/>
      <w:szCs w:val="48"/>
      <w:lang w:eastAsia="en-US"/>
    </w:rPr>
  </w:style>
  <w:style w:type="character" w:customStyle="1" w:styleId="Heading2Char">
    <w:name w:val="Heading 2 Char"/>
    <w:basedOn w:val="DefaultParagraphFont"/>
    <w:link w:val="Heading2"/>
    <w:uiPriority w:val="9"/>
    <w:rsid w:val="00CB73C5"/>
    <w:rPr>
      <w:rFonts w:ascii="Arial" w:eastAsia="Times New Roman" w:hAnsi="Arial"/>
      <w:b/>
      <w:bCs/>
      <w:sz w:val="38"/>
      <w:szCs w:val="38"/>
      <w:lang w:eastAsia="en-US"/>
    </w:rPr>
  </w:style>
  <w:style w:type="character" w:customStyle="1" w:styleId="Heading3Char">
    <w:name w:val="Heading 3 Char"/>
    <w:basedOn w:val="DefaultParagraphFont"/>
    <w:link w:val="Heading3"/>
    <w:uiPriority w:val="9"/>
    <w:rsid w:val="004015D9"/>
    <w:rPr>
      <w:rFonts w:ascii="Arial" w:eastAsia="Times New Roman" w:hAnsi="Arial"/>
      <w:b/>
      <w:bCs/>
      <w:sz w:val="32"/>
      <w:szCs w:val="32"/>
      <w:lang w:eastAsia="en-US"/>
    </w:rPr>
  </w:style>
  <w:style w:type="paragraph" w:styleId="BalloonText">
    <w:name w:val="Balloon Text"/>
    <w:basedOn w:val="Normal"/>
    <w:link w:val="BalloonTextChar"/>
    <w:uiPriority w:val="99"/>
    <w:semiHidden/>
    <w:unhideWhenUsed/>
    <w:rsid w:val="00F3148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48D"/>
    <w:rPr>
      <w:rFonts w:ascii="Tahoma" w:hAnsi="Tahoma" w:cs="Tahoma"/>
      <w:sz w:val="16"/>
      <w:szCs w:val="16"/>
    </w:rPr>
  </w:style>
  <w:style w:type="paragraph" w:styleId="Date">
    <w:name w:val="Date"/>
    <w:basedOn w:val="Normal"/>
    <w:next w:val="Normal"/>
    <w:link w:val="DateChar"/>
    <w:uiPriority w:val="99"/>
    <w:rsid w:val="00F3529E"/>
    <w:pPr>
      <w:spacing w:after="0"/>
    </w:pPr>
    <w:rPr>
      <w:rFonts w:ascii="Arial" w:hAnsi="Arial"/>
      <w:sz w:val="28"/>
    </w:rPr>
  </w:style>
  <w:style w:type="character" w:customStyle="1" w:styleId="DateChar">
    <w:name w:val="Date Char"/>
    <w:basedOn w:val="DefaultParagraphFont"/>
    <w:link w:val="Date"/>
    <w:uiPriority w:val="99"/>
    <w:rsid w:val="00F3529E"/>
    <w:rPr>
      <w:rFonts w:ascii="Arial" w:hAnsi="Arial"/>
      <w:sz w:val="28"/>
      <w:szCs w:val="22"/>
      <w:lang w:eastAsia="en-US"/>
    </w:rPr>
  </w:style>
  <w:style w:type="character" w:customStyle="1" w:styleId="Heading4Char">
    <w:name w:val="Heading 4 Char"/>
    <w:basedOn w:val="DefaultParagraphFont"/>
    <w:link w:val="Heading4"/>
    <w:uiPriority w:val="9"/>
    <w:rsid w:val="000D5840"/>
    <w:rPr>
      <w:rFonts w:ascii="Arial" w:hAnsi="Arial"/>
      <w:b/>
      <w:bCs/>
      <w:sz w:val="26"/>
      <w:szCs w:val="26"/>
      <w:lang w:eastAsia="en-US"/>
    </w:rPr>
  </w:style>
  <w:style w:type="paragraph" w:customStyle="1" w:styleId="FlowChartWhiteHeading">
    <w:name w:val="Flow Chart White Heading"/>
    <w:basedOn w:val="Normal"/>
    <w:semiHidden/>
    <w:unhideWhenUsed/>
    <w:rsid w:val="001D7224"/>
    <w:pPr>
      <w:jc w:val="center"/>
    </w:pPr>
    <w:rPr>
      <w:rFonts w:ascii="Arial" w:hAnsi="Arial"/>
      <w:b/>
      <w:color w:val="FFFFFF"/>
    </w:rPr>
  </w:style>
  <w:style w:type="paragraph" w:customStyle="1" w:styleId="FlowChartBlackHeading">
    <w:name w:val="Flow Chart Black Heading"/>
    <w:basedOn w:val="FlowChartWhiteHeading"/>
    <w:semiHidden/>
    <w:unhideWhenUsed/>
    <w:rsid w:val="001D7224"/>
    <w:rPr>
      <w:color w:val="auto"/>
    </w:rPr>
  </w:style>
  <w:style w:type="paragraph" w:customStyle="1" w:styleId="FlowChartWhiteText">
    <w:name w:val="Flow Chart White Text"/>
    <w:basedOn w:val="Normal"/>
    <w:semiHidden/>
    <w:unhideWhenUsed/>
    <w:rsid w:val="00F3148D"/>
    <w:pPr>
      <w:spacing w:after="0"/>
      <w:jc w:val="center"/>
    </w:pPr>
    <w:rPr>
      <w:color w:val="FFFFFF"/>
    </w:rPr>
  </w:style>
  <w:style w:type="paragraph" w:customStyle="1" w:styleId="FlowchartText">
    <w:name w:val="Flowchart Text"/>
    <w:basedOn w:val="Normal"/>
    <w:semiHidden/>
    <w:unhideWhenUsed/>
    <w:rsid w:val="005A1131"/>
    <w:pPr>
      <w:jc w:val="center"/>
    </w:pPr>
    <w:rPr>
      <w:rFonts w:ascii="Arial" w:hAnsi="Arial"/>
    </w:rPr>
  </w:style>
  <w:style w:type="character" w:styleId="FollowedHyperlink">
    <w:name w:val="FollowedHyperlink"/>
    <w:basedOn w:val="DefaultParagraphFont"/>
    <w:uiPriority w:val="99"/>
    <w:semiHidden/>
    <w:unhideWhenUsed/>
    <w:rsid w:val="00F3148D"/>
    <w:rPr>
      <w:color w:val="800080"/>
      <w:u w:val="single"/>
    </w:rPr>
  </w:style>
  <w:style w:type="paragraph" w:styleId="Footer">
    <w:name w:val="footer"/>
    <w:basedOn w:val="Normal"/>
    <w:link w:val="FooterChar"/>
    <w:uiPriority w:val="99"/>
    <w:rsid w:val="00F401EF"/>
    <w:pPr>
      <w:tabs>
        <w:tab w:val="center" w:pos="4513"/>
        <w:tab w:val="right" w:pos="9026"/>
      </w:tabs>
      <w:spacing w:before="0" w:after="0" w:line="240" w:lineRule="auto"/>
    </w:pPr>
    <w:rPr>
      <w:sz w:val="17"/>
    </w:rPr>
  </w:style>
  <w:style w:type="character" w:customStyle="1" w:styleId="FooterChar">
    <w:name w:val="Footer Char"/>
    <w:basedOn w:val="DefaultParagraphFont"/>
    <w:link w:val="Footer"/>
    <w:uiPriority w:val="99"/>
    <w:rsid w:val="00257138"/>
    <w:rPr>
      <w:sz w:val="17"/>
      <w:lang w:eastAsia="en-US"/>
    </w:rPr>
  </w:style>
  <w:style w:type="paragraph" w:styleId="Header">
    <w:name w:val="header"/>
    <w:basedOn w:val="Normal"/>
    <w:link w:val="HeaderChar"/>
    <w:uiPriority w:val="99"/>
    <w:rsid w:val="00F401EF"/>
    <w:pPr>
      <w:pBdr>
        <w:bottom w:val="single" w:sz="4" w:space="3" w:color="auto"/>
      </w:pBdr>
      <w:tabs>
        <w:tab w:val="center" w:pos="4513"/>
        <w:tab w:val="right" w:pos="9026"/>
      </w:tabs>
      <w:spacing w:before="0" w:after="0" w:line="240" w:lineRule="auto"/>
      <w:jc w:val="right"/>
    </w:pPr>
    <w:rPr>
      <w:sz w:val="17"/>
    </w:rPr>
  </w:style>
  <w:style w:type="character" w:customStyle="1" w:styleId="HeaderChar">
    <w:name w:val="Header Char"/>
    <w:basedOn w:val="DefaultParagraphFont"/>
    <w:link w:val="Header"/>
    <w:uiPriority w:val="99"/>
    <w:rsid w:val="00F3148D"/>
    <w:rPr>
      <w:sz w:val="17"/>
      <w:lang w:eastAsia="en-US"/>
    </w:rPr>
  </w:style>
  <w:style w:type="character" w:customStyle="1" w:styleId="Heading5Char">
    <w:name w:val="Heading 5 Char"/>
    <w:basedOn w:val="DefaultParagraphFont"/>
    <w:link w:val="Heading5"/>
    <w:uiPriority w:val="9"/>
    <w:rsid w:val="00FA639E"/>
    <w:rPr>
      <w:rFonts w:eastAsia="Times New Roman"/>
      <w:b/>
      <w:bCs/>
      <w:color w:val="001523"/>
      <w:sz w:val="26"/>
      <w:szCs w:val="26"/>
      <w:lang w:eastAsia="en-US"/>
    </w:rPr>
  </w:style>
  <w:style w:type="character" w:customStyle="1" w:styleId="Heading6Char">
    <w:name w:val="Heading 6 Char"/>
    <w:basedOn w:val="DefaultParagraphFont"/>
    <w:link w:val="Heading6"/>
    <w:uiPriority w:val="9"/>
    <w:rsid w:val="000D157F"/>
    <w:rPr>
      <w:rFonts w:eastAsia="Times New Roman"/>
      <w:b/>
      <w:bCs/>
      <w:i/>
      <w:sz w:val="22"/>
      <w:szCs w:val="21"/>
      <w:lang w:eastAsia="en-US"/>
    </w:rPr>
  </w:style>
  <w:style w:type="character" w:customStyle="1" w:styleId="Heading7Char">
    <w:name w:val="Heading 7 Char"/>
    <w:basedOn w:val="DefaultParagraphFont"/>
    <w:link w:val="Heading7"/>
    <w:uiPriority w:val="9"/>
    <w:rsid w:val="000D157F"/>
    <w:rPr>
      <w:rFonts w:eastAsia="Times New Roman"/>
      <w:bCs/>
      <w:i/>
      <w:sz w:val="22"/>
      <w:szCs w:val="22"/>
      <w:lang w:eastAsia="en-US"/>
    </w:rPr>
  </w:style>
  <w:style w:type="character" w:styleId="Hyperlink">
    <w:name w:val="Hyperlink"/>
    <w:basedOn w:val="DefaultParagraphFont"/>
    <w:uiPriority w:val="99"/>
    <w:unhideWhenUsed/>
    <w:rsid w:val="00F401EF"/>
    <w:rPr>
      <w:color w:val="0000FF"/>
      <w:u w:val="single"/>
    </w:rPr>
  </w:style>
  <w:style w:type="paragraph" w:customStyle="1" w:styleId="LegalCopy">
    <w:name w:val="Legal Copy"/>
    <w:basedOn w:val="Footer"/>
    <w:rsid w:val="00A1235B"/>
  </w:style>
  <w:style w:type="paragraph" w:customStyle="1" w:styleId="LegalSubheading">
    <w:name w:val="Legal Subheading"/>
    <w:basedOn w:val="Footer"/>
    <w:rsid w:val="00F3148D"/>
    <w:rPr>
      <w:b/>
    </w:rPr>
  </w:style>
  <w:style w:type="table" w:styleId="LightShading-Accent2">
    <w:name w:val="Light Shading Accent 2"/>
    <w:basedOn w:val="TableNormal"/>
    <w:uiPriority w:val="60"/>
    <w:rsid w:val="00F3148D"/>
    <w:rPr>
      <w:rFonts w:eastAsia="Calibri"/>
      <w:color w:val="943634"/>
      <w:sz w:val="21"/>
      <w:szCs w:val="21"/>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ListBullet">
    <w:name w:val="List Bullet"/>
    <w:basedOn w:val="Normal"/>
    <w:uiPriority w:val="2"/>
    <w:qFormat/>
    <w:rsid w:val="009D059A"/>
  </w:style>
  <w:style w:type="paragraph" w:styleId="ListBullet2">
    <w:name w:val="List Bullet 2"/>
    <w:basedOn w:val="Normal"/>
    <w:uiPriority w:val="2"/>
    <w:qFormat/>
    <w:rsid w:val="009D059A"/>
  </w:style>
  <w:style w:type="paragraph" w:styleId="ListBullet3">
    <w:name w:val="List Bullet 3"/>
    <w:basedOn w:val="Normal"/>
    <w:uiPriority w:val="2"/>
    <w:qFormat/>
    <w:rsid w:val="009D059A"/>
  </w:style>
  <w:style w:type="numbering" w:customStyle="1" w:styleId="ListBullets">
    <w:name w:val="ListBullets"/>
    <w:uiPriority w:val="99"/>
    <w:locked/>
    <w:rsid w:val="00F3148D"/>
    <w:pPr>
      <w:numPr>
        <w:numId w:val="1"/>
      </w:numPr>
    </w:pPr>
  </w:style>
  <w:style w:type="table" w:styleId="MediumGrid2-Accent5">
    <w:name w:val="Medium Grid 2 Accent 5"/>
    <w:basedOn w:val="TableNormal"/>
    <w:uiPriority w:val="68"/>
    <w:rsid w:val="00F3148D"/>
    <w:rPr>
      <w:rFonts w:eastAsia="Times New Roman"/>
      <w:color w:val="000000"/>
      <w:sz w:val="21"/>
      <w:szCs w:val="21"/>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paragraph" w:customStyle="1" w:styleId="Numberbullet0">
    <w:name w:val="Number bullet"/>
    <w:basedOn w:val="ListBullet"/>
    <w:uiPriority w:val="3"/>
    <w:qFormat/>
    <w:rsid w:val="00F401EF"/>
    <w:pPr>
      <w:numPr>
        <w:numId w:val="4"/>
      </w:numPr>
    </w:pPr>
  </w:style>
  <w:style w:type="paragraph" w:customStyle="1" w:styleId="Numberbullet2">
    <w:name w:val="Number bullet 2"/>
    <w:basedOn w:val="ListBullet2"/>
    <w:uiPriority w:val="3"/>
    <w:qFormat/>
    <w:rsid w:val="00F401EF"/>
    <w:pPr>
      <w:ind w:left="425" w:hanging="425"/>
    </w:pPr>
  </w:style>
  <w:style w:type="paragraph" w:customStyle="1" w:styleId="Numberbullet3">
    <w:name w:val="Number bullet 3"/>
    <w:basedOn w:val="ListBullet3"/>
    <w:uiPriority w:val="3"/>
    <w:qFormat/>
    <w:rsid w:val="00F401EF"/>
    <w:pPr>
      <w:ind w:left="425" w:hanging="425"/>
    </w:pPr>
  </w:style>
  <w:style w:type="numbering" w:customStyle="1" w:styleId="NumberBullet">
    <w:name w:val="NumberBullet"/>
    <w:uiPriority w:val="99"/>
    <w:locked/>
    <w:rsid w:val="00F3148D"/>
    <w:pPr>
      <w:numPr>
        <w:numId w:val="2"/>
      </w:numPr>
    </w:pPr>
  </w:style>
  <w:style w:type="character" w:styleId="PlaceholderText">
    <w:name w:val="Placeholder Text"/>
    <w:basedOn w:val="DefaultParagraphFont"/>
    <w:uiPriority w:val="99"/>
    <w:semiHidden/>
    <w:rsid w:val="00F3148D"/>
    <w:rPr>
      <w:color w:val="808080"/>
    </w:rPr>
  </w:style>
  <w:style w:type="paragraph" w:customStyle="1" w:styleId="Reference">
    <w:name w:val="Reference"/>
    <w:basedOn w:val="Normal"/>
    <w:rsid w:val="00F401EF"/>
    <w:pPr>
      <w:spacing w:before="40" w:after="0"/>
      <w:ind w:left="170" w:hanging="170"/>
    </w:pPr>
    <w:rPr>
      <w:sz w:val="19"/>
    </w:rPr>
  </w:style>
  <w:style w:type="paragraph" w:styleId="Subtitle">
    <w:name w:val="Subtitle"/>
    <w:basedOn w:val="Normal"/>
    <w:link w:val="SubtitleChar"/>
    <w:uiPriority w:val="11"/>
    <w:qFormat/>
    <w:rsid w:val="00DA24C7"/>
    <w:pPr>
      <w:numPr>
        <w:ilvl w:val="1"/>
      </w:numPr>
      <w:spacing w:before="0" w:after="0"/>
      <w:ind w:left="170"/>
    </w:pPr>
    <w:rPr>
      <w:rFonts w:ascii="Arial" w:eastAsia="Times New Roman" w:hAnsi="Arial"/>
      <w:bCs/>
      <w:iCs/>
      <w:color w:val="006DA7"/>
      <w:sz w:val="40"/>
      <w:szCs w:val="24"/>
    </w:rPr>
  </w:style>
  <w:style w:type="character" w:customStyle="1" w:styleId="SubtitleChar">
    <w:name w:val="Subtitle Char"/>
    <w:basedOn w:val="DefaultParagraphFont"/>
    <w:link w:val="Subtitle"/>
    <w:uiPriority w:val="11"/>
    <w:rsid w:val="00DA24C7"/>
    <w:rPr>
      <w:rFonts w:ascii="Arial" w:eastAsia="Times New Roman" w:hAnsi="Arial"/>
      <w:bCs/>
      <w:iCs/>
      <w:color w:val="006DA7"/>
      <w:sz w:val="40"/>
      <w:szCs w:val="24"/>
      <w:lang w:eastAsia="en-US"/>
    </w:rPr>
  </w:style>
  <w:style w:type="table" w:styleId="TableGrid">
    <w:name w:val="Table Grid"/>
    <w:basedOn w:val="TableNormal"/>
    <w:uiPriority w:val="59"/>
    <w:rsid w:val="00F3148D"/>
    <w:rPr>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GAblue">
    <w:name w:val="Table TGA blue"/>
    <w:basedOn w:val="TableNormal"/>
    <w:uiPriority w:val="99"/>
    <w:qFormat/>
    <w:rsid w:val="00732FEE"/>
    <w:rPr>
      <w:color w:val="000000"/>
      <w:sz w:val="22"/>
      <w:szCs w:val="21"/>
    </w:rPr>
    <w:tblPr>
      <w:tblInd w:w="0" w:type="dxa"/>
      <w:tblBorders>
        <w:top w:val="single" w:sz="8" w:space="0" w:color="002C47"/>
        <w:left w:val="single" w:sz="8" w:space="0" w:color="002C47"/>
        <w:bottom w:val="single" w:sz="8" w:space="0" w:color="002C47"/>
        <w:right w:val="single" w:sz="8" w:space="0" w:color="002C47"/>
        <w:insideH w:val="single" w:sz="8" w:space="0" w:color="002C47"/>
        <w:insideV w:val="single" w:sz="8" w:space="0" w:color="002C47"/>
      </w:tblBorders>
      <w:tblCellMar>
        <w:top w:w="0" w:type="dxa"/>
        <w:left w:w="108" w:type="dxa"/>
        <w:bottom w:w="0" w:type="dxa"/>
        <w:right w:w="108" w:type="dxa"/>
      </w:tblCellMar>
    </w:tblPr>
    <w:trPr>
      <w:cantSplit/>
    </w:trPr>
    <w:tcPr>
      <w:shd w:val="clear" w:color="auto" w:fill="auto"/>
    </w:tcPr>
    <w:tblStylePr w:type="firstRow">
      <w:pPr>
        <w:keepNext/>
        <w:wordWrap/>
      </w:pPr>
      <w:rPr>
        <w:rFonts w:ascii="Cambria" w:hAnsi="Cambria"/>
        <w:b/>
        <w:color w:val="FFFFFF"/>
        <w:sz w:val="22"/>
      </w:rPr>
      <w:tblPr/>
      <w:trPr>
        <w:tblHeader/>
      </w:trPr>
      <w:tcPr>
        <w:tcBorders>
          <w:top w:val="single" w:sz="8" w:space="0" w:color="002C47"/>
          <w:left w:val="single" w:sz="8" w:space="0" w:color="002C47"/>
          <w:bottom w:val="single" w:sz="8" w:space="0" w:color="002C47"/>
          <w:right w:val="single" w:sz="8" w:space="0" w:color="002C47"/>
          <w:insideH w:val="nil"/>
          <w:insideV w:val="nil"/>
          <w:tl2br w:val="nil"/>
          <w:tr2bl w:val="nil"/>
        </w:tcBorders>
        <w:shd w:val="clear" w:color="auto" w:fill="006DA7"/>
      </w:tcPr>
    </w:tblStylePr>
    <w:tblStylePr w:type="firstCol">
      <w:pPr>
        <w:keepNext w:val="0"/>
        <w:wordWrap/>
      </w:pPr>
    </w:tblStylePr>
  </w:style>
  <w:style w:type="table" w:customStyle="1" w:styleId="TableTGAblack">
    <w:name w:val="Table TGA black"/>
    <w:basedOn w:val="TableNormal"/>
    <w:uiPriority w:val="99"/>
    <w:rsid w:val="00732FEE"/>
    <w:pPr>
      <w:spacing w:before="60"/>
    </w:pPr>
    <w:rPr>
      <w:color w:val="000000"/>
      <w:sz w:val="22"/>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cPr>
      <w:shd w:val="clear" w:color="auto" w:fill="auto"/>
    </w:tcPr>
    <w:tblStylePr w:type="firstRow">
      <w:pPr>
        <w:keepNext/>
        <w:wordWrap/>
      </w:pPr>
      <w:rPr>
        <w:rFonts w:ascii="Cambria" w:hAnsi="Cambria"/>
        <w:b/>
        <w:color w:val="FFFFFF"/>
        <w:sz w:val="22"/>
      </w:rPr>
      <w:tblPr/>
      <w:trPr>
        <w:tblHeader/>
      </w:trPr>
      <w:tcPr>
        <w:shd w:val="clear" w:color="auto" w:fill="000000"/>
      </w:tcPr>
    </w:tblStylePr>
    <w:tblStylePr w:type="lastRow">
      <w:rPr>
        <w:b w:val="0"/>
      </w:rPr>
    </w:tblStylePr>
    <w:tblStylePr w:type="firstCol">
      <w:pPr>
        <w:keepNext w:val="0"/>
        <w:wordWrap/>
      </w:pPr>
    </w:tblStylePr>
    <w:tblStylePr w:type="neCell">
      <w:rPr>
        <w:b w:val="0"/>
        <w:i w:val="0"/>
      </w:rPr>
    </w:tblStylePr>
    <w:tblStylePr w:type="nwCell">
      <w:rPr>
        <w:rFonts w:ascii="Cambria" w:hAnsi="Cambria"/>
        <w:b/>
        <w:i w:val="0"/>
        <w:color w:val="FFFFFF"/>
        <w:sz w:val="22"/>
      </w:rPr>
    </w:tblStylePr>
  </w:style>
  <w:style w:type="paragraph" w:customStyle="1" w:styleId="TGASignoff">
    <w:name w:val="TGA Signoff"/>
    <w:basedOn w:val="Normal"/>
    <w:rsid w:val="006F652C"/>
    <w:pPr>
      <w:spacing w:after="360"/>
      <w:jc w:val="center"/>
    </w:pPr>
    <w:rPr>
      <w:rFonts w:ascii="Arial" w:hAnsi="Arial"/>
      <w:b/>
      <w:sz w:val="28"/>
    </w:rPr>
  </w:style>
  <w:style w:type="paragraph" w:styleId="Title">
    <w:name w:val="Title"/>
    <w:link w:val="TitleChar"/>
    <w:uiPriority w:val="10"/>
    <w:qFormat/>
    <w:rsid w:val="00F3529E"/>
    <w:pPr>
      <w:spacing w:after="120"/>
      <w:contextualSpacing/>
    </w:pPr>
    <w:rPr>
      <w:rFonts w:ascii="Arial" w:eastAsia="Times New Roman" w:hAnsi="Arial"/>
      <w:color w:val="002C47"/>
      <w:spacing w:val="5"/>
      <w:kern w:val="28"/>
      <w:sz w:val="52"/>
      <w:szCs w:val="52"/>
      <w:lang w:eastAsia="en-US"/>
    </w:rPr>
  </w:style>
  <w:style w:type="character" w:customStyle="1" w:styleId="TitleChar">
    <w:name w:val="Title Char"/>
    <w:basedOn w:val="DefaultParagraphFont"/>
    <w:link w:val="Title"/>
    <w:uiPriority w:val="10"/>
    <w:rsid w:val="00F3529E"/>
    <w:rPr>
      <w:rFonts w:ascii="Arial" w:eastAsia="Times New Roman" w:hAnsi="Arial"/>
      <w:color w:val="002C47"/>
      <w:spacing w:val="5"/>
      <w:kern w:val="28"/>
      <w:sz w:val="52"/>
      <w:szCs w:val="52"/>
      <w:lang w:eastAsia="en-US"/>
    </w:rPr>
  </w:style>
  <w:style w:type="paragraph" w:styleId="TOC1">
    <w:name w:val="toc 1"/>
    <w:basedOn w:val="Normal"/>
    <w:next w:val="Normal"/>
    <w:uiPriority w:val="39"/>
    <w:unhideWhenUsed/>
    <w:rsid w:val="00F401EF"/>
    <w:pPr>
      <w:keepNext/>
      <w:keepLines/>
      <w:tabs>
        <w:tab w:val="right" w:leader="underscore" w:pos="8505"/>
      </w:tabs>
      <w:spacing w:after="200"/>
    </w:pPr>
    <w:rPr>
      <w:rFonts w:ascii="Arial" w:hAnsi="Arial"/>
      <w:b/>
      <w:sz w:val="32"/>
    </w:rPr>
  </w:style>
  <w:style w:type="paragraph" w:styleId="TOC2">
    <w:name w:val="toc 2"/>
    <w:basedOn w:val="Normal"/>
    <w:next w:val="Normal"/>
    <w:uiPriority w:val="39"/>
    <w:unhideWhenUsed/>
    <w:rsid w:val="00F401EF"/>
    <w:pPr>
      <w:keepNext/>
      <w:keepLines/>
      <w:tabs>
        <w:tab w:val="right" w:leader="underscore" w:pos="8505"/>
      </w:tabs>
      <w:spacing w:after="100"/>
      <w:ind w:left="425"/>
    </w:pPr>
    <w:rPr>
      <w:b/>
      <w:sz w:val="25"/>
    </w:rPr>
  </w:style>
  <w:style w:type="paragraph" w:styleId="TOC3">
    <w:name w:val="toc 3"/>
    <w:basedOn w:val="Normal"/>
    <w:next w:val="Normal"/>
    <w:uiPriority w:val="39"/>
    <w:unhideWhenUsed/>
    <w:rsid w:val="00F401EF"/>
    <w:pPr>
      <w:keepNext/>
      <w:keepLines/>
      <w:tabs>
        <w:tab w:val="right" w:leader="hyphen" w:pos="8505"/>
      </w:tabs>
      <w:spacing w:after="100"/>
      <w:ind w:left="851"/>
    </w:pPr>
    <w:rPr>
      <w:b/>
    </w:rPr>
  </w:style>
  <w:style w:type="paragraph" w:styleId="TOCHeading">
    <w:name w:val="TOC Heading"/>
    <w:basedOn w:val="Heading1"/>
    <w:next w:val="Normal"/>
    <w:uiPriority w:val="39"/>
    <w:unhideWhenUsed/>
    <w:qFormat/>
    <w:rsid w:val="00F3148D"/>
    <w:pPr>
      <w:framePr w:wrap="around" w:hAnchor="text"/>
      <w:spacing w:after="0" w:line="276" w:lineRule="auto"/>
      <w:outlineLvl w:val="9"/>
    </w:pPr>
    <w:rPr>
      <w:color w:val="002035"/>
      <w:sz w:val="28"/>
      <w:lang w:val="en-US"/>
    </w:rPr>
  </w:style>
  <w:style w:type="paragraph" w:customStyle="1" w:styleId="Subject">
    <w:name w:val="Subject"/>
    <w:basedOn w:val="Normal"/>
    <w:rsid w:val="00D153B1"/>
    <w:rPr>
      <w:b/>
    </w:rPr>
  </w:style>
  <w:style w:type="numbering" w:customStyle="1" w:styleId="NumberBullet1">
    <w:name w:val="NumberBullet1"/>
    <w:uiPriority w:val="99"/>
    <w:rsid w:val="001525B4"/>
  </w:style>
  <w:style w:type="numbering" w:customStyle="1" w:styleId="ListBullets1">
    <w:name w:val="ListBullets1"/>
    <w:uiPriority w:val="99"/>
    <w:rsid w:val="001525B4"/>
  </w:style>
  <w:style w:type="paragraph" w:styleId="FootnoteText">
    <w:name w:val="footnote text"/>
    <w:basedOn w:val="Normal"/>
    <w:link w:val="FootnoteTextChar"/>
    <w:uiPriority w:val="99"/>
    <w:rsid w:val="00F401EF"/>
    <w:pPr>
      <w:keepLines/>
      <w:spacing w:before="0" w:after="0"/>
    </w:pPr>
    <w:rPr>
      <w:sz w:val="20"/>
    </w:rPr>
  </w:style>
  <w:style w:type="character" w:customStyle="1" w:styleId="FootnoteTextChar">
    <w:name w:val="Footnote Text Char"/>
    <w:basedOn w:val="DefaultParagraphFont"/>
    <w:link w:val="FootnoteText"/>
    <w:uiPriority w:val="99"/>
    <w:rsid w:val="001525B4"/>
    <w:rPr>
      <w:lang w:eastAsia="en-US"/>
    </w:rPr>
  </w:style>
  <w:style w:type="character" w:styleId="FootnoteReference">
    <w:name w:val="footnote reference"/>
    <w:basedOn w:val="DefaultParagraphFont"/>
    <w:uiPriority w:val="99"/>
    <w:semiHidden/>
    <w:unhideWhenUsed/>
    <w:rsid w:val="001525B4"/>
    <w:rPr>
      <w:vertAlign w:val="superscript"/>
    </w:rPr>
  </w:style>
  <w:style w:type="paragraph" w:customStyle="1" w:styleId="NonTOCheading2">
    <w:name w:val="Non TOC heading 2"/>
    <w:basedOn w:val="Normal"/>
    <w:next w:val="Normal"/>
    <w:rsid w:val="00F401EF"/>
    <w:pPr>
      <w:keepNext/>
      <w:keepLines/>
      <w:spacing w:before="360"/>
    </w:pPr>
    <w:rPr>
      <w:rFonts w:ascii="Arial" w:hAnsi="Arial"/>
      <w:b/>
      <w:sz w:val="38"/>
    </w:rPr>
  </w:style>
  <w:style w:type="paragraph" w:customStyle="1" w:styleId="Figuredescription">
    <w:name w:val="Figure description"/>
    <w:basedOn w:val="Normal"/>
    <w:next w:val="Normal"/>
    <w:rsid w:val="00F401EF"/>
    <w:pPr>
      <w:spacing w:after="240" w:line="180" w:lineRule="atLeast"/>
    </w:pPr>
    <w:rPr>
      <w:sz w:val="18"/>
    </w:rPr>
  </w:style>
  <w:style w:type="paragraph" w:customStyle="1" w:styleId="Figuretitle">
    <w:name w:val="Figure title"/>
    <w:basedOn w:val="Sarahnormaltext"/>
    <w:next w:val="Normal"/>
    <w:rsid w:val="00A73FDF"/>
    <w:pPr>
      <w:spacing w:before="120" w:after="180"/>
    </w:pPr>
    <w:rPr>
      <w:b/>
    </w:rPr>
  </w:style>
  <w:style w:type="paragraph" w:customStyle="1" w:styleId="Headernoline">
    <w:name w:val="Header no line"/>
    <w:basedOn w:val="Header"/>
    <w:rsid w:val="00F401EF"/>
    <w:pPr>
      <w:pBdr>
        <w:bottom w:val="none" w:sz="0" w:space="0" w:color="auto"/>
      </w:pBdr>
      <w:spacing w:line="240" w:lineRule="atLeast"/>
    </w:pPr>
  </w:style>
  <w:style w:type="paragraph" w:customStyle="1" w:styleId="Quotation">
    <w:name w:val="Quotation"/>
    <w:basedOn w:val="Normal"/>
    <w:next w:val="Normal"/>
    <w:uiPriority w:val="4"/>
    <w:qFormat/>
    <w:rsid w:val="00F401EF"/>
    <w:pPr>
      <w:ind w:left="425"/>
    </w:pPr>
    <w:rPr>
      <w:sz w:val="20"/>
    </w:rPr>
  </w:style>
  <w:style w:type="paragraph" w:customStyle="1" w:styleId="Tabledescription">
    <w:name w:val="Table description"/>
    <w:basedOn w:val="Figuredescription"/>
    <w:next w:val="Normal"/>
    <w:rsid w:val="00F401EF"/>
  </w:style>
  <w:style w:type="paragraph" w:customStyle="1" w:styleId="Tabletitle">
    <w:name w:val="Table title"/>
    <w:basedOn w:val="Normal"/>
    <w:next w:val="Normal"/>
    <w:rsid w:val="00F401EF"/>
    <w:pPr>
      <w:keepNext/>
      <w:outlineLvl w:val="4"/>
    </w:pPr>
    <w:rPr>
      <w:b/>
    </w:rPr>
  </w:style>
  <w:style w:type="paragraph" w:styleId="TOC4">
    <w:name w:val="toc 4"/>
    <w:basedOn w:val="Normal"/>
    <w:next w:val="Normal"/>
    <w:autoRedefine/>
    <w:uiPriority w:val="39"/>
    <w:unhideWhenUsed/>
    <w:rsid w:val="00F401EF"/>
    <w:pPr>
      <w:tabs>
        <w:tab w:val="right" w:leader="hyphen" w:pos="8505"/>
      </w:tabs>
      <w:spacing w:after="100"/>
      <w:ind w:left="1276"/>
    </w:pPr>
  </w:style>
  <w:style w:type="paragraph" w:styleId="TOC5">
    <w:name w:val="toc 5"/>
    <w:basedOn w:val="Normal"/>
    <w:next w:val="Normal"/>
    <w:autoRedefine/>
    <w:uiPriority w:val="39"/>
    <w:unhideWhenUsed/>
    <w:rsid w:val="00F401EF"/>
    <w:pPr>
      <w:tabs>
        <w:tab w:val="right" w:leader="dot" w:pos="8505"/>
      </w:tabs>
      <w:spacing w:after="100"/>
      <w:ind w:left="1701"/>
    </w:pPr>
    <w:rPr>
      <w:noProof/>
    </w:rPr>
  </w:style>
  <w:style w:type="paragraph" w:styleId="TOC6">
    <w:name w:val="toc 6"/>
    <w:basedOn w:val="Normal"/>
    <w:next w:val="Normal"/>
    <w:autoRedefine/>
    <w:uiPriority w:val="39"/>
    <w:semiHidden/>
    <w:unhideWhenUsed/>
    <w:rsid w:val="00F401EF"/>
    <w:pPr>
      <w:tabs>
        <w:tab w:val="right" w:pos="8505"/>
      </w:tabs>
      <w:spacing w:after="100"/>
      <w:ind w:left="2126"/>
    </w:pPr>
  </w:style>
  <w:style w:type="paragraph" w:styleId="TOC7">
    <w:name w:val="toc 7"/>
    <w:basedOn w:val="Normal"/>
    <w:next w:val="Normal"/>
    <w:autoRedefine/>
    <w:uiPriority w:val="39"/>
    <w:semiHidden/>
    <w:unhideWhenUsed/>
    <w:rsid w:val="00F401EF"/>
    <w:pPr>
      <w:spacing w:after="100"/>
      <w:ind w:left="2211"/>
    </w:pPr>
  </w:style>
  <w:style w:type="paragraph" w:customStyle="1" w:styleId="Address">
    <w:name w:val="Address"/>
    <w:basedOn w:val="Normal"/>
    <w:rsid w:val="00EB5622"/>
    <w:pPr>
      <w:spacing w:before="0" w:after="0" w:line="240" w:lineRule="auto"/>
    </w:pPr>
    <w:rPr>
      <w:sz w:val="21"/>
    </w:rPr>
  </w:style>
  <w:style w:type="paragraph" w:styleId="EndnoteText">
    <w:name w:val="endnote text"/>
    <w:basedOn w:val="FootnoteText"/>
    <w:link w:val="EndnoteTextChar"/>
    <w:uiPriority w:val="99"/>
    <w:unhideWhenUsed/>
    <w:rsid w:val="00C4743E"/>
    <w:rPr>
      <w:rFonts w:asciiTheme="minorHAnsi" w:hAnsiTheme="minorHAnsi" w:cstheme="minorBidi"/>
      <w:szCs w:val="22"/>
    </w:rPr>
  </w:style>
  <w:style w:type="character" w:customStyle="1" w:styleId="EndnoteTextChar">
    <w:name w:val="Endnote Text Char"/>
    <w:basedOn w:val="DefaultParagraphFont"/>
    <w:link w:val="EndnoteText"/>
    <w:uiPriority w:val="99"/>
    <w:rsid w:val="00C4743E"/>
    <w:rPr>
      <w:rFonts w:asciiTheme="minorHAnsi" w:hAnsiTheme="minorHAnsi" w:cstheme="minorBidi"/>
      <w:szCs w:val="22"/>
      <w:lang w:eastAsia="en-US"/>
    </w:rPr>
  </w:style>
  <w:style w:type="paragraph" w:styleId="ListParagraph">
    <w:name w:val="List Paragraph"/>
    <w:basedOn w:val="Normal"/>
    <w:uiPriority w:val="34"/>
    <w:qFormat/>
    <w:rsid w:val="007A0401"/>
    <w:pPr>
      <w:spacing w:before="0" w:after="200" w:line="276" w:lineRule="auto"/>
      <w:ind w:left="720"/>
      <w:contextualSpacing/>
    </w:pPr>
    <w:rPr>
      <w:rFonts w:asciiTheme="minorHAnsi" w:eastAsiaTheme="minorEastAsia" w:hAnsiTheme="minorHAnsi" w:cstheme="minorBidi"/>
      <w:szCs w:val="22"/>
      <w:lang w:eastAsia="en-AU"/>
    </w:rPr>
  </w:style>
  <w:style w:type="character" w:styleId="EndnoteReference">
    <w:name w:val="endnote reference"/>
    <w:basedOn w:val="DefaultParagraphFont"/>
    <w:uiPriority w:val="99"/>
    <w:unhideWhenUsed/>
    <w:rsid w:val="007A0401"/>
    <w:rPr>
      <w:vertAlign w:val="superscript"/>
    </w:rPr>
  </w:style>
  <w:style w:type="paragraph" w:customStyle="1" w:styleId="Sarahnormaltext">
    <w:name w:val="Sarah normal text"/>
    <w:basedOn w:val="Normal"/>
    <w:rsid w:val="007A0401"/>
    <w:pPr>
      <w:spacing w:before="0" w:after="200" w:line="276" w:lineRule="auto"/>
    </w:pPr>
    <w:rPr>
      <w:rFonts w:asciiTheme="minorHAnsi" w:eastAsiaTheme="minorEastAsia" w:hAnsiTheme="minorHAnsi" w:cstheme="minorHAnsi"/>
      <w:szCs w:val="22"/>
    </w:rPr>
  </w:style>
  <w:style w:type="character" w:customStyle="1" w:styleId="Heading8Char">
    <w:name w:val="Heading 8 Char"/>
    <w:basedOn w:val="DefaultParagraphFont"/>
    <w:link w:val="Heading8"/>
    <w:uiPriority w:val="9"/>
    <w:semiHidden/>
    <w:rsid w:val="003800B4"/>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3800B4"/>
    <w:rPr>
      <w:rFonts w:asciiTheme="majorHAnsi" w:eastAsiaTheme="majorEastAsia" w:hAnsiTheme="majorHAnsi" w:cstheme="majorBidi"/>
      <w:i/>
      <w:iCs/>
      <w:spacing w:val="5"/>
    </w:rPr>
  </w:style>
  <w:style w:type="paragraph" w:customStyle="1" w:styleId="Notes">
    <w:name w:val="Notes"/>
    <w:basedOn w:val="Normal"/>
    <w:semiHidden/>
    <w:locked/>
    <w:rsid w:val="003800B4"/>
    <w:pPr>
      <w:spacing w:before="0" w:after="200" w:line="240" w:lineRule="auto"/>
    </w:pPr>
    <w:rPr>
      <w:rFonts w:ascii="Arial" w:eastAsiaTheme="minorEastAsia" w:hAnsi="Arial" w:cstheme="minorBidi"/>
      <w:sz w:val="16"/>
      <w:szCs w:val="22"/>
      <w:lang w:eastAsia="en-AU"/>
    </w:rPr>
  </w:style>
  <w:style w:type="paragraph" w:styleId="Caption">
    <w:name w:val="caption"/>
    <w:basedOn w:val="Tabletitle"/>
    <w:next w:val="Normal"/>
    <w:uiPriority w:val="35"/>
    <w:rsid w:val="003800B4"/>
    <w:pPr>
      <w:spacing w:before="0" w:after="200" w:line="276" w:lineRule="auto"/>
    </w:pPr>
    <w:rPr>
      <w:rFonts w:asciiTheme="minorHAnsi" w:eastAsiaTheme="minorEastAsia" w:hAnsiTheme="minorHAnsi" w:cstheme="minorBidi"/>
      <w:szCs w:val="22"/>
      <w:lang w:eastAsia="en-AU"/>
    </w:rPr>
  </w:style>
  <w:style w:type="paragraph" w:styleId="TableofFigures">
    <w:name w:val="table of figures"/>
    <w:basedOn w:val="Normal"/>
    <w:next w:val="Normal"/>
    <w:uiPriority w:val="99"/>
    <w:unhideWhenUsed/>
    <w:rsid w:val="003800B4"/>
    <w:pPr>
      <w:spacing w:before="0" w:after="200" w:line="276" w:lineRule="auto"/>
    </w:pPr>
    <w:rPr>
      <w:rFonts w:asciiTheme="minorHAnsi" w:eastAsiaTheme="minorEastAsia" w:hAnsiTheme="minorHAnsi" w:cstheme="minorBidi"/>
      <w:szCs w:val="22"/>
      <w:lang w:eastAsia="en-AU"/>
    </w:rPr>
  </w:style>
  <w:style w:type="character" w:styleId="Strong">
    <w:name w:val="Strong"/>
    <w:uiPriority w:val="22"/>
    <w:qFormat/>
    <w:rsid w:val="003800B4"/>
    <w:rPr>
      <w:b/>
      <w:bCs/>
    </w:rPr>
  </w:style>
  <w:style w:type="character" w:styleId="Emphasis">
    <w:name w:val="Emphasis"/>
    <w:uiPriority w:val="20"/>
    <w:qFormat/>
    <w:rsid w:val="003800B4"/>
    <w:rPr>
      <w:b/>
      <w:bCs/>
      <w:i/>
      <w:iCs/>
      <w:spacing w:val="10"/>
      <w:bdr w:val="none" w:sz="0" w:space="0" w:color="auto"/>
      <w:shd w:val="clear" w:color="auto" w:fill="auto"/>
    </w:rPr>
  </w:style>
  <w:style w:type="paragraph" w:styleId="NoSpacing">
    <w:name w:val="No Spacing"/>
    <w:basedOn w:val="Normal"/>
    <w:uiPriority w:val="1"/>
    <w:qFormat/>
    <w:rsid w:val="003800B4"/>
    <w:pPr>
      <w:spacing w:before="0" w:after="0" w:line="240" w:lineRule="auto"/>
    </w:pPr>
    <w:rPr>
      <w:rFonts w:asciiTheme="minorHAnsi" w:eastAsiaTheme="minorEastAsia" w:hAnsiTheme="minorHAnsi" w:cstheme="minorBidi"/>
      <w:szCs w:val="22"/>
      <w:lang w:eastAsia="en-AU"/>
    </w:rPr>
  </w:style>
  <w:style w:type="paragraph" w:styleId="Quote">
    <w:name w:val="Quote"/>
    <w:basedOn w:val="Normal"/>
    <w:next w:val="Normal"/>
    <w:link w:val="QuoteChar"/>
    <w:uiPriority w:val="29"/>
    <w:qFormat/>
    <w:rsid w:val="003800B4"/>
    <w:pPr>
      <w:spacing w:before="200" w:after="0" w:line="276" w:lineRule="auto"/>
      <w:ind w:left="360" w:right="360"/>
    </w:pPr>
    <w:rPr>
      <w:rFonts w:asciiTheme="minorHAnsi" w:eastAsiaTheme="minorEastAsia" w:hAnsiTheme="minorHAnsi" w:cstheme="minorBidi"/>
      <w:i/>
      <w:iCs/>
      <w:szCs w:val="22"/>
      <w:lang w:eastAsia="en-AU"/>
    </w:rPr>
  </w:style>
  <w:style w:type="character" w:customStyle="1" w:styleId="QuoteChar">
    <w:name w:val="Quote Char"/>
    <w:basedOn w:val="DefaultParagraphFont"/>
    <w:link w:val="Quote"/>
    <w:uiPriority w:val="29"/>
    <w:rsid w:val="003800B4"/>
    <w:rPr>
      <w:rFonts w:asciiTheme="minorHAnsi" w:eastAsiaTheme="minorEastAsia" w:hAnsiTheme="minorHAnsi" w:cstheme="minorBidi"/>
      <w:i/>
      <w:iCs/>
      <w:sz w:val="22"/>
      <w:szCs w:val="22"/>
    </w:rPr>
  </w:style>
  <w:style w:type="paragraph" w:styleId="IntenseQuote">
    <w:name w:val="Intense Quote"/>
    <w:basedOn w:val="Normal"/>
    <w:next w:val="Normal"/>
    <w:link w:val="IntenseQuoteChar"/>
    <w:uiPriority w:val="30"/>
    <w:qFormat/>
    <w:rsid w:val="003800B4"/>
    <w:pPr>
      <w:pBdr>
        <w:bottom w:val="single" w:sz="4" w:space="1" w:color="auto"/>
      </w:pBdr>
      <w:spacing w:before="200" w:after="280" w:line="276" w:lineRule="auto"/>
      <w:ind w:left="1008" w:right="1152"/>
      <w:jc w:val="both"/>
    </w:pPr>
    <w:rPr>
      <w:rFonts w:asciiTheme="minorHAnsi" w:eastAsiaTheme="minorEastAsia" w:hAnsiTheme="minorHAnsi" w:cstheme="minorBidi"/>
      <w:b/>
      <w:bCs/>
      <w:i/>
      <w:iCs/>
      <w:szCs w:val="22"/>
      <w:lang w:eastAsia="en-AU"/>
    </w:rPr>
  </w:style>
  <w:style w:type="character" w:customStyle="1" w:styleId="IntenseQuoteChar">
    <w:name w:val="Intense Quote Char"/>
    <w:basedOn w:val="DefaultParagraphFont"/>
    <w:link w:val="IntenseQuote"/>
    <w:uiPriority w:val="30"/>
    <w:rsid w:val="003800B4"/>
    <w:rPr>
      <w:rFonts w:asciiTheme="minorHAnsi" w:eastAsiaTheme="minorEastAsia" w:hAnsiTheme="minorHAnsi" w:cstheme="minorBidi"/>
      <w:b/>
      <w:bCs/>
      <w:i/>
      <w:iCs/>
      <w:sz w:val="22"/>
      <w:szCs w:val="22"/>
    </w:rPr>
  </w:style>
  <w:style w:type="character" w:styleId="SubtleEmphasis">
    <w:name w:val="Subtle Emphasis"/>
    <w:uiPriority w:val="19"/>
    <w:qFormat/>
    <w:rsid w:val="003800B4"/>
    <w:rPr>
      <w:i/>
      <w:iCs/>
    </w:rPr>
  </w:style>
  <w:style w:type="character" w:styleId="IntenseEmphasis">
    <w:name w:val="Intense Emphasis"/>
    <w:uiPriority w:val="21"/>
    <w:qFormat/>
    <w:rsid w:val="003800B4"/>
    <w:rPr>
      <w:b/>
      <w:bCs/>
    </w:rPr>
  </w:style>
  <w:style w:type="character" w:styleId="SubtleReference">
    <w:name w:val="Subtle Reference"/>
    <w:uiPriority w:val="31"/>
    <w:qFormat/>
    <w:rsid w:val="003800B4"/>
    <w:rPr>
      <w:smallCaps/>
    </w:rPr>
  </w:style>
  <w:style w:type="character" w:styleId="IntenseReference">
    <w:name w:val="Intense Reference"/>
    <w:uiPriority w:val="32"/>
    <w:qFormat/>
    <w:rsid w:val="003800B4"/>
    <w:rPr>
      <w:smallCaps/>
      <w:spacing w:val="5"/>
      <w:u w:val="single"/>
    </w:rPr>
  </w:style>
  <w:style w:type="character" w:styleId="BookTitle">
    <w:name w:val="Book Title"/>
    <w:uiPriority w:val="33"/>
    <w:qFormat/>
    <w:rsid w:val="003800B4"/>
    <w:rPr>
      <w:i/>
      <w:iCs/>
      <w:smallCaps/>
      <w:spacing w:val="5"/>
    </w:rPr>
  </w:style>
  <w:style w:type="paragraph" w:customStyle="1" w:styleId="eptext">
    <w:name w:val="eptext"/>
    <w:basedOn w:val="Normal"/>
    <w:rsid w:val="003800B4"/>
    <w:pPr>
      <w:spacing w:before="140" w:after="140" w:line="336" w:lineRule="atLeast"/>
    </w:pPr>
    <w:rPr>
      <w:rFonts w:ascii="Arial" w:eastAsia="Times New Roman" w:hAnsi="Arial" w:cs="Arial"/>
      <w:color w:val="333333"/>
      <w:sz w:val="18"/>
      <w:szCs w:val="18"/>
      <w:lang w:eastAsia="en-AU"/>
    </w:rPr>
  </w:style>
  <w:style w:type="paragraph" w:customStyle="1" w:styleId="epnote">
    <w:name w:val="epnote"/>
    <w:basedOn w:val="Normal"/>
    <w:rsid w:val="003800B4"/>
    <w:pPr>
      <w:spacing w:before="200" w:after="200" w:line="240" w:lineRule="auto"/>
      <w:ind w:left="397"/>
    </w:pPr>
    <w:rPr>
      <w:rFonts w:ascii="Arial" w:eastAsia="Times New Roman" w:hAnsi="Arial" w:cs="Arial"/>
      <w:b/>
      <w:bCs/>
      <w:color w:val="333333"/>
      <w:sz w:val="18"/>
      <w:szCs w:val="18"/>
      <w:lang w:eastAsia="en-AU"/>
    </w:rPr>
  </w:style>
  <w:style w:type="paragraph" w:styleId="PlainText">
    <w:name w:val="Plain Text"/>
    <w:basedOn w:val="Normal"/>
    <w:link w:val="PlainTextChar"/>
    <w:uiPriority w:val="99"/>
    <w:semiHidden/>
    <w:unhideWhenUsed/>
    <w:rsid w:val="003800B4"/>
    <w:pPr>
      <w:spacing w:before="0"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3800B4"/>
    <w:rPr>
      <w:rFonts w:ascii="Consolas" w:eastAsiaTheme="minorEastAsia" w:hAnsi="Consolas" w:cs="Consolas"/>
      <w:sz w:val="21"/>
      <w:szCs w:val="21"/>
      <w:lang w:eastAsia="en-US"/>
    </w:rPr>
  </w:style>
  <w:style w:type="table" w:customStyle="1" w:styleId="TableTGAblue1">
    <w:name w:val="Table TGA blue1"/>
    <w:basedOn w:val="TableNormal"/>
    <w:uiPriority w:val="99"/>
    <w:qFormat/>
    <w:rsid w:val="00DA7CC7"/>
    <w:rPr>
      <w:color w:val="000000"/>
      <w:sz w:val="22"/>
      <w:szCs w:val="21"/>
    </w:rPr>
    <w:tblPr>
      <w:tblInd w:w="0" w:type="dxa"/>
      <w:tblBorders>
        <w:top w:val="single" w:sz="8" w:space="0" w:color="002C47"/>
        <w:left w:val="single" w:sz="8" w:space="0" w:color="002C47"/>
        <w:bottom w:val="single" w:sz="8" w:space="0" w:color="002C47"/>
        <w:right w:val="single" w:sz="8" w:space="0" w:color="002C47"/>
        <w:insideH w:val="single" w:sz="8" w:space="0" w:color="002C47"/>
        <w:insideV w:val="single" w:sz="8" w:space="0" w:color="002C47"/>
      </w:tblBorders>
      <w:tblCellMar>
        <w:top w:w="0" w:type="dxa"/>
        <w:left w:w="108" w:type="dxa"/>
        <w:bottom w:w="0" w:type="dxa"/>
        <w:right w:w="108" w:type="dxa"/>
      </w:tblCellMar>
    </w:tblPr>
    <w:trPr>
      <w:cantSplit/>
    </w:trPr>
    <w:tcPr>
      <w:shd w:val="clear" w:color="auto" w:fill="auto"/>
    </w:tcPr>
    <w:tblStylePr w:type="firstRow">
      <w:pPr>
        <w:keepNext/>
        <w:wordWrap/>
      </w:pPr>
      <w:rPr>
        <w:rFonts w:ascii="Cambria" w:hAnsi="Cambria"/>
        <w:b/>
        <w:color w:val="FFFFFF"/>
        <w:sz w:val="22"/>
      </w:rPr>
      <w:tblPr/>
      <w:trPr>
        <w:tblHeader/>
      </w:trPr>
      <w:tcPr>
        <w:tcBorders>
          <w:top w:val="single" w:sz="8" w:space="0" w:color="002C47"/>
          <w:left w:val="single" w:sz="8" w:space="0" w:color="002C47"/>
          <w:bottom w:val="single" w:sz="8" w:space="0" w:color="002C47"/>
          <w:right w:val="single" w:sz="8" w:space="0" w:color="002C47"/>
          <w:insideH w:val="nil"/>
          <w:insideV w:val="nil"/>
          <w:tl2br w:val="nil"/>
          <w:tr2bl w:val="nil"/>
        </w:tcBorders>
        <w:shd w:val="clear" w:color="auto" w:fill="006DA7"/>
      </w:tcPr>
    </w:tblStylePr>
    <w:tblStylePr w:type="firstCol">
      <w:pPr>
        <w:keepNext w:val="0"/>
        <w:wordWrap/>
      </w:pPr>
    </w:tblStylePr>
  </w:style>
  <w:style w:type="character" w:styleId="CommentReference">
    <w:name w:val="annotation reference"/>
    <w:basedOn w:val="DefaultParagraphFont"/>
    <w:uiPriority w:val="99"/>
    <w:semiHidden/>
    <w:unhideWhenUsed/>
    <w:rsid w:val="003800B4"/>
    <w:rPr>
      <w:sz w:val="16"/>
      <w:szCs w:val="16"/>
    </w:rPr>
  </w:style>
  <w:style w:type="paragraph" w:styleId="CommentText">
    <w:name w:val="annotation text"/>
    <w:basedOn w:val="Normal"/>
    <w:link w:val="CommentTextChar"/>
    <w:uiPriority w:val="99"/>
    <w:semiHidden/>
    <w:unhideWhenUsed/>
    <w:rsid w:val="003800B4"/>
    <w:pPr>
      <w:spacing w:before="0" w:after="200" w:line="240" w:lineRule="auto"/>
    </w:pPr>
    <w:rPr>
      <w:rFonts w:asciiTheme="minorHAnsi" w:eastAsiaTheme="minorEastAsia" w:hAnsiTheme="minorHAnsi" w:cstheme="minorBidi"/>
      <w:sz w:val="20"/>
    </w:rPr>
  </w:style>
  <w:style w:type="character" w:customStyle="1" w:styleId="CommentTextChar">
    <w:name w:val="Comment Text Char"/>
    <w:basedOn w:val="DefaultParagraphFont"/>
    <w:link w:val="CommentText"/>
    <w:uiPriority w:val="99"/>
    <w:semiHidden/>
    <w:rsid w:val="003800B4"/>
    <w:rPr>
      <w:rFonts w:asciiTheme="minorHAnsi" w:eastAsiaTheme="minorEastAsia" w:hAnsiTheme="minorHAnsi" w:cstheme="minorBidi"/>
      <w:lang w:eastAsia="en-US"/>
    </w:rPr>
  </w:style>
  <w:style w:type="paragraph" w:styleId="CommentSubject">
    <w:name w:val="annotation subject"/>
    <w:basedOn w:val="CommentText"/>
    <w:next w:val="CommentText"/>
    <w:link w:val="CommentSubjectChar"/>
    <w:uiPriority w:val="99"/>
    <w:semiHidden/>
    <w:unhideWhenUsed/>
    <w:rsid w:val="003800B4"/>
    <w:rPr>
      <w:b/>
      <w:bCs/>
    </w:rPr>
  </w:style>
  <w:style w:type="character" w:customStyle="1" w:styleId="CommentSubjectChar">
    <w:name w:val="Comment Subject Char"/>
    <w:basedOn w:val="CommentTextChar"/>
    <w:link w:val="CommentSubject"/>
    <w:uiPriority w:val="99"/>
    <w:semiHidden/>
    <w:rsid w:val="003800B4"/>
    <w:rPr>
      <w:rFonts w:asciiTheme="minorHAnsi" w:eastAsiaTheme="minorEastAsia" w:hAnsiTheme="minorHAnsi" w:cstheme="minorBidi"/>
      <w:b/>
      <w:bCs/>
      <w:lang w:eastAsia="en-US"/>
    </w:rPr>
  </w:style>
  <w:style w:type="paragraph" w:styleId="Revision">
    <w:name w:val="Revision"/>
    <w:hidden/>
    <w:uiPriority w:val="99"/>
    <w:semiHidden/>
    <w:rsid w:val="003800B4"/>
    <w:rPr>
      <w:rFonts w:asciiTheme="minorHAnsi" w:eastAsiaTheme="minorEastAsia" w:hAnsiTheme="minorHAnsi" w:cstheme="minorBidi"/>
      <w:sz w:val="22"/>
      <w:szCs w:val="22"/>
    </w:rPr>
  </w:style>
  <w:style w:type="paragraph" w:customStyle="1" w:styleId="BodyText1">
    <w:name w:val="Body Text1"/>
    <w:basedOn w:val="Normal"/>
    <w:qFormat/>
    <w:rsid w:val="003800B4"/>
    <w:pPr>
      <w:spacing w:before="180"/>
    </w:pPr>
    <w:rPr>
      <w:szCs w:val="22"/>
    </w:rPr>
  </w:style>
  <w:style w:type="numbering" w:customStyle="1" w:styleId="NumberBullet20">
    <w:name w:val="NumberBullet2"/>
    <w:uiPriority w:val="99"/>
    <w:locked/>
    <w:rsid w:val="00BC7106"/>
  </w:style>
  <w:style w:type="table" w:customStyle="1" w:styleId="TableTGAblack1">
    <w:name w:val="Table TGA black1"/>
    <w:basedOn w:val="TableNormal"/>
    <w:uiPriority w:val="99"/>
    <w:rsid w:val="004D404D"/>
    <w:pPr>
      <w:spacing w:before="60"/>
    </w:pPr>
    <w:rPr>
      <w:color w:val="000000"/>
      <w:sz w:val="22"/>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cPr>
      <w:shd w:val="clear" w:color="auto" w:fill="auto"/>
    </w:tcPr>
    <w:tblStylePr w:type="firstRow">
      <w:pPr>
        <w:keepNext/>
        <w:wordWrap/>
      </w:pPr>
      <w:rPr>
        <w:rFonts w:ascii="Cambria" w:hAnsi="Cambria"/>
        <w:b/>
        <w:color w:val="FFFFFF"/>
        <w:sz w:val="22"/>
      </w:rPr>
      <w:tblPr/>
      <w:trPr>
        <w:tblHeader/>
      </w:trPr>
      <w:tcPr>
        <w:shd w:val="clear" w:color="auto" w:fill="000000"/>
      </w:tcPr>
    </w:tblStylePr>
    <w:tblStylePr w:type="lastRow">
      <w:rPr>
        <w:b w:val="0"/>
      </w:rPr>
    </w:tblStylePr>
    <w:tblStylePr w:type="firstCol">
      <w:pPr>
        <w:keepNext w:val="0"/>
        <w:wordWrap/>
      </w:pPr>
    </w:tblStylePr>
    <w:tblStylePr w:type="neCell">
      <w:rPr>
        <w:b w:val="0"/>
        <w:i w:val="0"/>
      </w:rPr>
    </w:tblStylePr>
    <w:tblStylePr w:type="nwCell">
      <w:rPr>
        <w:rFonts w:ascii="Cambria" w:hAnsi="Cambria"/>
        <w:b/>
        <w:i w:val="0"/>
        <w:color w:val="FFFFFF"/>
        <w:sz w:val="22"/>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35" w:unhideWhenUsed="0"/>
    <w:lsdException w:name="List Bullet" w:semiHidden="0" w:uiPriority="2" w:unhideWhenUsed="0" w:qFormat="1"/>
    <w:lsdException w:name="List Bullet 2" w:semiHidden="0" w:uiPriority="2" w:unhideWhenUsed="0" w:qFormat="1"/>
    <w:lsdException w:name="List Bullet 3" w:uiPriority="2"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F260A"/>
    <w:pPr>
      <w:spacing w:before="120" w:after="180" w:line="240" w:lineRule="atLeast"/>
    </w:pPr>
    <w:rPr>
      <w:sz w:val="22"/>
      <w:lang w:eastAsia="en-US"/>
    </w:rPr>
  </w:style>
  <w:style w:type="paragraph" w:styleId="Heading1">
    <w:name w:val="heading 1"/>
    <w:basedOn w:val="Normal"/>
    <w:next w:val="Normal"/>
    <w:link w:val="Heading1Char"/>
    <w:uiPriority w:val="9"/>
    <w:qFormat/>
    <w:rsid w:val="00F401EF"/>
    <w:pPr>
      <w:keepNext/>
      <w:keepLines/>
      <w:spacing w:before="360" w:after="240"/>
      <w:outlineLvl w:val="0"/>
    </w:pPr>
    <w:rPr>
      <w:rFonts w:ascii="Arial" w:eastAsia="Times New Roman" w:hAnsi="Arial"/>
      <w:b/>
      <w:bCs/>
      <w:sz w:val="48"/>
      <w:szCs w:val="48"/>
    </w:rPr>
  </w:style>
  <w:style w:type="paragraph" w:styleId="Heading2">
    <w:name w:val="heading 2"/>
    <w:basedOn w:val="Normal"/>
    <w:next w:val="Normal"/>
    <w:link w:val="Heading2Char"/>
    <w:uiPriority w:val="9"/>
    <w:qFormat/>
    <w:rsid w:val="00F401EF"/>
    <w:pPr>
      <w:keepNext/>
      <w:keepLines/>
      <w:spacing w:before="480" w:after="120"/>
      <w:outlineLvl w:val="1"/>
    </w:pPr>
    <w:rPr>
      <w:rFonts w:ascii="Arial" w:eastAsia="Times New Roman" w:hAnsi="Arial"/>
      <w:b/>
      <w:bCs/>
      <w:sz w:val="38"/>
      <w:szCs w:val="38"/>
    </w:rPr>
  </w:style>
  <w:style w:type="paragraph" w:styleId="Heading3">
    <w:name w:val="heading 3"/>
    <w:basedOn w:val="Normal"/>
    <w:next w:val="Normal"/>
    <w:link w:val="Heading3Char"/>
    <w:uiPriority w:val="9"/>
    <w:qFormat/>
    <w:rsid w:val="004015D9"/>
    <w:pPr>
      <w:keepNext/>
      <w:keepLines/>
      <w:spacing w:before="480" w:after="120"/>
      <w:outlineLvl w:val="2"/>
    </w:pPr>
    <w:rPr>
      <w:rFonts w:ascii="Arial" w:eastAsia="Times New Roman" w:hAnsi="Arial"/>
      <w:b/>
      <w:bCs/>
      <w:sz w:val="32"/>
      <w:szCs w:val="32"/>
    </w:rPr>
  </w:style>
  <w:style w:type="paragraph" w:styleId="Heading4">
    <w:name w:val="heading 4"/>
    <w:basedOn w:val="Normal"/>
    <w:next w:val="Normal"/>
    <w:link w:val="Heading4Char"/>
    <w:uiPriority w:val="9"/>
    <w:qFormat/>
    <w:rsid w:val="000D5840"/>
    <w:pPr>
      <w:keepNext/>
      <w:keepLines/>
      <w:spacing w:before="360" w:after="120"/>
      <w:outlineLvl w:val="3"/>
    </w:pPr>
    <w:rPr>
      <w:rFonts w:ascii="Arial" w:hAnsi="Arial"/>
      <w:b/>
      <w:bCs/>
      <w:sz w:val="26"/>
      <w:szCs w:val="26"/>
    </w:rPr>
  </w:style>
  <w:style w:type="paragraph" w:styleId="Heading5">
    <w:name w:val="heading 5"/>
    <w:basedOn w:val="Normal"/>
    <w:next w:val="Normal"/>
    <w:link w:val="Heading5Char"/>
    <w:uiPriority w:val="9"/>
    <w:qFormat/>
    <w:rsid w:val="00F401EF"/>
    <w:pPr>
      <w:keepNext/>
      <w:keepLines/>
      <w:spacing w:before="240" w:after="120"/>
      <w:outlineLvl w:val="4"/>
    </w:pPr>
    <w:rPr>
      <w:rFonts w:eastAsia="Times New Roman"/>
      <w:b/>
      <w:bCs/>
      <w:color w:val="001523"/>
      <w:sz w:val="26"/>
      <w:szCs w:val="26"/>
    </w:rPr>
  </w:style>
  <w:style w:type="paragraph" w:styleId="Heading6">
    <w:name w:val="heading 6"/>
    <w:basedOn w:val="Normal"/>
    <w:next w:val="Normal"/>
    <w:link w:val="Heading6Char"/>
    <w:uiPriority w:val="9"/>
    <w:qFormat/>
    <w:rsid w:val="00F401EF"/>
    <w:pPr>
      <w:keepNext/>
      <w:keepLines/>
      <w:spacing w:before="240" w:after="120"/>
      <w:outlineLvl w:val="5"/>
    </w:pPr>
    <w:rPr>
      <w:rFonts w:eastAsia="Times New Roman"/>
      <w:b/>
      <w:bCs/>
      <w:i/>
      <w:szCs w:val="21"/>
    </w:rPr>
  </w:style>
  <w:style w:type="paragraph" w:styleId="Heading7">
    <w:name w:val="heading 7"/>
    <w:basedOn w:val="Normal"/>
    <w:next w:val="Normal"/>
    <w:link w:val="Heading7Char"/>
    <w:uiPriority w:val="9"/>
    <w:qFormat/>
    <w:rsid w:val="00F401EF"/>
    <w:pPr>
      <w:keepNext/>
      <w:keepLines/>
      <w:spacing w:before="240" w:after="60" w:line="180" w:lineRule="atLeast"/>
      <w:outlineLvl w:val="6"/>
    </w:pPr>
    <w:rPr>
      <w:rFonts w:eastAsia="Times New Roman"/>
      <w:bCs/>
      <w:i/>
      <w:szCs w:val="22"/>
    </w:rPr>
  </w:style>
  <w:style w:type="paragraph" w:styleId="Heading8">
    <w:name w:val="heading 8"/>
    <w:basedOn w:val="Normal"/>
    <w:next w:val="Normal"/>
    <w:link w:val="Heading8Char"/>
    <w:uiPriority w:val="9"/>
    <w:semiHidden/>
    <w:unhideWhenUsed/>
    <w:qFormat/>
    <w:rsid w:val="003800B4"/>
    <w:pPr>
      <w:spacing w:before="0" w:after="0" w:line="276" w:lineRule="auto"/>
      <w:outlineLvl w:val="7"/>
    </w:pPr>
    <w:rPr>
      <w:rFonts w:asciiTheme="majorHAnsi" w:eastAsiaTheme="majorEastAsia" w:hAnsiTheme="majorHAnsi" w:cstheme="majorBidi"/>
      <w:sz w:val="20"/>
      <w:lang w:eastAsia="en-AU"/>
    </w:rPr>
  </w:style>
  <w:style w:type="paragraph" w:styleId="Heading9">
    <w:name w:val="heading 9"/>
    <w:basedOn w:val="Normal"/>
    <w:next w:val="Normal"/>
    <w:link w:val="Heading9Char"/>
    <w:uiPriority w:val="9"/>
    <w:semiHidden/>
    <w:unhideWhenUsed/>
    <w:qFormat/>
    <w:rsid w:val="003800B4"/>
    <w:pPr>
      <w:spacing w:before="0" w:after="0" w:line="276" w:lineRule="auto"/>
      <w:outlineLvl w:val="8"/>
    </w:pPr>
    <w:rPr>
      <w:rFonts w:asciiTheme="majorHAnsi" w:eastAsiaTheme="majorEastAsia" w:hAnsiTheme="majorHAnsi" w:cstheme="majorBidi"/>
      <w:i/>
      <w:iCs/>
      <w:spacing w:val="5"/>
      <w:sz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3C5"/>
    <w:rPr>
      <w:rFonts w:ascii="Arial" w:eastAsia="Times New Roman" w:hAnsi="Arial"/>
      <w:b/>
      <w:bCs/>
      <w:sz w:val="48"/>
      <w:szCs w:val="48"/>
      <w:lang w:eastAsia="en-US"/>
    </w:rPr>
  </w:style>
  <w:style w:type="character" w:customStyle="1" w:styleId="Heading2Char">
    <w:name w:val="Heading 2 Char"/>
    <w:basedOn w:val="DefaultParagraphFont"/>
    <w:link w:val="Heading2"/>
    <w:uiPriority w:val="9"/>
    <w:rsid w:val="00CB73C5"/>
    <w:rPr>
      <w:rFonts w:ascii="Arial" w:eastAsia="Times New Roman" w:hAnsi="Arial"/>
      <w:b/>
      <w:bCs/>
      <w:sz w:val="38"/>
      <w:szCs w:val="38"/>
      <w:lang w:eastAsia="en-US"/>
    </w:rPr>
  </w:style>
  <w:style w:type="character" w:customStyle="1" w:styleId="Heading3Char">
    <w:name w:val="Heading 3 Char"/>
    <w:basedOn w:val="DefaultParagraphFont"/>
    <w:link w:val="Heading3"/>
    <w:uiPriority w:val="9"/>
    <w:rsid w:val="004015D9"/>
    <w:rPr>
      <w:rFonts w:ascii="Arial" w:eastAsia="Times New Roman" w:hAnsi="Arial"/>
      <w:b/>
      <w:bCs/>
      <w:sz w:val="32"/>
      <w:szCs w:val="32"/>
      <w:lang w:eastAsia="en-US"/>
    </w:rPr>
  </w:style>
  <w:style w:type="paragraph" w:styleId="BalloonText">
    <w:name w:val="Balloon Text"/>
    <w:basedOn w:val="Normal"/>
    <w:link w:val="BalloonTextChar"/>
    <w:uiPriority w:val="99"/>
    <w:semiHidden/>
    <w:unhideWhenUsed/>
    <w:rsid w:val="00F3148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48D"/>
    <w:rPr>
      <w:rFonts w:ascii="Tahoma" w:hAnsi="Tahoma" w:cs="Tahoma"/>
      <w:sz w:val="16"/>
      <w:szCs w:val="16"/>
    </w:rPr>
  </w:style>
  <w:style w:type="paragraph" w:styleId="Date">
    <w:name w:val="Date"/>
    <w:basedOn w:val="Normal"/>
    <w:next w:val="Normal"/>
    <w:link w:val="DateChar"/>
    <w:uiPriority w:val="99"/>
    <w:rsid w:val="00F3529E"/>
    <w:pPr>
      <w:spacing w:after="0"/>
    </w:pPr>
    <w:rPr>
      <w:rFonts w:ascii="Arial" w:hAnsi="Arial"/>
      <w:sz w:val="28"/>
    </w:rPr>
  </w:style>
  <w:style w:type="character" w:customStyle="1" w:styleId="DateChar">
    <w:name w:val="Date Char"/>
    <w:basedOn w:val="DefaultParagraphFont"/>
    <w:link w:val="Date"/>
    <w:uiPriority w:val="99"/>
    <w:rsid w:val="00F3529E"/>
    <w:rPr>
      <w:rFonts w:ascii="Arial" w:hAnsi="Arial"/>
      <w:sz w:val="28"/>
      <w:szCs w:val="22"/>
      <w:lang w:eastAsia="en-US"/>
    </w:rPr>
  </w:style>
  <w:style w:type="character" w:customStyle="1" w:styleId="Heading4Char">
    <w:name w:val="Heading 4 Char"/>
    <w:basedOn w:val="DefaultParagraphFont"/>
    <w:link w:val="Heading4"/>
    <w:uiPriority w:val="9"/>
    <w:rsid w:val="000D5840"/>
    <w:rPr>
      <w:rFonts w:ascii="Arial" w:hAnsi="Arial"/>
      <w:b/>
      <w:bCs/>
      <w:sz w:val="26"/>
      <w:szCs w:val="26"/>
      <w:lang w:eastAsia="en-US"/>
    </w:rPr>
  </w:style>
  <w:style w:type="paragraph" w:customStyle="1" w:styleId="FlowChartWhiteHeading">
    <w:name w:val="Flow Chart White Heading"/>
    <w:basedOn w:val="Normal"/>
    <w:semiHidden/>
    <w:unhideWhenUsed/>
    <w:rsid w:val="001D7224"/>
    <w:pPr>
      <w:jc w:val="center"/>
    </w:pPr>
    <w:rPr>
      <w:rFonts w:ascii="Arial" w:hAnsi="Arial"/>
      <w:b/>
      <w:color w:val="FFFFFF"/>
    </w:rPr>
  </w:style>
  <w:style w:type="paragraph" w:customStyle="1" w:styleId="FlowChartBlackHeading">
    <w:name w:val="Flow Chart Black Heading"/>
    <w:basedOn w:val="FlowChartWhiteHeading"/>
    <w:semiHidden/>
    <w:unhideWhenUsed/>
    <w:rsid w:val="001D7224"/>
    <w:rPr>
      <w:color w:val="auto"/>
    </w:rPr>
  </w:style>
  <w:style w:type="paragraph" w:customStyle="1" w:styleId="FlowChartWhiteText">
    <w:name w:val="Flow Chart White Text"/>
    <w:basedOn w:val="Normal"/>
    <w:semiHidden/>
    <w:unhideWhenUsed/>
    <w:rsid w:val="00F3148D"/>
    <w:pPr>
      <w:spacing w:after="0"/>
      <w:jc w:val="center"/>
    </w:pPr>
    <w:rPr>
      <w:color w:val="FFFFFF"/>
    </w:rPr>
  </w:style>
  <w:style w:type="paragraph" w:customStyle="1" w:styleId="FlowchartText">
    <w:name w:val="Flowchart Text"/>
    <w:basedOn w:val="Normal"/>
    <w:semiHidden/>
    <w:unhideWhenUsed/>
    <w:rsid w:val="005A1131"/>
    <w:pPr>
      <w:jc w:val="center"/>
    </w:pPr>
    <w:rPr>
      <w:rFonts w:ascii="Arial" w:hAnsi="Arial"/>
    </w:rPr>
  </w:style>
  <w:style w:type="character" w:styleId="FollowedHyperlink">
    <w:name w:val="FollowedHyperlink"/>
    <w:basedOn w:val="DefaultParagraphFont"/>
    <w:uiPriority w:val="99"/>
    <w:semiHidden/>
    <w:unhideWhenUsed/>
    <w:rsid w:val="00F3148D"/>
    <w:rPr>
      <w:color w:val="800080"/>
      <w:u w:val="single"/>
    </w:rPr>
  </w:style>
  <w:style w:type="paragraph" w:styleId="Footer">
    <w:name w:val="footer"/>
    <w:basedOn w:val="Normal"/>
    <w:link w:val="FooterChar"/>
    <w:uiPriority w:val="99"/>
    <w:rsid w:val="00F401EF"/>
    <w:pPr>
      <w:tabs>
        <w:tab w:val="center" w:pos="4513"/>
        <w:tab w:val="right" w:pos="9026"/>
      </w:tabs>
      <w:spacing w:before="0" w:after="0" w:line="240" w:lineRule="auto"/>
    </w:pPr>
    <w:rPr>
      <w:sz w:val="17"/>
    </w:rPr>
  </w:style>
  <w:style w:type="character" w:customStyle="1" w:styleId="FooterChar">
    <w:name w:val="Footer Char"/>
    <w:basedOn w:val="DefaultParagraphFont"/>
    <w:link w:val="Footer"/>
    <w:uiPriority w:val="99"/>
    <w:rsid w:val="00257138"/>
    <w:rPr>
      <w:sz w:val="17"/>
      <w:lang w:eastAsia="en-US"/>
    </w:rPr>
  </w:style>
  <w:style w:type="paragraph" w:styleId="Header">
    <w:name w:val="header"/>
    <w:basedOn w:val="Normal"/>
    <w:link w:val="HeaderChar"/>
    <w:uiPriority w:val="99"/>
    <w:rsid w:val="00F401EF"/>
    <w:pPr>
      <w:pBdr>
        <w:bottom w:val="single" w:sz="4" w:space="3" w:color="auto"/>
      </w:pBdr>
      <w:tabs>
        <w:tab w:val="center" w:pos="4513"/>
        <w:tab w:val="right" w:pos="9026"/>
      </w:tabs>
      <w:spacing w:before="0" w:after="0" w:line="240" w:lineRule="auto"/>
      <w:jc w:val="right"/>
    </w:pPr>
    <w:rPr>
      <w:sz w:val="17"/>
    </w:rPr>
  </w:style>
  <w:style w:type="character" w:customStyle="1" w:styleId="HeaderChar">
    <w:name w:val="Header Char"/>
    <w:basedOn w:val="DefaultParagraphFont"/>
    <w:link w:val="Header"/>
    <w:uiPriority w:val="99"/>
    <w:rsid w:val="00F3148D"/>
    <w:rPr>
      <w:sz w:val="17"/>
      <w:lang w:eastAsia="en-US"/>
    </w:rPr>
  </w:style>
  <w:style w:type="character" w:customStyle="1" w:styleId="Heading5Char">
    <w:name w:val="Heading 5 Char"/>
    <w:basedOn w:val="DefaultParagraphFont"/>
    <w:link w:val="Heading5"/>
    <w:uiPriority w:val="9"/>
    <w:rsid w:val="00FA639E"/>
    <w:rPr>
      <w:rFonts w:eastAsia="Times New Roman"/>
      <w:b/>
      <w:bCs/>
      <w:color w:val="001523"/>
      <w:sz w:val="26"/>
      <w:szCs w:val="26"/>
      <w:lang w:eastAsia="en-US"/>
    </w:rPr>
  </w:style>
  <w:style w:type="character" w:customStyle="1" w:styleId="Heading6Char">
    <w:name w:val="Heading 6 Char"/>
    <w:basedOn w:val="DefaultParagraphFont"/>
    <w:link w:val="Heading6"/>
    <w:uiPriority w:val="9"/>
    <w:rsid w:val="000D157F"/>
    <w:rPr>
      <w:rFonts w:eastAsia="Times New Roman"/>
      <w:b/>
      <w:bCs/>
      <w:i/>
      <w:sz w:val="22"/>
      <w:szCs w:val="21"/>
      <w:lang w:eastAsia="en-US"/>
    </w:rPr>
  </w:style>
  <w:style w:type="character" w:customStyle="1" w:styleId="Heading7Char">
    <w:name w:val="Heading 7 Char"/>
    <w:basedOn w:val="DefaultParagraphFont"/>
    <w:link w:val="Heading7"/>
    <w:uiPriority w:val="9"/>
    <w:rsid w:val="000D157F"/>
    <w:rPr>
      <w:rFonts w:eastAsia="Times New Roman"/>
      <w:bCs/>
      <w:i/>
      <w:sz w:val="22"/>
      <w:szCs w:val="22"/>
      <w:lang w:eastAsia="en-US"/>
    </w:rPr>
  </w:style>
  <w:style w:type="character" w:styleId="Hyperlink">
    <w:name w:val="Hyperlink"/>
    <w:basedOn w:val="DefaultParagraphFont"/>
    <w:uiPriority w:val="99"/>
    <w:unhideWhenUsed/>
    <w:rsid w:val="00F401EF"/>
    <w:rPr>
      <w:color w:val="0000FF"/>
      <w:u w:val="single"/>
    </w:rPr>
  </w:style>
  <w:style w:type="paragraph" w:customStyle="1" w:styleId="LegalCopy">
    <w:name w:val="Legal Copy"/>
    <w:basedOn w:val="Footer"/>
    <w:rsid w:val="00A1235B"/>
  </w:style>
  <w:style w:type="paragraph" w:customStyle="1" w:styleId="LegalSubheading">
    <w:name w:val="Legal Subheading"/>
    <w:basedOn w:val="Footer"/>
    <w:rsid w:val="00F3148D"/>
    <w:rPr>
      <w:b/>
    </w:rPr>
  </w:style>
  <w:style w:type="table" w:styleId="LightShading-Accent2">
    <w:name w:val="Light Shading Accent 2"/>
    <w:basedOn w:val="TableNormal"/>
    <w:uiPriority w:val="60"/>
    <w:rsid w:val="00F3148D"/>
    <w:rPr>
      <w:rFonts w:eastAsia="Calibri"/>
      <w:color w:val="943634"/>
      <w:sz w:val="21"/>
      <w:szCs w:val="21"/>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ListBullet">
    <w:name w:val="List Bullet"/>
    <w:basedOn w:val="Normal"/>
    <w:uiPriority w:val="2"/>
    <w:qFormat/>
    <w:rsid w:val="009D059A"/>
  </w:style>
  <w:style w:type="paragraph" w:styleId="ListBullet2">
    <w:name w:val="List Bullet 2"/>
    <w:basedOn w:val="Normal"/>
    <w:uiPriority w:val="2"/>
    <w:qFormat/>
    <w:rsid w:val="009D059A"/>
  </w:style>
  <w:style w:type="paragraph" w:styleId="ListBullet3">
    <w:name w:val="List Bullet 3"/>
    <w:basedOn w:val="Normal"/>
    <w:uiPriority w:val="2"/>
    <w:qFormat/>
    <w:rsid w:val="009D059A"/>
  </w:style>
  <w:style w:type="numbering" w:customStyle="1" w:styleId="ListBullets">
    <w:name w:val="ListBullets"/>
    <w:uiPriority w:val="99"/>
    <w:locked/>
    <w:rsid w:val="00F3148D"/>
    <w:pPr>
      <w:numPr>
        <w:numId w:val="1"/>
      </w:numPr>
    </w:pPr>
  </w:style>
  <w:style w:type="table" w:styleId="MediumGrid2-Accent5">
    <w:name w:val="Medium Grid 2 Accent 5"/>
    <w:basedOn w:val="TableNormal"/>
    <w:uiPriority w:val="68"/>
    <w:rsid w:val="00F3148D"/>
    <w:rPr>
      <w:rFonts w:eastAsia="Times New Roman"/>
      <w:color w:val="000000"/>
      <w:sz w:val="21"/>
      <w:szCs w:val="21"/>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paragraph" w:customStyle="1" w:styleId="Numberbullet0">
    <w:name w:val="Number bullet"/>
    <w:basedOn w:val="ListBullet"/>
    <w:uiPriority w:val="3"/>
    <w:qFormat/>
    <w:rsid w:val="00F401EF"/>
    <w:pPr>
      <w:numPr>
        <w:numId w:val="4"/>
      </w:numPr>
    </w:pPr>
  </w:style>
  <w:style w:type="paragraph" w:customStyle="1" w:styleId="Numberbullet2">
    <w:name w:val="Number bullet 2"/>
    <w:basedOn w:val="ListBullet2"/>
    <w:uiPriority w:val="3"/>
    <w:qFormat/>
    <w:rsid w:val="00F401EF"/>
    <w:pPr>
      <w:ind w:left="425" w:hanging="425"/>
    </w:pPr>
  </w:style>
  <w:style w:type="paragraph" w:customStyle="1" w:styleId="Numberbullet3">
    <w:name w:val="Number bullet 3"/>
    <w:basedOn w:val="ListBullet3"/>
    <w:uiPriority w:val="3"/>
    <w:qFormat/>
    <w:rsid w:val="00F401EF"/>
    <w:pPr>
      <w:ind w:left="425" w:hanging="425"/>
    </w:pPr>
  </w:style>
  <w:style w:type="numbering" w:customStyle="1" w:styleId="NumberBullet">
    <w:name w:val="NumberBullet"/>
    <w:uiPriority w:val="99"/>
    <w:locked/>
    <w:rsid w:val="00F3148D"/>
    <w:pPr>
      <w:numPr>
        <w:numId w:val="2"/>
      </w:numPr>
    </w:pPr>
  </w:style>
  <w:style w:type="character" w:styleId="PlaceholderText">
    <w:name w:val="Placeholder Text"/>
    <w:basedOn w:val="DefaultParagraphFont"/>
    <w:uiPriority w:val="99"/>
    <w:semiHidden/>
    <w:rsid w:val="00F3148D"/>
    <w:rPr>
      <w:color w:val="808080"/>
    </w:rPr>
  </w:style>
  <w:style w:type="paragraph" w:customStyle="1" w:styleId="Reference">
    <w:name w:val="Reference"/>
    <w:basedOn w:val="Normal"/>
    <w:rsid w:val="00F401EF"/>
    <w:pPr>
      <w:spacing w:before="40" w:after="0"/>
      <w:ind w:left="170" w:hanging="170"/>
    </w:pPr>
    <w:rPr>
      <w:sz w:val="19"/>
    </w:rPr>
  </w:style>
  <w:style w:type="paragraph" w:styleId="Subtitle">
    <w:name w:val="Subtitle"/>
    <w:basedOn w:val="Normal"/>
    <w:link w:val="SubtitleChar"/>
    <w:uiPriority w:val="11"/>
    <w:qFormat/>
    <w:rsid w:val="00DA24C7"/>
    <w:pPr>
      <w:numPr>
        <w:ilvl w:val="1"/>
      </w:numPr>
      <w:spacing w:before="0" w:after="0"/>
      <w:ind w:left="170"/>
    </w:pPr>
    <w:rPr>
      <w:rFonts w:ascii="Arial" w:eastAsia="Times New Roman" w:hAnsi="Arial"/>
      <w:bCs/>
      <w:iCs/>
      <w:color w:val="006DA7"/>
      <w:sz w:val="40"/>
      <w:szCs w:val="24"/>
    </w:rPr>
  </w:style>
  <w:style w:type="character" w:customStyle="1" w:styleId="SubtitleChar">
    <w:name w:val="Subtitle Char"/>
    <w:basedOn w:val="DefaultParagraphFont"/>
    <w:link w:val="Subtitle"/>
    <w:uiPriority w:val="11"/>
    <w:rsid w:val="00DA24C7"/>
    <w:rPr>
      <w:rFonts w:ascii="Arial" w:eastAsia="Times New Roman" w:hAnsi="Arial"/>
      <w:bCs/>
      <w:iCs/>
      <w:color w:val="006DA7"/>
      <w:sz w:val="40"/>
      <w:szCs w:val="24"/>
      <w:lang w:eastAsia="en-US"/>
    </w:rPr>
  </w:style>
  <w:style w:type="table" w:styleId="TableGrid">
    <w:name w:val="Table Grid"/>
    <w:basedOn w:val="TableNormal"/>
    <w:uiPriority w:val="59"/>
    <w:rsid w:val="00F3148D"/>
    <w:rPr>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GAblue">
    <w:name w:val="Table TGA blue"/>
    <w:basedOn w:val="TableNormal"/>
    <w:uiPriority w:val="99"/>
    <w:qFormat/>
    <w:rsid w:val="00732FEE"/>
    <w:rPr>
      <w:color w:val="000000"/>
      <w:sz w:val="22"/>
      <w:szCs w:val="21"/>
    </w:rPr>
    <w:tblPr>
      <w:tblInd w:w="0" w:type="dxa"/>
      <w:tblBorders>
        <w:top w:val="single" w:sz="8" w:space="0" w:color="002C47"/>
        <w:left w:val="single" w:sz="8" w:space="0" w:color="002C47"/>
        <w:bottom w:val="single" w:sz="8" w:space="0" w:color="002C47"/>
        <w:right w:val="single" w:sz="8" w:space="0" w:color="002C47"/>
        <w:insideH w:val="single" w:sz="8" w:space="0" w:color="002C47"/>
        <w:insideV w:val="single" w:sz="8" w:space="0" w:color="002C47"/>
      </w:tblBorders>
      <w:tblCellMar>
        <w:top w:w="0" w:type="dxa"/>
        <w:left w:w="108" w:type="dxa"/>
        <w:bottom w:w="0" w:type="dxa"/>
        <w:right w:w="108" w:type="dxa"/>
      </w:tblCellMar>
    </w:tblPr>
    <w:trPr>
      <w:cantSplit/>
    </w:trPr>
    <w:tcPr>
      <w:shd w:val="clear" w:color="auto" w:fill="auto"/>
    </w:tcPr>
    <w:tblStylePr w:type="firstRow">
      <w:pPr>
        <w:keepNext/>
        <w:wordWrap/>
      </w:pPr>
      <w:rPr>
        <w:rFonts w:ascii="Cambria" w:hAnsi="Cambria"/>
        <w:b/>
        <w:color w:val="FFFFFF"/>
        <w:sz w:val="22"/>
      </w:rPr>
      <w:tblPr/>
      <w:trPr>
        <w:tblHeader/>
      </w:trPr>
      <w:tcPr>
        <w:tcBorders>
          <w:top w:val="single" w:sz="8" w:space="0" w:color="002C47"/>
          <w:left w:val="single" w:sz="8" w:space="0" w:color="002C47"/>
          <w:bottom w:val="single" w:sz="8" w:space="0" w:color="002C47"/>
          <w:right w:val="single" w:sz="8" w:space="0" w:color="002C47"/>
          <w:insideH w:val="nil"/>
          <w:insideV w:val="nil"/>
          <w:tl2br w:val="nil"/>
          <w:tr2bl w:val="nil"/>
        </w:tcBorders>
        <w:shd w:val="clear" w:color="auto" w:fill="006DA7"/>
      </w:tcPr>
    </w:tblStylePr>
    <w:tblStylePr w:type="firstCol">
      <w:pPr>
        <w:keepNext w:val="0"/>
        <w:wordWrap/>
      </w:pPr>
    </w:tblStylePr>
  </w:style>
  <w:style w:type="table" w:customStyle="1" w:styleId="TableTGAblack">
    <w:name w:val="Table TGA black"/>
    <w:basedOn w:val="TableNormal"/>
    <w:uiPriority w:val="99"/>
    <w:rsid w:val="00732FEE"/>
    <w:pPr>
      <w:spacing w:before="60"/>
    </w:pPr>
    <w:rPr>
      <w:color w:val="000000"/>
      <w:sz w:val="22"/>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cPr>
      <w:shd w:val="clear" w:color="auto" w:fill="auto"/>
    </w:tcPr>
    <w:tblStylePr w:type="firstRow">
      <w:pPr>
        <w:keepNext/>
        <w:wordWrap/>
      </w:pPr>
      <w:rPr>
        <w:rFonts w:ascii="Cambria" w:hAnsi="Cambria"/>
        <w:b/>
        <w:color w:val="FFFFFF"/>
        <w:sz w:val="22"/>
      </w:rPr>
      <w:tblPr/>
      <w:trPr>
        <w:tblHeader/>
      </w:trPr>
      <w:tcPr>
        <w:shd w:val="clear" w:color="auto" w:fill="000000"/>
      </w:tcPr>
    </w:tblStylePr>
    <w:tblStylePr w:type="lastRow">
      <w:rPr>
        <w:b w:val="0"/>
      </w:rPr>
    </w:tblStylePr>
    <w:tblStylePr w:type="firstCol">
      <w:pPr>
        <w:keepNext w:val="0"/>
        <w:wordWrap/>
      </w:pPr>
    </w:tblStylePr>
    <w:tblStylePr w:type="neCell">
      <w:rPr>
        <w:b w:val="0"/>
        <w:i w:val="0"/>
      </w:rPr>
    </w:tblStylePr>
    <w:tblStylePr w:type="nwCell">
      <w:rPr>
        <w:rFonts w:ascii="Cambria" w:hAnsi="Cambria"/>
        <w:b/>
        <w:i w:val="0"/>
        <w:color w:val="FFFFFF"/>
        <w:sz w:val="22"/>
      </w:rPr>
    </w:tblStylePr>
  </w:style>
  <w:style w:type="paragraph" w:customStyle="1" w:styleId="TGASignoff">
    <w:name w:val="TGA Signoff"/>
    <w:basedOn w:val="Normal"/>
    <w:rsid w:val="006F652C"/>
    <w:pPr>
      <w:spacing w:after="360"/>
      <w:jc w:val="center"/>
    </w:pPr>
    <w:rPr>
      <w:rFonts w:ascii="Arial" w:hAnsi="Arial"/>
      <w:b/>
      <w:sz w:val="28"/>
    </w:rPr>
  </w:style>
  <w:style w:type="paragraph" w:styleId="Title">
    <w:name w:val="Title"/>
    <w:link w:val="TitleChar"/>
    <w:uiPriority w:val="10"/>
    <w:qFormat/>
    <w:rsid w:val="00F3529E"/>
    <w:pPr>
      <w:spacing w:after="120"/>
      <w:contextualSpacing/>
    </w:pPr>
    <w:rPr>
      <w:rFonts w:ascii="Arial" w:eastAsia="Times New Roman" w:hAnsi="Arial"/>
      <w:color w:val="002C47"/>
      <w:spacing w:val="5"/>
      <w:kern w:val="28"/>
      <w:sz w:val="52"/>
      <w:szCs w:val="52"/>
      <w:lang w:eastAsia="en-US"/>
    </w:rPr>
  </w:style>
  <w:style w:type="character" w:customStyle="1" w:styleId="TitleChar">
    <w:name w:val="Title Char"/>
    <w:basedOn w:val="DefaultParagraphFont"/>
    <w:link w:val="Title"/>
    <w:uiPriority w:val="10"/>
    <w:rsid w:val="00F3529E"/>
    <w:rPr>
      <w:rFonts w:ascii="Arial" w:eastAsia="Times New Roman" w:hAnsi="Arial"/>
      <w:color w:val="002C47"/>
      <w:spacing w:val="5"/>
      <w:kern w:val="28"/>
      <w:sz w:val="52"/>
      <w:szCs w:val="52"/>
      <w:lang w:eastAsia="en-US"/>
    </w:rPr>
  </w:style>
  <w:style w:type="paragraph" w:styleId="TOC1">
    <w:name w:val="toc 1"/>
    <w:basedOn w:val="Normal"/>
    <w:next w:val="Normal"/>
    <w:uiPriority w:val="39"/>
    <w:unhideWhenUsed/>
    <w:rsid w:val="00F401EF"/>
    <w:pPr>
      <w:keepNext/>
      <w:keepLines/>
      <w:tabs>
        <w:tab w:val="right" w:leader="underscore" w:pos="8505"/>
      </w:tabs>
      <w:spacing w:after="200"/>
    </w:pPr>
    <w:rPr>
      <w:rFonts w:ascii="Arial" w:hAnsi="Arial"/>
      <w:b/>
      <w:sz w:val="32"/>
    </w:rPr>
  </w:style>
  <w:style w:type="paragraph" w:styleId="TOC2">
    <w:name w:val="toc 2"/>
    <w:basedOn w:val="Normal"/>
    <w:next w:val="Normal"/>
    <w:uiPriority w:val="39"/>
    <w:unhideWhenUsed/>
    <w:rsid w:val="00F401EF"/>
    <w:pPr>
      <w:keepNext/>
      <w:keepLines/>
      <w:tabs>
        <w:tab w:val="right" w:leader="underscore" w:pos="8505"/>
      </w:tabs>
      <w:spacing w:after="100"/>
      <w:ind w:left="425"/>
    </w:pPr>
    <w:rPr>
      <w:b/>
      <w:sz w:val="25"/>
    </w:rPr>
  </w:style>
  <w:style w:type="paragraph" w:styleId="TOC3">
    <w:name w:val="toc 3"/>
    <w:basedOn w:val="Normal"/>
    <w:next w:val="Normal"/>
    <w:uiPriority w:val="39"/>
    <w:unhideWhenUsed/>
    <w:rsid w:val="00F401EF"/>
    <w:pPr>
      <w:keepNext/>
      <w:keepLines/>
      <w:tabs>
        <w:tab w:val="right" w:leader="hyphen" w:pos="8505"/>
      </w:tabs>
      <w:spacing w:after="100"/>
      <w:ind w:left="851"/>
    </w:pPr>
    <w:rPr>
      <w:b/>
    </w:rPr>
  </w:style>
  <w:style w:type="paragraph" w:styleId="TOCHeading">
    <w:name w:val="TOC Heading"/>
    <w:basedOn w:val="Heading1"/>
    <w:next w:val="Normal"/>
    <w:uiPriority w:val="39"/>
    <w:unhideWhenUsed/>
    <w:qFormat/>
    <w:rsid w:val="00F3148D"/>
    <w:pPr>
      <w:framePr w:wrap="around" w:hAnchor="text"/>
      <w:spacing w:after="0" w:line="276" w:lineRule="auto"/>
      <w:outlineLvl w:val="9"/>
    </w:pPr>
    <w:rPr>
      <w:color w:val="002035"/>
      <w:sz w:val="28"/>
      <w:lang w:val="en-US"/>
    </w:rPr>
  </w:style>
  <w:style w:type="paragraph" w:customStyle="1" w:styleId="Subject">
    <w:name w:val="Subject"/>
    <w:basedOn w:val="Normal"/>
    <w:rsid w:val="00D153B1"/>
    <w:rPr>
      <w:b/>
    </w:rPr>
  </w:style>
  <w:style w:type="numbering" w:customStyle="1" w:styleId="NumberBullet1">
    <w:name w:val="NumberBullet1"/>
    <w:uiPriority w:val="99"/>
    <w:rsid w:val="001525B4"/>
  </w:style>
  <w:style w:type="numbering" w:customStyle="1" w:styleId="ListBullets1">
    <w:name w:val="ListBullets1"/>
    <w:uiPriority w:val="99"/>
    <w:rsid w:val="001525B4"/>
  </w:style>
  <w:style w:type="paragraph" w:styleId="FootnoteText">
    <w:name w:val="footnote text"/>
    <w:basedOn w:val="Normal"/>
    <w:link w:val="FootnoteTextChar"/>
    <w:uiPriority w:val="99"/>
    <w:rsid w:val="00F401EF"/>
    <w:pPr>
      <w:keepLines/>
      <w:spacing w:before="0" w:after="0"/>
    </w:pPr>
    <w:rPr>
      <w:sz w:val="20"/>
    </w:rPr>
  </w:style>
  <w:style w:type="character" w:customStyle="1" w:styleId="FootnoteTextChar">
    <w:name w:val="Footnote Text Char"/>
    <w:basedOn w:val="DefaultParagraphFont"/>
    <w:link w:val="FootnoteText"/>
    <w:uiPriority w:val="99"/>
    <w:rsid w:val="001525B4"/>
    <w:rPr>
      <w:lang w:eastAsia="en-US"/>
    </w:rPr>
  </w:style>
  <w:style w:type="character" w:styleId="FootnoteReference">
    <w:name w:val="footnote reference"/>
    <w:basedOn w:val="DefaultParagraphFont"/>
    <w:uiPriority w:val="99"/>
    <w:semiHidden/>
    <w:unhideWhenUsed/>
    <w:rsid w:val="001525B4"/>
    <w:rPr>
      <w:vertAlign w:val="superscript"/>
    </w:rPr>
  </w:style>
  <w:style w:type="paragraph" w:customStyle="1" w:styleId="NonTOCheading2">
    <w:name w:val="Non TOC heading 2"/>
    <w:basedOn w:val="Normal"/>
    <w:next w:val="Normal"/>
    <w:rsid w:val="00F401EF"/>
    <w:pPr>
      <w:keepNext/>
      <w:keepLines/>
      <w:spacing w:before="360"/>
    </w:pPr>
    <w:rPr>
      <w:rFonts w:ascii="Arial" w:hAnsi="Arial"/>
      <w:b/>
      <w:sz w:val="38"/>
    </w:rPr>
  </w:style>
  <w:style w:type="paragraph" w:customStyle="1" w:styleId="Figuredescription">
    <w:name w:val="Figure description"/>
    <w:basedOn w:val="Normal"/>
    <w:next w:val="Normal"/>
    <w:rsid w:val="00F401EF"/>
    <w:pPr>
      <w:spacing w:after="240" w:line="180" w:lineRule="atLeast"/>
    </w:pPr>
    <w:rPr>
      <w:sz w:val="18"/>
    </w:rPr>
  </w:style>
  <w:style w:type="paragraph" w:customStyle="1" w:styleId="Figuretitle">
    <w:name w:val="Figure title"/>
    <w:basedOn w:val="Sarahnormaltext"/>
    <w:next w:val="Normal"/>
    <w:rsid w:val="00A73FDF"/>
    <w:pPr>
      <w:spacing w:before="120" w:after="180"/>
    </w:pPr>
    <w:rPr>
      <w:b/>
    </w:rPr>
  </w:style>
  <w:style w:type="paragraph" w:customStyle="1" w:styleId="Headernoline">
    <w:name w:val="Header no line"/>
    <w:basedOn w:val="Header"/>
    <w:rsid w:val="00F401EF"/>
    <w:pPr>
      <w:pBdr>
        <w:bottom w:val="none" w:sz="0" w:space="0" w:color="auto"/>
      </w:pBdr>
      <w:spacing w:line="240" w:lineRule="atLeast"/>
    </w:pPr>
  </w:style>
  <w:style w:type="paragraph" w:customStyle="1" w:styleId="Quotation">
    <w:name w:val="Quotation"/>
    <w:basedOn w:val="Normal"/>
    <w:next w:val="Normal"/>
    <w:uiPriority w:val="4"/>
    <w:qFormat/>
    <w:rsid w:val="00F401EF"/>
    <w:pPr>
      <w:ind w:left="425"/>
    </w:pPr>
    <w:rPr>
      <w:sz w:val="20"/>
    </w:rPr>
  </w:style>
  <w:style w:type="paragraph" w:customStyle="1" w:styleId="Tabledescription">
    <w:name w:val="Table description"/>
    <w:basedOn w:val="Figuredescription"/>
    <w:next w:val="Normal"/>
    <w:rsid w:val="00F401EF"/>
  </w:style>
  <w:style w:type="paragraph" w:customStyle="1" w:styleId="Tabletitle">
    <w:name w:val="Table title"/>
    <w:basedOn w:val="Normal"/>
    <w:next w:val="Normal"/>
    <w:rsid w:val="00F401EF"/>
    <w:pPr>
      <w:keepNext/>
      <w:outlineLvl w:val="4"/>
    </w:pPr>
    <w:rPr>
      <w:b/>
    </w:rPr>
  </w:style>
  <w:style w:type="paragraph" w:styleId="TOC4">
    <w:name w:val="toc 4"/>
    <w:basedOn w:val="Normal"/>
    <w:next w:val="Normal"/>
    <w:autoRedefine/>
    <w:uiPriority w:val="39"/>
    <w:unhideWhenUsed/>
    <w:rsid w:val="00F401EF"/>
    <w:pPr>
      <w:tabs>
        <w:tab w:val="right" w:leader="hyphen" w:pos="8505"/>
      </w:tabs>
      <w:spacing w:after="100"/>
      <w:ind w:left="1276"/>
    </w:pPr>
  </w:style>
  <w:style w:type="paragraph" w:styleId="TOC5">
    <w:name w:val="toc 5"/>
    <w:basedOn w:val="Normal"/>
    <w:next w:val="Normal"/>
    <w:autoRedefine/>
    <w:uiPriority w:val="39"/>
    <w:unhideWhenUsed/>
    <w:rsid w:val="00F401EF"/>
    <w:pPr>
      <w:tabs>
        <w:tab w:val="right" w:leader="dot" w:pos="8505"/>
      </w:tabs>
      <w:spacing w:after="100"/>
      <w:ind w:left="1701"/>
    </w:pPr>
    <w:rPr>
      <w:noProof/>
    </w:rPr>
  </w:style>
  <w:style w:type="paragraph" w:styleId="TOC6">
    <w:name w:val="toc 6"/>
    <w:basedOn w:val="Normal"/>
    <w:next w:val="Normal"/>
    <w:autoRedefine/>
    <w:uiPriority w:val="39"/>
    <w:semiHidden/>
    <w:unhideWhenUsed/>
    <w:rsid w:val="00F401EF"/>
    <w:pPr>
      <w:tabs>
        <w:tab w:val="right" w:pos="8505"/>
      </w:tabs>
      <w:spacing w:after="100"/>
      <w:ind w:left="2126"/>
    </w:pPr>
  </w:style>
  <w:style w:type="paragraph" w:styleId="TOC7">
    <w:name w:val="toc 7"/>
    <w:basedOn w:val="Normal"/>
    <w:next w:val="Normal"/>
    <w:autoRedefine/>
    <w:uiPriority w:val="39"/>
    <w:semiHidden/>
    <w:unhideWhenUsed/>
    <w:rsid w:val="00F401EF"/>
    <w:pPr>
      <w:spacing w:after="100"/>
      <w:ind w:left="2211"/>
    </w:pPr>
  </w:style>
  <w:style w:type="paragraph" w:customStyle="1" w:styleId="Address">
    <w:name w:val="Address"/>
    <w:basedOn w:val="Normal"/>
    <w:rsid w:val="00EB5622"/>
    <w:pPr>
      <w:spacing w:before="0" w:after="0" w:line="240" w:lineRule="auto"/>
    </w:pPr>
    <w:rPr>
      <w:sz w:val="21"/>
    </w:rPr>
  </w:style>
  <w:style w:type="paragraph" w:styleId="EndnoteText">
    <w:name w:val="endnote text"/>
    <w:basedOn w:val="FootnoteText"/>
    <w:link w:val="EndnoteTextChar"/>
    <w:uiPriority w:val="99"/>
    <w:unhideWhenUsed/>
    <w:rsid w:val="00C4743E"/>
    <w:rPr>
      <w:rFonts w:asciiTheme="minorHAnsi" w:hAnsiTheme="minorHAnsi" w:cstheme="minorBidi"/>
      <w:szCs w:val="22"/>
    </w:rPr>
  </w:style>
  <w:style w:type="character" w:customStyle="1" w:styleId="EndnoteTextChar">
    <w:name w:val="Endnote Text Char"/>
    <w:basedOn w:val="DefaultParagraphFont"/>
    <w:link w:val="EndnoteText"/>
    <w:uiPriority w:val="99"/>
    <w:rsid w:val="00C4743E"/>
    <w:rPr>
      <w:rFonts w:asciiTheme="minorHAnsi" w:hAnsiTheme="minorHAnsi" w:cstheme="minorBidi"/>
      <w:szCs w:val="22"/>
      <w:lang w:eastAsia="en-US"/>
    </w:rPr>
  </w:style>
  <w:style w:type="paragraph" w:styleId="ListParagraph">
    <w:name w:val="List Paragraph"/>
    <w:basedOn w:val="Normal"/>
    <w:uiPriority w:val="34"/>
    <w:qFormat/>
    <w:rsid w:val="007A0401"/>
    <w:pPr>
      <w:spacing w:before="0" w:after="200" w:line="276" w:lineRule="auto"/>
      <w:ind w:left="720"/>
      <w:contextualSpacing/>
    </w:pPr>
    <w:rPr>
      <w:rFonts w:asciiTheme="minorHAnsi" w:eastAsiaTheme="minorEastAsia" w:hAnsiTheme="minorHAnsi" w:cstheme="minorBidi"/>
      <w:szCs w:val="22"/>
      <w:lang w:eastAsia="en-AU"/>
    </w:rPr>
  </w:style>
  <w:style w:type="character" w:styleId="EndnoteReference">
    <w:name w:val="endnote reference"/>
    <w:basedOn w:val="DefaultParagraphFont"/>
    <w:uiPriority w:val="99"/>
    <w:unhideWhenUsed/>
    <w:rsid w:val="007A0401"/>
    <w:rPr>
      <w:vertAlign w:val="superscript"/>
    </w:rPr>
  </w:style>
  <w:style w:type="paragraph" w:customStyle="1" w:styleId="Sarahnormaltext">
    <w:name w:val="Sarah normal text"/>
    <w:basedOn w:val="Normal"/>
    <w:rsid w:val="007A0401"/>
    <w:pPr>
      <w:spacing w:before="0" w:after="200" w:line="276" w:lineRule="auto"/>
    </w:pPr>
    <w:rPr>
      <w:rFonts w:asciiTheme="minorHAnsi" w:eastAsiaTheme="minorEastAsia" w:hAnsiTheme="minorHAnsi" w:cstheme="minorHAnsi"/>
      <w:szCs w:val="22"/>
    </w:rPr>
  </w:style>
  <w:style w:type="character" w:customStyle="1" w:styleId="Heading8Char">
    <w:name w:val="Heading 8 Char"/>
    <w:basedOn w:val="DefaultParagraphFont"/>
    <w:link w:val="Heading8"/>
    <w:uiPriority w:val="9"/>
    <w:semiHidden/>
    <w:rsid w:val="003800B4"/>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3800B4"/>
    <w:rPr>
      <w:rFonts w:asciiTheme="majorHAnsi" w:eastAsiaTheme="majorEastAsia" w:hAnsiTheme="majorHAnsi" w:cstheme="majorBidi"/>
      <w:i/>
      <w:iCs/>
      <w:spacing w:val="5"/>
    </w:rPr>
  </w:style>
  <w:style w:type="paragraph" w:customStyle="1" w:styleId="Notes">
    <w:name w:val="Notes"/>
    <w:basedOn w:val="Normal"/>
    <w:semiHidden/>
    <w:locked/>
    <w:rsid w:val="003800B4"/>
    <w:pPr>
      <w:spacing w:before="0" w:after="200" w:line="240" w:lineRule="auto"/>
    </w:pPr>
    <w:rPr>
      <w:rFonts w:ascii="Arial" w:eastAsiaTheme="minorEastAsia" w:hAnsi="Arial" w:cstheme="minorBidi"/>
      <w:sz w:val="16"/>
      <w:szCs w:val="22"/>
      <w:lang w:eastAsia="en-AU"/>
    </w:rPr>
  </w:style>
  <w:style w:type="paragraph" w:styleId="Caption">
    <w:name w:val="caption"/>
    <w:basedOn w:val="Tabletitle"/>
    <w:next w:val="Normal"/>
    <w:uiPriority w:val="35"/>
    <w:rsid w:val="003800B4"/>
    <w:pPr>
      <w:spacing w:before="0" w:after="200" w:line="276" w:lineRule="auto"/>
    </w:pPr>
    <w:rPr>
      <w:rFonts w:asciiTheme="minorHAnsi" w:eastAsiaTheme="minorEastAsia" w:hAnsiTheme="minorHAnsi" w:cstheme="minorBidi"/>
      <w:szCs w:val="22"/>
      <w:lang w:eastAsia="en-AU"/>
    </w:rPr>
  </w:style>
  <w:style w:type="paragraph" w:styleId="TableofFigures">
    <w:name w:val="table of figures"/>
    <w:basedOn w:val="Normal"/>
    <w:next w:val="Normal"/>
    <w:uiPriority w:val="99"/>
    <w:unhideWhenUsed/>
    <w:rsid w:val="003800B4"/>
    <w:pPr>
      <w:spacing w:before="0" w:after="200" w:line="276" w:lineRule="auto"/>
    </w:pPr>
    <w:rPr>
      <w:rFonts w:asciiTheme="minorHAnsi" w:eastAsiaTheme="minorEastAsia" w:hAnsiTheme="minorHAnsi" w:cstheme="minorBidi"/>
      <w:szCs w:val="22"/>
      <w:lang w:eastAsia="en-AU"/>
    </w:rPr>
  </w:style>
  <w:style w:type="character" w:styleId="Strong">
    <w:name w:val="Strong"/>
    <w:uiPriority w:val="22"/>
    <w:qFormat/>
    <w:rsid w:val="003800B4"/>
    <w:rPr>
      <w:b/>
      <w:bCs/>
    </w:rPr>
  </w:style>
  <w:style w:type="character" w:styleId="Emphasis">
    <w:name w:val="Emphasis"/>
    <w:uiPriority w:val="20"/>
    <w:qFormat/>
    <w:rsid w:val="003800B4"/>
    <w:rPr>
      <w:b/>
      <w:bCs/>
      <w:i/>
      <w:iCs/>
      <w:spacing w:val="10"/>
      <w:bdr w:val="none" w:sz="0" w:space="0" w:color="auto"/>
      <w:shd w:val="clear" w:color="auto" w:fill="auto"/>
    </w:rPr>
  </w:style>
  <w:style w:type="paragraph" w:styleId="NoSpacing">
    <w:name w:val="No Spacing"/>
    <w:basedOn w:val="Normal"/>
    <w:uiPriority w:val="1"/>
    <w:qFormat/>
    <w:rsid w:val="003800B4"/>
    <w:pPr>
      <w:spacing w:before="0" w:after="0" w:line="240" w:lineRule="auto"/>
    </w:pPr>
    <w:rPr>
      <w:rFonts w:asciiTheme="minorHAnsi" w:eastAsiaTheme="minorEastAsia" w:hAnsiTheme="minorHAnsi" w:cstheme="minorBidi"/>
      <w:szCs w:val="22"/>
      <w:lang w:eastAsia="en-AU"/>
    </w:rPr>
  </w:style>
  <w:style w:type="paragraph" w:styleId="Quote">
    <w:name w:val="Quote"/>
    <w:basedOn w:val="Normal"/>
    <w:next w:val="Normal"/>
    <w:link w:val="QuoteChar"/>
    <w:uiPriority w:val="29"/>
    <w:qFormat/>
    <w:rsid w:val="003800B4"/>
    <w:pPr>
      <w:spacing w:before="200" w:after="0" w:line="276" w:lineRule="auto"/>
      <w:ind w:left="360" w:right="360"/>
    </w:pPr>
    <w:rPr>
      <w:rFonts w:asciiTheme="minorHAnsi" w:eastAsiaTheme="minorEastAsia" w:hAnsiTheme="minorHAnsi" w:cstheme="minorBidi"/>
      <w:i/>
      <w:iCs/>
      <w:szCs w:val="22"/>
      <w:lang w:eastAsia="en-AU"/>
    </w:rPr>
  </w:style>
  <w:style w:type="character" w:customStyle="1" w:styleId="QuoteChar">
    <w:name w:val="Quote Char"/>
    <w:basedOn w:val="DefaultParagraphFont"/>
    <w:link w:val="Quote"/>
    <w:uiPriority w:val="29"/>
    <w:rsid w:val="003800B4"/>
    <w:rPr>
      <w:rFonts w:asciiTheme="minorHAnsi" w:eastAsiaTheme="minorEastAsia" w:hAnsiTheme="minorHAnsi" w:cstheme="minorBidi"/>
      <w:i/>
      <w:iCs/>
      <w:sz w:val="22"/>
      <w:szCs w:val="22"/>
    </w:rPr>
  </w:style>
  <w:style w:type="paragraph" w:styleId="IntenseQuote">
    <w:name w:val="Intense Quote"/>
    <w:basedOn w:val="Normal"/>
    <w:next w:val="Normal"/>
    <w:link w:val="IntenseQuoteChar"/>
    <w:uiPriority w:val="30"/>
    <w:qFormat/>
    <w:rsid w:val="003800B4"/>
    <w:pPr>
      <w:pBdr>
        <w:bottom w:val="single" w:sz="4" w:space="1" w:color="auto"/>
      </w:pBdr>
      <w:spacing w:before="200" w:after="280" w:line="276" w:lineRule="auto"/>
      <w:ind w:left="1008" w:right="1152"/>
      <w:jc w:val="both"/>
    </w:pPr>
    <w:rPr>
      <w:rFonts w:asciiTheme="minorHAnsi" w:eastAsiaTheme="minorEastAsia" w:hAnsiTheme="minorHAnsi" w:cstheme="minorBidi"/>
      <w:b/>
      <w:bCs/>
      <w:i/>
      <w:iCs/>
      <w:szCs w:val="22"/>
      <w:lang w:eastAsia="en-AU"/>
    </w:rPr>
  </w:style>
  <w:style w:type="character" w:customStyle="1" w:styleId="IntenseQuoteChar">
    <w:name w:val="Intense Quote Char"/>
    <w:basedOn w:val="DefaultParagraphFont"/>
    <w:link w:val="IntenseQuote"/>
    <w:uiPriority w:val="30"/>
    <w:rsid w:val="003800B4"/>
    <w:rPr>
      <w:rFonts w:asciiTheme="minorHAnsi" w:eastAsiaTheme="minorEastAsia" w:hAnsiTheme="minorHAnsi" w:cstheme="minorBidi"/>
      <w:b/>
      <w:bCs/>
      <w:i/>
      <w:iCs/>
      <w:sz w:val="22"/>
      <w:szCs w:val="22"/>
    </w:rPr>
  </w:style>
  <w:style w:type="character" w:styleId="SubtleEmphasis">
    <w:name w:val="Subtle Emphasis"/>
    <w:uiPriority w:val="19"/>
    <w:qFormat/>
    <w:rsid w:val="003800B4"/>
    <w:rPr>
      <w:i/>
      <w:iCs/>
    </w:rPr>
  </w:style>
  <w:style w:type="character" w:styleId="IntenseEmphasis">
    <w:name w:val="Intense Emphasis"/>
    <w:uiPriority w:val="21"/>
    <w:qFormat/>
    <w:rsid w:val="003800B4"/>
    <w:rPr>
      <w:b/>
      <w:bCs/>
    </w:rPr>
  </w:style>
  <w:style w:type="character" w:styleId="SubtleReference">
    <w:name w:val="Subtle Reference"/>
    <w:uiPriority w:val="31"/>
    <w:qFormat/>
    <w:rsid w:val="003800B4"/>
    <w:rPr>
      <w:smallCaps/>
    </w:rPr>
  </w:style>
  <w:style w:type="character" w:styleId="IntenseReference">
    <w:name w:val="Intense Reference"/>
    <w:uiPriority w:val="32"/>
    <w:qFormat/>
    <w:rsid w:val="003800B4"/>
    <w:rPr>
      <w:smallCaps/>
      <w:spacing w:val="5"/>
      <w:u w:val="single"/>
    </w:rPr>
  </w:style>
  <w:style w:type="character" w:styleId="BookTitle">
    <w:name w:val="Book Title"/>
    <w:uiPriority w:val="33"/>
    <w:qFormat/>
    <w:rsid w:val="003800B4"/>
    <w:rPr>
      <w:i/>
      <w:iCs/>
      <w:smallCaps/>
      <w:spacing w:val="5"/>
    </w:rPr>
  </w:style>
  <w:style w:type="paragraph" w:customStyle="1" w:styleId="eptext">
    <w:name w:val="eptext"/>
    <w:basedOn w:val="Normal"/>
    <w:rsid w:val="003800B4"/>
    <w:pPr>
      <w:spacing w:before="140" w:after="140" w:line="336" w:lineRule="atLeast"/>
    </w:pPr>
    <w:rPr>
      <w:rFonts w:ascii="Arial" w:eastAsia="Times New Roman" w:hAnsi="Arial" w:cs="Arial"/>
      <w:color w:val="333333"/>
      <w:sz w:val="18"/>
      <w:szCs w:val="18"/>
      <w:lang w:eastAsia="en-AU"/>
    </w:rPr>
  </w:style>
  <w:style w:type="paragraph" w:customStyle="1" w:styleId="epnote">
    <w:name w:val="epnote"/>
    <w:basedOn w:val="Normal"/>
    <w:rsid w:val="003800B4"/>
    <w:pPr>
      <w:spacing w:before="200" w:after="200" w:line="240" w:lineRule="auto"/>
      <w:ind w:left="397"/>
    </w:pPr>
    <w:rPr>
      <w:rFonts w:ascii="Arial" w:eastAsia="Times New Roman" w:hAnsi="Arial" w:cs="Arial"/>
      <w:b/>
      <w:bCs/>
      <w:color w:val="333333"/>
      <w:sz w:val="18"/>
      <w:szCs w:val="18"/>
      <w:lang w:eastAsia="en-AU"/>
    </w:rPr>
  </w:style>
  <w:style w:type="paragraph" w:styleId="PlainText">
    <w:name w:val="Plain Text"/>
    <w:basedOn w:val="Normal"/>
    <w:link w:val="PlainTextChar"/>
    <w:uiPriority w:val="99"/>
    <w:semiHidden/>
    <w:unhideWhenUsed/>
    <w:rsid w:val="003800B4"/>
    <w:pPr>
      <w:spacing w:before="0"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3800B4"/>
    <w:rPr>
      <w:rFonts w:ascii="Consolas" w:eastAsiaTheme="minorEastAsia" w:hAnsi="Consolas" w:cs="Consolas"/>
      <w:sz w:val="21"/>
      <w:szCs w:val="21"/>
      <w:lang w:eastAsia="en-US"/>
    </w:rPr>
  </w:style>
  <w:style w:type="table" w:customStyle="1" w:styleId="TableTGAblue1">
    <w:name w:val="Table TGA blue1"/>
    <w:basedOn w:val="TableNormal"/>
    <w:uiPriority w:val="99"/>
    <w:qFormat/>
    <w:rsid w:val="00DA7CC7"/>
    <w:rPr>
      <w:color w:val="000000"/>
      <w:sz w:val="22"/>
      <w:szCs w:val="21"/>
    </w:rPr>
    <w:tblPr>
      <w:tblInd w:w="0" w:type="dxa"/>
      <w:tblBorders>
        <w:top w:val="single" w:sz="8" w:space="0" w:color="002C47"/>
        <w:left w:val="single" w:sz="8" w:space="0" w:color="002C47"/>
        <w:bottom w:val="single" w:sz="8" w:space="0" w:color="002C47"/>
        <w:right w:val="single" w:sz="8" w:space="0" w:color="002C47"/>
        <w:insideH w:val="single" w:sz="8" w:space="0" w:color="002C47"/>
        <w:insideV w:val="single" w:sz="8" w:space="0" w:color="002C47"/>
      </w:tblBorders>
      <w:tblCellMar>
        <w:top w:w="0" w:type="dxa"/>
        <w:left w:w="108" w:type="dxa"/>
        <w:bottom w:w="0" w:type="dxa"/>
        <w:right w:w="108" w:type="dxa"/>
      </w:tblCellMar>
    </w:tblPr>
    <w:trPr>
      <w:cantSplit/>
    </w:trPr>
    <w:tcPr>
      <w:shd w:val="clear" w:color="auto" w:fill="auto"/>
    </w:tcPr>
    <w:tblStylePr w:type="firstRow">
      <w:pPr>
        <w:keepNext/>
        <w:wordWrap/>
      </w:pPr>
      <w:rPr>
        <w:rFonts w:ascii="Cambria" w:hAnsi="Cambria"/>
        <w:b/>
        <w:color w:val="FFFFFF"/>
        <w:sz w:val="22"/>
      </w:rPr>
      <w:tblPr/>
      <w:trPr>
        <w:tblHeader/>
      </w:trPr>
      <w:tcPr>
        <w:tcBorders>
          <w:top w:val="single" w:sz="8" w:space="0" w:color="002C47"/>
          <w:left w:val="single" w:sz="8" w:space="0" w:color="002C47"/>
          <w:bottom w:val="single" w:sz="8" w:space="0" w:color="002C47"/>
          <w:right w:val="single" w:sz="8" w:space="0" w:color="002C47"/>
          <w:insideH w:val="nil"/>
          <w:insideV w:val="nil"/>
          <w:tl2br w:val="nil"/>
          <w:tr2bl w:val="nil"/>
        </w:tcBorders>
        <w:shd w:val="clear" w:color="auto" w:fill="006DA7"/>
      </w:tcPr>
    </w:tblStylePr>
    <w:tblStylePr w:type="firstCol">
      <w:pPr>
        <w:keepNext w:val="0"/>
        <w:wordWrap/>
      </w:pPr>
    </w:tblStylePr>
  </w:style>
  <w:style w:type="character" w:styleId="CommentReference">
    <w:name w:val="annotation reference"/>
    <w:basedOn w:val="DefaultParagraphFont"/>
    <w:uiPriority w:val="99"/>
    <w:semiHidden/>
    <w:unhideWhenUsed/>
    <w:rsid w:val="003800B4"/>
    <w:rPr>
      <w:sz w:val="16"/>
      <w:szCs w:val="16"/>
    </w:rPr>
  </w:style>
  <w:style w:type="paragraph" w:styleId="CommentText">
    <w:name w:val="annotation text"/>
    <w:basedOn w:val="Normal"/>
    <w:link w:val="CommentTextChar"/>
    <w:uiPriority w:val="99"/>
    <w:semiHidden/>
    <w:unhideWhenUsed/>
    <w:rsid w:val="003800B4"/>
    <w:pPr>
      <w:spacing w:before="0" w:after="200" w:line="240" w:lineRule="auto"/>
    </w:pPr>
    <w:rPr>
      <w:rFonts w:asciiTheme="minorHAnsi" w:eastAsiaTheme="minorEastAsia" w:hAnsiTheme="minorHAnsi" w:cstheme="minorBidi"/>
      <w:sz w:val="20"/>
    </w:rPr>
  </w:style>
  <w:style w:type="character" w:customStyle="1" w:styleId="CommentTextChar">
    <w:name w:val="Comment Text Char"/>
    <w:basedOn w:val="DefaultParagraphFont"/>
    <w:link w:val="CommentText"/>
    <w:uiPriority w:val="99"/>
    <w:semiHidden/>
    <w:rsid w:val="003800B4"/>
    <w:rPr>
      <w:rFonts w:asciiTheme="minorHAnsi" w:eastAsiaTheme="minorEastAsia" w:hAnsiTheme="minorHAnsi" w:cstheme="minorBidi"/>
      <w:lang w:eastAsia="en-US"/>
    </w:rPr>
  </w:style>
  <w:style w:type="paragraph" w:styleId="CommentSubject">
    <w:name w:val="annotation subject"/>
    <w:basedOn w:val="CommentText"/>
    <w:next w:val="CommentText"/>
    <w:link w:val="CommentSubjectChar"/>
    <w:uiPriority w:val="99"/>
    <w:semiHidden/>
    <w:unhideWhenUsed/>
    <w:rsid w:val="003800B4"/>
    <w:rPr>
      <w:b/>
      <w:bCs/>
    </w:rPr>
  </w:style>
  <w:style w:type="character" w:customStyle="1" w:styleId="CommentSubjectChar">
    <w:name w:val="Comment Subject Char"/>
    <w:basedOn w:val="CommentTextChar"/>
    <w:link w:val="CommentSubject"/>
    <w:uiPriority w:val="99"/>
    <w:semiHidden/>
    <w:rsid w:val="003800B4"/>
    <w:rPr>
      <w:rFonts w:asciiTheme="minorHAnsi" w:eastAsiaTheme="minorEastAsia" w:hAnsiTheme="minorHAnsi" w:cstheme="minorBidi"/>
      <w:b/>
      <w:bCs/>
      <w:lang w:eastAsia="en-US"/>
    </w:rPr>
  </w:style>
  <w:style w:type="paragraph" w:styleId="Revision">
    <w:name w:val="Revision"/>
    <w:hidden/>
    <w:uiPriority w:val="99"/>
    <w:semiHidden/>
    <w:rsid w:val="003800B4"/>
    <w:rPr>
      <w:rFonts w:asciiTheme="minorHAnsi" w:eastAsiaTheme="minorEastAsia" w:hAnsiTheme="minorHAnsi" w:cstheme="minorBidi"/>
      <w:sz w:val="22"/>
      <w:szCs w:val="22"/>
    </w:rPr>
  </w:style>
  <w:style w:type="paragraph" w:customStyle="1" w:styleId="BodyText1">
    <w:name w:val="Body Text1"/>
    <w:basedOn w:val="Normal"/>
    <w:qFormat/>
    <w:rsid w:val="003800B4"/>
    <w:pPr>
      <w:spacing w:before="180"/>
    </w:pPr>
    <w:rPr>
      <w:szCs w:val="22"/>
    </w:rPr>
  </w:style>
  <w:style w:type="numbering" w:customStyle="1" w:styleId="NumberBullet20">
    <w:name w:val="NumberBullet2"/>
    <w:uiPriority w:val="99"/>
    <w:locked/>
    <w:rsid w:val="00BC7106"/>
  </w:style>
  <w:style w:type="table" w:customStyle="1" w:styleId="TableTGAblack1">
    <w:name w:val="Table TGA black1"/>
    <w:basedOn w:val="TableNormal"/>
    <w:uiPriority w:val="99"/>
    <w:rsid w:val="004D404D"/>
    <w:pPr>
      <w:spacing w:before="60"/>
    </w:pPr>
    <w:rPr>
      <w:color w:val="000000"/>
      <w:sz w:val="22"/>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cPr>
      <w:shd w:val="clear" w:color="auto" w:fill="auto"/>
    </w:tcPr>
    <w:tblStylePr w:type="firstRow">
      <w:pPr>
        <w:keepNext/>
        <w:wordWrap/>
      </w:pPr>
      <w:rPr>
        <w:rFonts w:ascii="Cambria" w:hAnsi="Cambria"/>
        <w:b/>
        <w:color w:val="FFFFFF"/>
        <w:sz w:val="22"/>
      </w:rPr>
      <w:tblPr/>
      <w:trPr>
        <w:tblHeader/>
      </w:trPr>
      <w:tcPr>
        <w:shd w:val="clear" w:color="auto" w:fill="000000"/>
      </w:tcPr>
    </w:tblStylePr>
    <w:tblStylePr w:type="lastRow">
      <w:rPr>
        <w:b w:val="0"/>
      </w:rPr>
    </w:tblStylePr>
    <w:tblStylePr w:type="firstCol">
      <w:pPr>
        <w:keepNext w:val="0"/>
        <w:wordWrap/>
      </w:pPr>
    </w:tblStylePr>
    <w:tblStylePr w:type="neCell">
      <w:rPr>
        <w:b w:val="0"/>
        <w:i w:val="0"/>
      </w:rPr>
    </w:tblStylePr>
    <w:tblStylePr w:type="nwCell">
      <w:rPr>
        <w:rFonts w:ascii="Cambria" w:hAnsi="Cambria"/>
        <w:b/>
        <w:i w:val="0"/>
        <w:color w:val="FFFFFF"/>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644258">
      <w:bodyDiv w:val="1"/>
      <w:marLeft w:val="0"/>
      <w:marRight w:val="0"/>
      <w:marTop w:val="0"/>
      <w:marBottom w:val="0"/>
      <w:divBdr>
        <w:top w:val="none" w:sz="0" w:space="0" w:color="auto"/>
        <w:left w:val="none" w:sz="0" w:space="0" w:color="auto"/>
        <w:bottom w:val="none" w:sz="0" w:space="0" w:color="auto"/>
        <w:right w:val="none" w:sz="0" w:space="0" w:color="auto"/>
      </w:divBdr>
      <w:divsChild>
        <w:div w:id="1030110770">
          <w:marLeft w:val="0"/>
          <w:marRight w:val="0"/>
          <w:marTop w:val="0"/>
          <w:marBottom w:val="0"/>
          <w:divBdr>
            <w:top w:val="none" w:sz="0" w:space="0" w:color="auto"/>
            <w:left w:val="none" w:sz="0" w:space="0" w:color="auto"/>
            <w:bottom w:val="none" w:sz="0" w:space="0" w:color="auto"/>
            <w:right w:val="none" w:sz="0" w:space="0" w:color="auto"/>
          </w:divBdr>
          <w:divsChild>
            <w:div w:id="144842460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32302468">
      <w:bodyDiv w:val="1"/>
      <w:marLeft w:val="0"/>
      <w:marRight w:val="0"/>
      <w:marTop w:val="0"/>
      <w:marBottom w:val="0"/>
      <w:divBdr>
        <w:top w:val="none" w:sz="0" w:space="0" w:color="auto"/>
        <w:left w:val="none" w:sz="0" w:space="0" w:color="auto"/>
        <w:bottom w:val="none" w:sz="0" w:space="0" w:color="auto"/>
        <w:right w:val="none" w:sz="0" w:space="0" w:color="auto"/>
      </w:divBdr>
      <w:divsChild>
        <w:div w:id="929703686">
          <w:marLeft w:val="0"/>
          <w:marRight w:val="0"/>
          <w:marTop w:val="0"/>
          <w:marBottom w:val="0"/>
          <w:divBdr>
            <w:top w:val="none" w:sz="0" w:space="0" w:color="auto"/>
            <w:left w:val="none" w:sz="0" w:space="0" w:color="auto"/>
            <w:bottom w:val="none" w:sz="0" w:space="0" w:color="auto"/>
            <w:right w:val="none" w:sz="0" w:space="0" w:color="auto"/>
          </w:divBdr>
          <w:divsChild>
            <w:div w:id="162091150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109621383">
      <w:bodyDiv w:val="1"/>
      <w:marLeft w:val="0"/>
      <w:marRight w:val="0"/>
      <w:marTop w:val="0"/>
      <w:marBottom w:val="0"/>
      <w:divBdr>
        <w:top w:val="none" w:sz="0" w:space="0" w:color="auto"/>
        <w:left w:val="none" w:sz="0" w:space="0" w:color="auto"/>
        <w:bottom w:val="none" w:sz="0" w:space="0" w:color="auto"/>
        <w:right w:val="none" w:sz="0" w:space="0" w:color="auto"/>
      </w:divBdr>
      <w:divsChild>
        <w:div w:id="1789009720">
          <w:marLeft w:val="0"/>
          <w:marRight w:val="0"/>
          <w:marTop w:val="0"/>
          <w:marBottom w:val="0"/>
          <w:divBdr>
            <w:top w:val="none" w:sz="0" w:space="0" w:color="auto"/>
            <w:left w:val="none" w:sz="0" w:space="0" w:color="auto"/>
            <w:bottom w:val="none" w:sz="0" w:space="0" w:color="auto"/>
            <w:right w:val="none" w:sz="0" w:space="0" w:color="auto"/>
          </w:divBdr>
          <w:divsChild>
            <w:div w:id="164766467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599949410">
      <w:bodyDiv w:val="1"/>
      <w:marLeft w:val="0"/>
      <w:marRight w:val="0"/>
      <w:marTop w:val="0"/>
      <w:marBottom w:val="0"/>
      <w:divBdr>
        <w:top w:val="none" w:sz="0" w:space="0" w:color="auto"/>
        <w:left w:val="none" w:sz="0" w:space="0" w:color="auto"/>
        <w:bottom w:val="none" w:sz="0" w:space="0" w:color="auto"/>
        <w:right w:val="none" w:sz="0" w:space="0" w:color="auto"/>
      </w:divBdr>
      <w:divsChild>
        <w:div w:id="1273900675">
          <w:marLeft w:val="0"/>
          <w:marRight w:val="0"/>
          <w:marTop w:val="0"/>
          <w:marBottom w:val="0"/>
          <w:divBdr>
            <w:top w:val="none" w:sz="0" w:space="0" w:color="auto"/>
            <w:left w:val="none" w:sz="0" w:space="0" w:color="auto"/>
            <w:bottom w:val="none" w:sz="0" w:space="0" w:color="auto"/>
            <w:right w:val="none" w:sz="0" w:space="0" w:color="auto"/>
          </w:divBdr>
          <w:divsChild>
            <w:div w:id="171569483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ga.gov.au" TargetMode="Externa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www.tga.gov.au/" TargetMode="External"/><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tga.copyright@tga.gov.au" TargetMode="External"/><Relationship Id="rId22" Type="http://schemas.openxmlformats.org/officeDocument/2006/relationships/hyperlink" Target="mailto:info@tga.gov.au" TargetMode="External"/><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www.ncbi.nlm.nih.gov/pmc/articles/PMC3214255/" TargetMode="External"/><Relationship Id="rId13" Type="http://schemas.openxmlformats.org/officeDocument/2006/relationships/hyperlink" Target="http://www.medsafe.govt.nz/profs/adverse/Minutes160.htm" TargetMode="External"/><Relationship Id="rId18" Type="http://schemas.openxmlformats.org/officeDocument/2006/relationships/hyperlink" Target="https://www.tga.gov.au/codeine-rescheduling-information-sponsors" TargetMode="External"/><Relationship Id="rId3" Type="http://schemas.openxmlformats.org/officeDocument/2006/relationships/hyperlink" Target="http://www.fda.gov/downloads/AdvisoryCommittees/CommitteesMeetingMaterials/PediatricAdvisoryCommittee/UCM343601.pdf" TargetMode="External"/><Relationship Id="rId21" Type="http://schemas.openxmlformats.org/officeDocument/2006/relationships/hyperlink" Target="http://online.tg.org.au/ip/desktop/index.htm" TargetMode="External"/><Relationship Id="rId7" Type="http://schemas.openxmlformats.org/officeDocument/2006/relationships/hyperlink" Target="http://www.isdbweb.org/documents/file/1790_14.pdf" TargetMode="External"/><Relationship Id="rId12" Type="http://schemas.openxmlformats.org/officeDocument/2006/relationships/hyperlink" Target="http://www.medsafe.govt.nz/profs/puarticles/%20mar2013codeine.htm" TargetMode="External"/><Relationship Id="rId17" Type="http://schemas.openxmlformats.org/officeDocument/2006/relationships/hyperlink" Target="https://www.tga.gov.au/publication/argom-appendix-5-guidelines-otc-applications-specific-substances" TargetMode="External"/><Relationship Id="rId2" Type="http://schemas.openxmlformats.org/officeDocument/2006/relationships/hyperlink" Target="http://www.pharmgkb.org/guideline/PA166104996" TargetMode="External"/><Relationship Id="rId16" Type="http://schemas.openxmlformats.org/officeDocument/2006/relationships/hyperlink" Target="https://www.tga.gov.au/otc-cough-and-cold-medicines-children-final-outcomes-tga-review" TargetMode="External"/><Relationship Id="rId20" Type="http://schemas.openxmlformats.org/officeDocument/2006/relationships/hyperlink" Target="https://amhonline.amh.net.au/" TargetMode="External"/><Relationship Id="rId1" Type="http://schemas.openxmlformats.org/officeDocument/2006/relationships/hyperlink" Target="http://www.cypalleles.ki.se/cyp2d6.htm" TargetMode="External"/><Relationship Id="rId6" Type="http://schemas.openxmlformats.org/officeDocument/2006/relationships/hyperlink" Target="http://www.ema.europa.eu/docs/en_GB/document_library/Referrals_document/Codeine_containing_medicinal_products/Recommendation_provided_by_Pharmacovigilance_Risk_Assessment_Committee/WC500147065.pdf" TargetMode="External"/><Relationship Id="rId11" Type="http://schemas.openxmlformats.org/officeDocument/2006/relationships/hyperlink" Target="http://www.healthycanadians.gc.ca/recall-alert-rappel-avis/hc-sc/2013/33915a-eng.php" TargetMode="External"/><Relationship Id="rId24" Type="http://schemas.openxmlformats.org/officeDocument/2006/relationships/hyperlink" Target="http://dailymed.nlm.nih.gov/dailymed/drugInfo.cfm?setid=e1da6cd0-97fb-4dc4-b754-485ff364e35f" TargetMode="External"/><Relationship Id="rId5" Type="http://schemas.openxmlformats.org/officeDocument/2006/relationships/hyperlink" Target="http://www.fda.gov/Drugs/DrugSafety/ucm313631.htm" TargetMode="External"/><Relationship Id="rId15" Type="http://schemas.openxmlformats.org/officeDocument/2006/relationships/hyperlink" Target="http://www.comlaw.gov.au/Details/F2014L00693" TargetMode="External"/><Relationship Id="rId23" Type="http://schemas.openxmlformats.org/officeDocument/2006/relationships/hyperlink" Target="http://www.rch.org.au/uploadedFiles/Main/Content/anaes/Analgesia%20post%20tonsillectomy%202014.pdf" TargetMode="External"/><Relationship Id="rId10" Type="http://schemas.openxmlformats.org/officeDocument/2006/relationships/hyperlink" Target="http://www.ema.europa.eu/ema/index.jsp?curl=pages/medicines/human/referrals/Codeine_containing_medicinal_products_for_the_treatment_of_cough_and_cold_in_paediatric_patients/human_referral_prac_000039.jsp&amp;mid=WC0b01ac05805c516f" TargetMode="External"/><Relationship Id="rId19" Type="http://schemas.openxmlformats.org/officeDocument/2006/relationships/hyperlink" Target="https://www.mimsonline.com.au/Search/Search.aspx" TargetMode="External"/><Relationship Id="rId4" Type="http://schemas.openxmlformats.org/officeDocument/2006/relationships/hyperlink" Target="http://www.fda.gov/Drugs/DrugSafety/PostmarketDrugSafetyInformationforPatientsandProviders/ucm054717.htm" TargetMode="External"/><Relationship Id="rId9" Type="http://schemas.openxmlformats.org/officeDocument/2006/relationships/hyperlink" Target="http://www.ema.europa.eu/docs/en_GB/document_library/Press_release/2013/06/WC500144851.pdf" TargetMode="External"/><Relationship Id="rId14" Type="http://schemas.openxmlformats.org/officeDocument/2006/relationships/hyperlink" Target="http://www.comlaw.gov.au/Details/F2015L00128" TargetMode="External"/><Relationship Id="rId22" Type="http://schemas.openxmlformats.org/officeDocument/2006/relationships/hyperlink" Target="http://whqlibdoc.who.int/publications/2012/9789241548120_Guidelines.pdf"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GA">
  <a:themeElements>
    <a:clrScheme name="TGA Theme">
      <a:dk1>
        <a:srgbClr val="002C47"/>
      </a:dk1>
      <a:lt1>
        <a:srgbClr val="FFFFFF"/>
      </a:lt1>
      <a:dk2>
        <a:srgbClr val="002C47"/>
      </a:dk2>
      <a:lt2>
        <a:srgbClr val="FFFFFF"/>
      </a:lt2>
      <a:accent1>
        <a:srgbClr val="006EA8"/>
      </a:accent1>
      <a:accent2>
        <a:srgbClr val="A5ABB2"/>
      </a:accent2>
      <a:accent3>
        <a:srgbClr val="016665"/>
      </a:accent3>
      <a:accent4>
        <a:srgbClr val="B3C95F"/>
      </a:accent4>
      <a:accent5>
        <a:srgbClr val="274520"/>
      </a:accent5>
      <a:accent6>
        <a:srgbClr val="9A86B7"/>
      </a:accent6>
      <a:hlink>
        <a:srgbClr val="0000FF"/>
      </a:hlink>
      <a:folHlink>
        <a:srgbClr val="800080"/>
      </a:folHlink>
    </a:clrScheme>
    <a:fontScheme name="TGA Fonts">
      <a:majorFont>
        <a:latin typeface="Arial"/>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B931F-676C-420A-8BE4-4A80AE7B3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32</Pages>
  <Words>11943</Words>
  <Characters>66647</Characters>
  <Application>Microsoft Office Word</Application>
  <DocSecurity>0</DocSecurity>
  <Lines>1190</Lines>
  <Paragraphs>507</Paragraphs>
  <ScaleCrop>false</ScaleCrop>
  <HeadingPairs>
    <vt:vector size="2" baseType="variant">
      <vt:variant>
        <vt:lpstr>Title</vt:lpstr>
      </vt:variant>
      <vt:variant>
        <vt:i4>1</vt:i4>
      </vt:variant>
    </vt:vector>
  </HeadingPairs>
  <TitlesOfParts>
    <vt:vector size="1" baseType="lpstr">
      <vt:lpstr>Codeine use in children and ultra-rapid metabolisers</vt:lpstr>
    </vt:vector>
  </TitlesOfParts>
  <Company>TGA</Company>
  <LinksUpToDate>false</LinksUpToDate>
  <CharactersWithSpaces>78083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Codeine use in children and ultra-rapid metabolisers</dc:title>
  <dc:subject>safety review</dc:subject>
  <dc:creator>Department of Health Therapeutic Goods Administration</dc:creator>
  <cp:keywords>safety review, codeine</cp:keywords>
  <cp:lastModifiedBy>SHEPPARD, Fran</cp:lastModifiedBy>
  <cp:revision>74</cp:revision>
  <cp:lastPrinted>2015-09-29T11:06:00Z</cp:lastPrinted>
  <dcterms:created xsi:type="dcterms:W3CDTF">2015-09-29T04:54:00Z</dcterms:created>
  <dcterms:modified xsi:type="dcterms:W3CDTF">2015-09-30T10:27:00Z</dcterms:modified>
</cp:coreProperties>
</file>