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909C" w14:textId="77777777" w:rsidR="00592F45" w:rsidRPr="00335CF8" w:rsidRDefault="00A12F32" w:rsidP="00335CF8">
      <w:pPr>
        <w:pStyle w:val="a4"/>
      </w:pPr>
      <w:r w:rsidRPr="00335CF8">
        <w:t>Deploying Health Insurance Claim System with Blockchain in Tertiary Hospitals: Multicenter Prospective study</w:t>
      </w:r>
    </w:p>
    <w:p w14:paraId="097794EE" w14:textId="77777777" w:rsidR="00592F45" w:rsidRDefault="00A12F32" w:rsidP="00335CF8">
      <w:pPr>
        <w:pStyle w:val="Author"/>
      </w:pPr>
      <w:proofErr w:type="spellStart"/>
      <w:r>
        <w:t>MinDong</w:t>
      </w:r>
      <w:proofErr w:type="spellEnd"/>
      <w:r>
        <w:t xml:space="preserve"> Sung, M.D. </w:t>
      </w:r>
      <w:r>
        <w:rPr>
          <w:vertAlign w:val="superscript"/>
        </w:rPr>
        <w:t>1</w:t>
      </w:r>
    </w:p>
    <w:p w14:paraId="4B992349" w14:textId="77777777" w:rsidR="00592F45" w:rsidRDefault="00A12F32" w:rsidP="00335CF8">
      <w:pPr>
        <w:pStyle w:val="Author"/>
      </w:pPr>
      <w:r>
        <w:t>Yu Rang Park, Ph.D. </w:t>
      </w:r>
      <w:r>
        <w:rPr>
          <w:vertAlign w:val="superscript"/>
        </w:rPr>
        <w:t>1</w:t>
      </w:r>
    </w:p>
    <w:p w14:paraId="4CEB8388" w14:textId="77777777" w:rsidR="00592F45" w:rsidRDefault="00A12F32">
      <w:pPr>
        <w:pStyle w:val="a6"/>
      </w:pPr>
      <w:r>
        <w:rPr>
          <w:vertAlign w:val="superscript"/>
        </w:rPr>
        <w:t>1</w:t>
      </w:r>
      <w:r>
        <w:t xml:space="preserve"> Department of Biomedical Systems Informatics, Yonsei University College of Medicine, Seoul, </w:t>
      </w:r>
      <w:r>
        <w:t>South Korea</w:t>
      </w:r>
    </w:p>
    <w:p w14:paraId="0221D459" w14:textId="77777777" w:rsidR="00592F45" w:rsidRDefault="00A12F32">
      <w:r>
        <w:br w:type="page"/>
      </w:r>
    </w:p>
    <w:p w14:paraId="66DC08EF" w14:textId="77777777" w:rsidR="00592F45" w:rsidRDefault="00A12F32">
      <w:pPr>
        <w:pStyle w:val="FirstParagraph"/>
      </w:pPr>
      <w:r>
        <w:rPr>
          <w:b/>
          <w:bCs/>
        </w:rPr>
        <w:lastRenderedPageBreak/>
        <w:t>Abstract</w:t>
      </w:r>
    </w:p>
    <w:p w14:paraId="224FB848" w14:textId="77777777" w:rsidR="00592F45" w:rsidRDefault="00A12F32">
      <w:pPr>
        <w:pStyle w:val="a0"/>
      </w:pPr>
      <w:r>
        <w:t>Frauds have plagued the healthcare insurance domain, despite attempts at prevention. Blockchain technology, which is decentralized and immutable, is gaining attention. We developed a healthcare insurance claim system applying blockch</w:t>
      </w:r>
      <w:r>
        <w:t>ain, and performed a proof-of-concept study in three tertiary South Korean hospitals, where patient satisfaction was measured using this application. The 300 participants could read and issue medical documents or claim insurance through the application. We</w:t>
      </w:r>
      <w:r>
        <w:t xml:space="preserve"> surveyed patient satisfaction with the Post-Study System Usability Questionnaire (PSSUQ), and insurance claim as well as past claim experiences through the application. The PSSUQ scores were higher for participants who claimed insurance than for those who</w:t>
      </w:r>
      <w:r>
        <w:t xml:space="preserve"> did not. Overall, 72 participants claimed insurance using this application, and 159 reported past claims experience. Participants reported submitting claims using our application was quicker and less burden than past experiences. This system could be expa</w:t>
      </w:r>
      <w:r>
        <w:t>nded to other hospitals, simplifying the claims process, thereby saving patients’ time and effort.</w:t>
      </w:r>
    </w:p>
    <w:p w14:paraId="675D6B82" w14:textId="77777777" w:rsidR="00592F45" w:rsidRDefault="00A12F32">
      <w:pPr>
        <w:pStyle w:val="a0"/>
      </w:pPr>
      <w:r>
        <w:rPr>
          <w:b/>
          <w:bCs/>
        </w:rPr>
        <w:t>Keywords: blockchain, health insurance, prospective</w:t>
      </w:r>
    </w:p>
    <w:p w14:paraId="05F253C4" w14:textId="77777777" w:rsidR="00592F45" w:rsidRDefault="00A12F32">
      <w:r>
        <w:br w:type="page"/>
      </w:r>
    </w:p>
    <w:p w14:paraId="3C842B25" w14:textId="77777777" w:rsidR="00592F45" w:rsidRDefault="00A12F32">
      <w:pPr>
        <w:pStyle w:val="1"/>
      </w:pPr>
      <w:bookmarkStart w:id="0" w:name="introduction"/>
      <w:r>
        <w:lastRenderedPageBreak/>
        <w:t>Introduction</w:t>
      </w:r>
    </w:p>
    <w:p w14:paraId="3577F2F9" w14:textId="77777777" w:rsidR="00592F45" w:rsidRDefault="00A12F32">
      <w:pPr>
        <w:pStyle w:val="FirstParagraph"/>
      </w:pPr>
      <w:r>
        <w:t>The insurance domain is an important economic sector, composed of a high number of complex</w:t>
      </w:r>
      <w:r>
        <w:t xml:space="preserve"> business processes which produce a large amount of operational data. In particular, the size of the health and medical insurance industry in the US market, measured by revenue, is $1.1 trillion in 2021. In addition, the size of the health and medical insu</w:t>
      </w:r>
      <w:r>
        <w:t>rance industry is expected to increase by 6.6% during 2021.</w:t>
      </w:r>
      <w:r>
        <w:rPr>
          <w:vertAlign w:val="superscript"/>
        </w:rPr>
        <w:t>1</w:t>
      </w:r>
      <w:r>
        <w:t xml:space="preserve"> AsAs the scale of the insurance industry has increased, the scale of insurance fraud remains large, despite the many attempts to prevent such fraud. For example, Medicare, a national health insur</w:t>
      </w:r>
      <w:r>
        <w:t>ance program in the United States, suffered a loss of approximately $2.6 billion in 2019 from criminal fines, civil monetary penalties, fees associated with property forfeiture, and penalties and damages obtained and otherwise creditable to miscellaneous r</w:t>
      </w:r>
      <w:r>
        <w:t>eceipts.</w:t>
      </w:r>
      <w:r>
        <w:rPr>
          <w:vertAlign w:val="superscript"/>
        </w:rPr>
        <w:t>2</w:t>
      </w:r>
      <w:r>
        <w:t xml:space="preserve"> Additionally, approximately 75% of insurance industry professionals believe that 10% or more or all insurance claims have some element of fraud.</w:t>
      </w:r>
      <w:r>
        <w:rPr>
          <w:vertAlign w:val="superscript"/>
        </w:rPr>
        <w:t>3</w:t>
      </w:r>
    </w:p>
    <w:p w14:paraId="55B10DB4" w14:textId="77777777" w:rsidR="00592F45" w:rsidRDefault="00A12F32">
      <w:pPr>
        <w:pStyle w:val="a0"/>
      </w:pPr>
      <w:r>
        <w:t>To prevent insurance fraud, document authenticity is becoming increasingly important. Currently, the</w:t>
      </w:r>
      <w:r>
        <w:t xml:space="preserve"> document providers watermark the document to verify its authenticity and may provide additional authenticity verification services, such as verification digit codes or barcodes. Users can avail of these services to verify the document’s authenticity. Howe</w:t>
      </w:r>
      <w:r>
        <w:t>ver, not all documents and providers use these codes or provide these services.</w:t>
      </w:r>
    </w:p>
    <w:p w14:paraId="046784AA" w14:textId="77777777" w:rsidR="00592F45" w:rsidRDefault="00A12F32">
      <w:pPr>
        <w:pStyle w:val="a0"/>
      </w:pPr>
      <w:r>
        <w:t>The insurance claim process is a time-and labor-intensive process. In Korea, approximately 77% of adults are insured in medical indemnity insurance programs. These users have c</w:t>
      </w:r>
      <w:r>
        <w:t>laimed insurance through insurance planners (52.2%) or by visiting in person (13.6%). Unclaimed rates of medical indemnity insurance were 4.1%, 14.6%, and 20.5% for admissions, outpatient clinics, and prescriptions, respectively. The majority (90%) of user</w:t>
      </w:r>
      <w:r>
        <w:t>s reported not claiming insurance because it was a small amount compared to their time-and-labor consumption.</w:t>
      </w:r>
      <w:r>
        <w:rPr>
          <w:vertAlign w:val="superscript"/>
        </w:rPr>
        <w:t>4</w:t>
      </w:r>
    </w:p>
    <w:p w14:paraId="1259322C" w14:textId="77777777" w:rsidR="00592F45" w:rsidRDefault="00A12F32">
      <w:pPr>
        <w:pStyle w:val="a0"/>
      </w:pPr>
      <w:r>
        <w:lastRenderedPageBreak/>
        <w:t>Blockchain is considered a promising technology, and it is defined as a decentralized, distributed, immutable ledger recording system.</w:t>
      </w:r>
      <w:r>
        <w:rPr>
          <w:vertAlign w:val="superscript"/>
        </w:rPr>
        <w:t>5</w:t>
      </w:r>
      <w:r>
        <w:t xml:space="preserve"> These cha</w:t>
      </w:r>
      <w:r>
        <w:t>racteristics of the blockchain can help prevent insurance claim fraud, and mitigate the labor-intensive and time-consuming aspects of claiming insurance. In the U.S., the Office of the National Coordinator for Health Information Technology (ONC) believes b</w:t>
      </w:r>
      <w:r>
        <w:t>lockchain technology has the potential to address the interoperability challenges present in health information technology (IT) systems and to enable healthcare stakeholders to share electronic health data.</w:t>
      </w:r>
      <w:r>
        <w:rPr>
          <w:vertAlign w:val="superscript"/>
        </w:rPr>
        <w:t>6</w:t>
      </w:r>
      <w:r>
        <w:t xml:space="preserve"> Additionally, many healthcare and insurance doma</w:t>
      </w:r>
      <w:r>
        <w:t>ins have attempted to apply the blockchain system in their systems.</w:t>
      </w:r>
    </w:p>
    <w:p w14:paraId="02E66F3F" w14:textId="77777777" w:rsidR="00592F45" w:rsidRDefault="00A12F32">
      <w:pPr>
        <w:pStyle w:val="a0"/>
      </w:pPr>
      <w:r>
        <w:t>Therefore, in this study, we developed a healthcare insurance claim system using the blockchain and Fast Healthcare Interoperability Resources (FHIR) architecture. We performed a proof-of-</w:t>
      </w:r>
      <w:r>
        <w:t>concept study in three tertiary hospitals in South Korea and measured patient satisfaction using this application.</w:t>
      </w:r>
    </w:p>
    <w:p w14:paraId="5D466C46" w14:textId="77777777" w:rsidR="00592F45" w:rsidRDefault="00A12F32">
      <w:pPr>
        <w:pStyle w:val="1"/>
      </w:pPr>
      <w:bookmarkStart w:id="1" w:name="results"/>
      <w:bookmarkEnd w:id="0"/>
      <w:r>
        <w:t>Results</w:t>
      </w:r>
    </w:p>
    <w:p w14:paraId="71B48F99" w14:textId="77777777" w:rsidR="00592F45" w:rsidRDefault="00A12F32">
      <w:pPr>
        <w:pStyle w:val="2"/>
      </w:pPr>
      <w:bookmarkStart w:id="2" w:name="the-service-model"/>
      <w:r>
        <w:t>The service model</w:t>
      </w:r>
    </w:p>
    <w:p w14:paraId="36F5CD14" w14:textId="77777777" w:rsidR="00592F45" w:rsidRDefault="00A12F32">
      <w:pPr>
        <w:pStyle w:val="FirstParagraph"/>
      </w:pPr>
      <w:r>
        <w:t>We deployed our healthcare insurance claim system in three tertiary academic hospitals in South Korea. The total se</w:t>
      </w:r>
      <w:r>
        <w:t>rvice model is shown in Figure 1. Patients can (1) read their own medical documents without visiting the hospital, (2) issue medical documents, and (3) claim insurance by submitting the issued medical document. When the claim is requested, the hospital-sid</w:t>
      </w:r>
      <w:r>
        <w:t>e server sends the metadata of the document to the blockchain, and the insurance company side server can compare the hash of the document which was handed by the patients’ application and the hash from the blockchain.</w:t>
      </w:r>
    </w:p>
    <w:p w14:paraId="0EC952B5" w14:textId="77777777" w:rsidR="00592F45" w:rsidRDefault="00A12F32">
      <w:pPr>
        <w:pStyle w:val="2"/>
      </w:pPr>
      <w:bookmarkStart w:id="3" w:name="survey"/>
      <w:bookmarkEnd w:id="2"/>
      <w:r>
        <w:lastRenderedPageBreak/>
        <w:t>Survey</w:t>
      </w:r>
    </w:p>
    <w:p w14:paraId="5C76A672" w14:textId="77777777" w:rsidR="00592F45" w:rsidRDefault="00A12F32">
      <w:pPr>
        <w:pStyle w:val="FirstParagraph"/>
      </w:pPr>
      <w:r>
        <w:t>A total of 300 patients complet</w:t>
      </w:r>
      <w:r>
        <w:t>ed a Post-Study System Usability Questionnaire (PSSUQ) survey, as well as other questions about insurance claim experience with both this application and previous claim experiences. All participants were enrolled in the three tertiary academic hospitals in</w:t>
      </w:r>
      <w:r>
        <w:t xml:space="preserve"> South Korea, and each institute enrolled 100 patients. Females constituted the majority of participants from each institute, comprising 66%, 72%, and 69% for each hospital, respectively. In addition, most respondents were in their 20-30s. The number of pa</w:t>
      </w:r>
      <w:r>
        <w:t>tients who used this application to claim their insurance was 73 (24.33%), which showed no significant difference among hospitals (</w:t>
      </w:r>
      <m:oMath>
        <m:sSubSup>
          <m:sSubSupPr>
            <m:ctrlPr>
              <w:rPr>
                <w:rFonts w:ascii="Cambria Math" w:hAnsi="Cambria Math"/>
              </w:rPr>
            </m:ctrlPr>
          </m:sSubSupPr>
          <m:e>
            <m:r>
              <w:rPr>
                <w:rFonts w:ascii="Cambria Math" w:hAnsi="Cambria Math"/>
              </w:rPr>
              <m:t>χ</m:t>
            </m:r>
          </m:e>
          <m:sub>
            <m:r>
              <w:rPr>
                <w:rFonts w:ascii="Cambria Math" w:hAnsi="Cambria Math"/>
              </w:rPr>
              <m:t>2</m:t>
            </m:r>
            <m:r>
              <m:rPr>
                <m:sty m:val="p"/>
              </m:rPr>
              <w:rPr>
                <w:rFonts w:ascii="Cambria Math" w:hAnsi="Cambria Math"/>
              </w:rPr>
              <m:t>,</m:t>
            </m:r>
            <m:r>
              <w:rPr>
                <w:rFonts w:ascii="Cambria Math" w:hAnsi="Cambria Math"/>
              </w:rPr>
              <m:t> </m:t>
            </m:r>
            <m:r>
              <w:rPr>
                <w:rFonts w:ascii="Cambria Math" w:hAnsi="Cambria Math"/>
              </w:rPr>
              <m:t>N</m:t>
            </m:r>
            <m:r>
              <m:rPr>
                <m:sty m:val="p"/>
              </m:rPr>
              <w:rPr>
                <w:rFonts w:ascii="Cambria Math" w:hAnsi="Cambria Math"/>
              </w:rPr>
              <m:t>=</m:t>
            </m:r>
            <m:r>
              <w:rPr>
                <w:rFonts w:ascii="Cambria Math" w:hAnsi="Cambria Math"/>
              </w:rPr>
              <m:t>300</m:t>
            </m:r>
          </m:sub>
          <m:sup>
            <m:r>
              <w:rPr>
                <w:rFonts w:ascii="Cambria Math" w:hAnsi="Cambria Math"/>
              </w:rPr>
              <m:t>2</m:t>
            </m:r>
          </m:sup>
        </m:sSubSup>
        <m:r>
          <m:rPr>
            <m:sty m:val="p"/>
          </m:rPr>
          <w:rPr>
            <w:rFonts w:ascii="Cambria Math" w:hAnsi="Cambria Math"/>
          </w:rPr>
          <m:t>=</m:t>
        </m:r>
        <m:r>
          <w:rPr>
            <w:rFonts w:ascii="Cambria Math" w:hAnsi="Cambria Math"/>
          </w:rPr>
          <m:t>2.43</m:t>
        </m:r>
      </m:oMath>
      <w:r>
        <w:t xml:space="preserve">, p = 0.297). (Table </w:t>
      </w:r>
      <w:hyperlink w:anchor="demographicTable">
        <w:r>
          <w:fldChar w:fldCharType="begin"/>
        </w:r>
        <w:r>
          <w:instrText xml:space="preserve"> REF demographicTable \h</w:instrText>
        </w:r>
        <w:r w:rsidR="00335CF8">
          <w:fldChar w:fldCharType="separate"/>
        </w:r>
        <w:r w:rsidR="00335CF8">
          <w:rPr>
            <w:noProof/>
          </w:rPr>
          <w:t>1</w:t>
        </w:r>
        <w:r>
          <w:fldChar w:fldCharType="end"/>
        </w:r>
      </w:hyperlink>
      <w:r>
        <w:t>)</w:t>
      </w:r>
    </w:p>
    <w:p w14:paraId="4EDC4233" w14:textId="77777777" w:rsidR="00592F45" w:rsidRDefault="00A12F32">
      <w:pPr>
        <w:pStyle w:val="a0"/>
      </w:pPr>
      <w:r>
        <w:t>The average of the general PSSUQ score is 4.75, 95% C.I. [4.64, 4.87]. The averages for the subclasses are: 4.8, 95% C.I. [4.75, 4.85] for System Usefulness; 4.49, 95% C.I. [4.43, 4.54] for Information Quality</w:t>
      </w:r>
      <w:r>
        <w:t>; and 4.54, 95% C.I. [4.46, 4.62] for Interface Quality. Comparing the patients who claimed insurance and those who did not, all PSSUQ scales, including system usefulness (0.48, 95% C.I. [0.26, 0.71], t(130.05) = 4.20, p &lt; 0.001), information quality (0.59</w:t>
      </w:r>
      <w:r>
        <w:t>, 95% C.I. [0.34, 0.84] , t(119.17) = 4.65, p &lt; 0.001), interface quality (0.39, 95% C.I. [0.19, 0.59] t(122.08) = 3.81, p = 0.0002), and global score (0.53, 95% C.I. [0.28, 0.77], t(140.89) = 4.19, p &lt; 0.001) are higher for the patients who claimed insura</w:t>
      </w:r>
      <w:r>
        <w:t>nce than for those who did not. (Figure 2)</w:t>
      </w:r>
    </w:p>
    <w:p w14:paraId="72E46FBF" w14:textId="77777777" w:rsidR="00592F45" w:rsidRDefault="00A12F32">
      <w:pPr>
        <w:pStyle w:val="a0"/>
      </w:pPr>
      <w:r>
        <w:t>In all, 73 (24.33%) patients used this application to claim insurance. Of these, 59 (80.82%) patients completed the claims process within 30 minutes (Table 2). It cost less than $5, $5 - 10, and more than $10 to c</w:t>
      </w:r>
      <w:r>
        <w:t xml:space="preserve">laim insurance for 36 (49.32%), 27 (36.99%), and 2 (2.74%) patients, respectively. Regarding the number of documents needed, 31 (42.47%) and 27 (36.99%) patients answered that they needed 0-1 and 2-3 documents when filing their claim, respectively. (Table </w:t>
      </w:r>
      <w:r>
        <w:t>3)</w:t>
      </w:r>
    </w:p>
    <w:p w14:paraId="409FEEB1" w14:textId="77777777" w:rsidR="00592F45" w:rsidRDefault="00A12F32">
      <w:pPr>
        <w:pStyle w:val="a0"/>
      </w:pPr>
      <w:r>
        <w:lastRenderedPageBreak/>
        <w:t>A total of 159 patients (53%) answered questions regarding their past insurance claims experience. Among them, 96 (60.38%) claimed medical indemnity insurance using our system. For a comparison between their past and current claims experiences, only med</w:t>
      </w:r>
      <w:r>
        <w:t>ical indemnity insurance experience was considered. Of those who claimed insurance, 30 (18.87%) filed their claim through smartphones, 22 (13.84%) did so through insurance planners, and or 17 (10.69%) by fax. In addition, 47 (29.56%) patients required less</w:t>
      </w:r>
      <w:r>
        <w:t xml:space="preserve"> than 6 hours when they filed a claim; however, 27 (16.98%) patients required more than 24 hours (Table 2). The cost was not significantly different between systems (fisher’s exact test, p = 0.181); however, the number of documents required to file a claim</w:t>
      </w:r>
      <w:r>
        <w:t xml:space="preserve"> was significantly different (fisher’s exact test, p &lt; 0.001) (Table 3).</w:t>
      </w:r>
    </w:p>
    <w:p w14:paraId="5294E354" w14:textId="77777777" w:rsidR="00592F45" w:rsidRDefault="00A12F32">
      <w:pPr>
        <w:pStyle w:val="1"/>
      </w:pPr>
      <w:bookmarkStart w:id="4" w:name="discussion"/>
      <w:bookmarkEnd w:id="1"/>
      <w:bookmarkEnd w:id="3"/>
      <w:r>
        <w:t>Discussion</w:t>
      </w:r>
    </w:p>
    <w:p w14:paraId="34E1DDFD" w14:textId="77777777" w:rsidR="00592F45" w:rsidRDefault="00A12F32">
      <w:pPr>
        <w:pStyle w:val="FirstParagraph"/>
      </w:pPr>
      <w:r>
        <w:t>In this study, an insurance claim system was developed using blockchain and FHIR architecture, and it was subsequently deployed in three tertiary academic hospitals. We sur</w:t>
      </w:r>
      <w:r>
        <w:t xml:space="preserve">veyed patients regarding their satisfaction with using this application, details of their experience filing an insurance claim using this application, and past experiences regarding claiming insurance. Patients who used this application to claim insurance </w:t>
      </w:r>
      <w:r>
        <w:t xml:space="preserve">were more satisfied with the application than those who used it solely to view their own medical records. This is the first study to deploy an insurance claim application based on blockchain technology in large tertiary hospitals, as previous studies have </w:t>
      </w:r>
      <w:r>
        <w:t>only demonstrated the efficacy of prototypes of the system. In addition, we translated the medical document with FHIR, and demonstrated that our system could be expanded to any hospital or insurance company.</w:t>
      </w:r>
    </w:p>
    <w:p w14:paraId="580E0FE5" w14:textId="77777777" w:rsidR="00592F45" w:rsidRDefault="00A12F32">
      <w:pPr>
        <w:pStyle w:val="a0"/>
      </w:pPr>
      <w:r>
        <w:t>Some prior studies attempted to apply blockchain</w:t>
      </w:r>
      <w:r>
        <w:t xml:space="preserve"> technology to the health care or insurance domains. The most popular such domain is the electronic medical record (EMR) system. MedRec</w:t>
      </w:r>
      <w:r>
        <w:rPr>
          <w:vertAlign w:val="superscript"/>
        </w:rPr>
        <w:t>7</w:t>
      </w:r>
      <w:r>
        <w:t xml:space="preserve">is </w:t>
      </w:r>
      <w:r>
        <w:lastRenderedPageBreak/>
        <w:t xml:space="preserve">an Ethereum-based system that manages authorization, permissions, and the entry, retrieval, updating, and sharing of </w:t>
      </w:r>
      <w:r>
        <w:t>data in EMRs. The FHIRchain</w:t>
      </w:r>
      <w:r>
        <w:rPr>
          <w:vertAlign w:val="superscript"/>
        </w:rPr>
        <w:t>8</w:t>
      </w:r>
      <w:r>
        <w:t>, which refers to a combination of FHIR and blockchain, is an electronic medical record system which meets the ONC requirements of blockchain. OmniPHR</w:t>
      </w:r>
      <w:r>
        <w:rPr>
          <w:vertAlign w:val="superscript"/>
        </w:rPr>
        <w:t>9,10</w:t>
      </w:r>
      <w:r>
        <w:t>was introduced as a distributed architecture model of personal health reco</w:t>
      </w:r>
      <w:r>
        <w:t>rds (PHRs). In addition, Sung et al.</w:t>
      </w:r>
      <w:r>
        <w:rPr>
          <w:vertAlign w:val="superscript"/>
        </w:rPr>
        <w:t>11</w:t>
      </w:r>
      <w:r>
        <w:t xml:space="preserve"> </w:t>
      </w:r>
      <w:r>
        <w:t>applied a blockchain medical record monitoring system in primary clinics, although it was not used to handle all of the medical record data, but instead simply changed the records when necessary. In addition, clinical trial systems have attempted to employ</w:t>
      </w:r>
      <w:r>
        <w:t xml:space="preserve"> blockchain technology, however these applications require transparency and traceability. Wong et al.</w:t>
      </w:r>
      <w:r>
        <w:rPr>
          <w:vertAlign w:val="superscript"/>
        </w:rPr>
        <w:t>12</w:t>
      </w:r>
      <w:r>
        <w:t xml:space="preserve"> introduced a proof-of-concept for blockchain clinical trial architecture, which included randomizing patients, recording case report forms (CRF), analyz</w:t>
      </w:r>
      <w:r>
        <w:t>ing results, reporting adverse events, and summarizing patient data. Alternatively, in the auto insurance domain, Roriz et al.</w:t>
      </w:r>
      <w:r>
        <w:rPr>
          <w:vertAlign w:val="superscript"/>
        </w:rPr>
        <w:t>13</w:t>
      </w:r>
      <w:r>
        <w:t xml:space="preserve"> developed a blockchain architecture prototype to avoid insurance fraud, particularly what is known as “double dipping,” when a </w:t>
      </w:r>
      <w:r>
        <w:t>claim is filed with two different insurance companies. Their system included the creation and termination of insurance policies, the creation of claims, and a record of the life of a vehicle. Within the medical domain, MIStore</w:t>
      </w:r>
      <w:r>
        <w:rPr>
          <w:vertAlign w:val="superscript"/>
        </w:rPr>
        <w:t>14</w:t>
      </w:r>
      <w:r>
        <w:t xml:space="preserve"> is a prototype blockchain-b</w:t>
      </w:r>
      <w:r>
        <w:t>ased medical insurance storage system based on Ethereum. Most of studies were prototype and did not applied to real-world situation. However, this study applied the blockchain system in three tertiary hospitals and surveyed the patients’ satisfaction.</w:t>
      </w:r>
    </w:p>
    <w:p w14:paraId="2E84ADFE" w14:textId="77777777" w:rsidR="00592F45" w:rsidRDefault="00A12F32">
      <w:pPr>
        <w:pStyle w:val="a0"/>
      </w:pPr>
      <w:r>
        <w:t>Pati</w:t>
      </w:r>
      <w:r>
        <w:t>ents who filed a claim using this application reported higher PSSUQ scores than those who just used the application, not filed a claim. That is, patients who filed a claim using the application were more satisfied with it than those who used it solely to v</w:t>
      </w:r>
      <w:r>
        <w:t>iew medical documents. The current system tended to take less time to file a claim than past system did. According to survey, in the past, taking less than 6 hours to claim insurance comprised only 43.4% in the answered population; however, all the time an</w:t>
      </w:r>
      <w:r>
        <w:t xml:space="preserve">swered about this application takes less than 1 hours. In addition, </w:t>
      </w:r>
      <w:r>
        <w:lastRenderedPageBreak/>
        <w:t>while the cost was not significantly different between the two systems, the current system required fewer documents when claiming insurance. These demonstrate that this system can simplify</w:t>
      </w:r>
      <w:r>
        <w:t xml:space="preserve"> the insurance claim process, thereby saving patients’ time and effort.</w:t>
      </w:r>
    </w:p>
    <w:p w14:paraId="3313AF08" w14:textId="77777777" w:rsidR="00592F45" w:rsidRDefault="00A12F32">
      <w:pPr>
        <w:pStyle w:val="a0"/>
      </w:pPr>
      <w:r>
        <w:t>Insurance fraud is generally divided into hard and soft fraud, based on whether the fraud was pre-planned.</w:t>
      </w:r>
      <w:r>
        <w:rPr>
          <w:vertAlign w:val="superscript"/>
        </w:rPr>
        <w:t>15</w:t>
      </w:r>
      <w:r>
        <w:t xml:space="preserve"> This blockchain system cannot prevent all insurance fraud. For example, the blockchain cannot prevent the health provider from recording false info</w:t>
      </w:r>
      <w:r>
        <w:t>rmation in the blockchain, which is classified as hard fraud. However, document-related fraud can be prevented using this system, which provides patients and insurance companies with a convenient way to claim insurance. The economic model introduced by Par</w:t>
      </w:r>
      <w:r>
        <w:t>k et al.</w:t>
      </w:r>
      <w:r>
        <w:rPr>
          <w:vertAlign w:val="superscript"/>
        </w:rPr>
        <w:t>16</w:t>
      </w:r>
      <w:r>
        <w:t xml:space="preserve"> demonstrated that the adoption of blockchain technology, which enables market participants to share medical information effectively, reduces information asymmetry in the health insurance market, and subsequently prevents soft insurance fraud.</w:t>
      </w:r>
    </w:p>
    <w:p w14:paraId="152EA3DF" w14:textId="77777777" w:rsidR="00592F45" w:rsidRDefault="00A12F32">
      <w:pPr>
        <w:pStyle w:val="a0"/>
      </w:pPr>
      <w:r>
        <w:t>In</w:t>
      </w:r>
      <w:r>
        <w:t xml:space="preserve"> the era of big data, privacy prevention has been emphasized. Moreover, strict privacy prevention is particularly necessary in the medical field. Conventionally, to ensure the privacy of patients, they must obtain requisite documents themselves and submit </w:t>
      </w:r>
      <w:r>
        <w:t>them to insurance companies. The insurance companies should then match the original document in the hospital to verify its authenticity. A system based on blockchain technology can instill trust in these processes, enabling claims to be made through existi</w:t>
      </w:r>
      <w:r>
        <w:t>ng applications that benefit patients and insurance companies. In addition, such a system is more protective of privacy, as it does not expose patient information.</w:t>
      </w:r>
    </w:p>
    <w:p w14:paraId="39514CF2" w14:textId="77777777" w:rsidR="00592F45" w:rsidRDefault="00A12F32">
      <w:pPr>
        <w:pStyle w:val="a0"/>
      </w:pPr>
      <w:r>
        <w:t xml:space="preserve">EvolutionWith the evolution of medical informatics, medical documents can be transferred to </w:t>
      </w:r>
      <w:r>
        <w:t>the patient. This could improve patient empowerment</w:t>
      </w:r>
      <w:r>
        <w:rPr>
          <w:vertAlign w:val="superscript"/>
        </w:rPr>
        <w:t>17</w:t>
      </w:r>
      <w:r>
        <w:t>, which is defined as “the process that helps people gain control over their own lives and increases their capacity to act on issues that they themselves define as important”</w:t>
      </w:r>
      <w:r>
        <w:rPr>
          <w:vertAlign w:val="superscript"/>
        </w:rPr>
        <w:t>18</w:t>
      </w:r>
      <w:r>
        <w:t>. For healthcare providers,</w:t>
      </w:r>
      <w:r>
        <w:t xml:space="preserve"> electronic medical record submission has </w:t>
      </w:r>
      <w:r>
        <w:lastRenderedPageBreak/>
        <w:t>been permitted. For example, the Center for Medicare and Medicaid Services allows healthcare providers — not patients —to electronically submit medical documents through their electronic submission of Medical Docum</w:t>
      </w:r>
      <w:r>
        <w:t>entation (esMD) system.</w:t>
      </w:r>
      <w:r>
        <w:rPr>
          <w:vertAlign w:val="superscript"/>
        </w:rPr>
        <w:t>19</w:t>
      </w:r>
      <w:r>
        <w:t xml:space="preserve"> For individual patients, the documents should be submitted through people. Even the document is issued by internet or mobile application, most documents should be delivered by hands or fax. Blockchain technology, which not only pr</w:t>
      </w:r>
      <w:r>
        <w:t xml:space="preserve">ovides authentic medical documents but also provides verification of those documents, can enhance the patient’s ability to use their medical documents in an official capacity. For example, they can submit the document to the insurance company or the other </w:t>
      </w:r>
      <w:r>
        <w:t>hospitals they visited. The hospital/company or the individual who is supplied with the document can trust its authenticity. Moreover, according to,</w:t>
      </w:r>
      <w:r>
        <w:rPr>
          <w:vertAlign w:val="superscript"/>
        </w:rPr>
        <w:t>20</w:t>
      </w:r>
      <w:r>
        <w:t xml:space="preserve"> treatment by fraud and abuse penetration was associated with worse treatment outcomes. These attempts to </w:t>
      </w:r>
      <w:r>
        <w:t>eliminate insurance fraud can help to improved beneficiary health. This would provide a more advanced form of patient empowerment; because not only do patients extend their authority over their own health information, but they also could get the better out</w:t>
      </w:r>
      <w:r>
        <w:t>comes.</w:t>
      </w:r>
    </w:p>
    <w:p w14:paraId="7F01BCD2" w14:textId="77777777" w:rsidR="00592F45" w:rsidRDefault="00A12F32">
      <w:pPr>
        <w:pStyle w:val="a0"/>
      </w:pPr>
      <w:r>
        <w:t>There are a few limitations to the present research. First, the survey cohort was somewhat skewed, as the majority of participants were in their 30s. The lower the patient’s age, the more convenient they found using the application. However, other a</w:t>
      </w:r>
      <w:r>
        <w:t>ge groups were also included in the study, and the PSSUQ score for these groups did not decrease. Second, the study did not show that the frequency of insurance fraud events decreased with blockchain technology. However, the survey demonstrated that the pa</w:t>
      </w:r>
      <w:r>
        <w:t>tients were satisfied with the system, and that the duration to file a claim and number of documents required decreased with its use. Third, we only surveyed hospital users. Further research should be conducted from the point of view of those who use insur</w:t>
      </w:r>
      <w:r>
        <w:t xml:space="preserve">ance companies to file claims. Finally, this system does not include all the services that are generally provided by an insurance company; it only provides the ability to file a claim and to verify the issued document. This </w:t>
      </w:r>
      <w:r>
        <w:lastRenderedPageBreak/>
        <w:t>system could therefore be extend</w:t>
      </w:r>
      <w:r>
        <w:t>ed to include more services. One option would be to have insurance payments be automated by smart contracts. In addition, individual identification could also be automated using Decentralized Identifiers (DID). Lastly, hashed data could be used by insuranc</w:t>
      </w:r>
      <w:r>
        <w:t>e companies, and the collected data could be used to find patterns of insurance fraud.</w:t>
      </w:r>
    </w:p>
    <w:p w14:paraId="00B5CD7D" w14:textId="77777777" w:rsidR="00592F45" w:rsidRDefault="00A12F32">
      <w:pPr>
        <w:pStyle w:val="1"/>
      </w:pPr>
      <w:bookmarkStart w:id="5" w:name="conclusion"/>
      <w:bookmarkEnd w:id="4"/>
      <w:r>
        <w:t>Conclusion</w:t>
      </w:r>
    </w:p>
    <w:p w14:paraId="5998D800" w14:textId="77777777" w:rsidR="00592F45" w:rsidRDefault="00A12F32">
      <w:pPr>
        <w:pStyle w:val="FirstParagraph"/>
      </w:pPr>
      <w:r>
        <w:t xml:space="preserve">In this study, we applied a healthcare insurance claim system to tertiary academic hospitals in South Korea. Our system could be expanded to other hospitals, </w:t>
      </w:r>
      <w:r>
        <w:t>which would simplify the process of filing insurance claims, thereby saving the patient’s time and effort.</w:t>
      </w:r>
    </w:p>
    <w:p w14:paraId="57A35C8E" w14:textId="77777777" w:rsidR="00592F45" w:rsidRDefault="00A12F32">
      <w:pPr>
        <w:pStyle w:val="a0"/>
      </w:pPr>
      <w:r>
        <w:rPr>
          <w:b/>
          <w:bCs/>
        </w:rPr>
        <w:t>Acknowledgements</w:t>
      </w:r>
      <w:r>
        <w:t xml:space="preserve"> </w:t>
      </w:r>
    </w:p>
    <w:p w14:paraId="31228FC0" w14:textId="77777777" w:rsidR="00592F45" w:rsidRDefault="00A12F32">
      <w:pPr>
        <w:pStyle w:val="a0"/>
      </w:pPr>
      <w:r>
        <w:rPr>
          <w:b/>
          <w:bCs/>
        </w:rPr>
        <w:t>Author Contributions</w:t>
      </w:r>
      <w:r>
        <w:t xml:space="preserve">  The authors made the following contributions. MinDong Sung, M.D.: Conceptualization, Methodology, Investigati</w:t>
      </w:r>
      <w:r>
        <w:t>on, Writing – original draft, Writing - Review &amp; Editing; Yu Rang Park, Ph.D: Conceptualization, Methodology, Writing - Review &amp; Editing, Project administration, Supervision.</w:t>
      </w:r>
    </w:p>
    <w:p w14:paraId="15F17C43" w14:textId="77777777" w:rsidR="00592F45" w:rsidRDefault="00A12F32">
      <w:pPr>
        <w:pStyle w:val="a0"/>
      </w:pPr>
      <w:r>
        <w:rPr>
          <w:b/>
          <w:bCs/>
        </w:rPr>
        <w:t>Competing Interests</w:t>
      </w:r>
      <w:r>
        <w:t xml:space="preserve"> </w:t>
      </w:r>
    </w:p>
    <w:p w14:paraId="6C38E310" w14:textId="77777777" w:rsidR="00592F45" w:rsidRDefault="00A12F32">
      <w:r>
        <w:br w:type="page"/>
      </w:r>
    </w:p>
    <w:p w14:paraId="5D6BDD03" w14:textId="77777777" w:rsidR="00592F45" w:rsidRDefault="00A12F32">
      <w:pPr>
        <w:pStyle w:val="1"/>
      </w:pPr>
      <w:bookmarkStart w:id="6" w:name="references"/>
      <w:bookmarkEnd w:id="5"/>
      <w:r>
        <w:lastRenderedPageBreak/>
        <w:t>References</w:t>
      </w:r>
    </w:p>
    <w:p w14:paraId="0E0AB434" w14:textId="77777777" w:rsidR="00592F45" w:rsidRDefault="00A12F32">
      <w:pPr>
        <w:pStyle w:val="a7"/>
      </w:pPr>
      <w:bookmarkStart w:id="7" w:name="ref-IBISWorld2021"/>
      <w:bookmarkStart w:id="8" w:name="refs"/>
      <w:r>
        <w:t xml:space="preserve">1. </w:t>
      </w:r>
      <w:r>
        <w:tab/>
        <w:t>IBISWorld. Health &amp; Medical Insurance in th</w:t>
      </w:r>
      <w:r>
        <w:t xml:space="preserve">e US - Market Size 2005–2027. Published online 2021. Accessed April 28, 2021. </w:t>
      </w:r>
      <w:hyperlink r:id="rId7">
        <w:r>
          <w:rPr>
            <w:rStyle w:val="ac"/>
          </w:rPr>
          <w:t>https://www.ibisworld.com/industry-statistics/market-size/hea</w:t>
        </w:r>
        <w:r>
          <w:rPr>
            <w:rStyle w:val="ac"/>
          </w:rPr>
          <w:t>lth-medical-insurance-united-states/</w:t>
        </w:r>
      </w:hyperlink>
    </w:p>
    <w:p w14:paraId="4BAFE8E2" w14:textId="77777777" w:rsidR="00592F45" w:rsidRDefault="00A12F32">
      <w:pPr>
        <w:pStyle w:val="a7"/>
      </w:pPr>
      <w:bookmarkStart w:id="9" w:name="X3efb62de043f205fe5fe08ba15469ae50f7f184"/>
      <w:bookmarkEnd w:id="7"/>
      <w:r>
        <w:t xml:space="preserve">2. </w:t>
      </w:r>
      <w:r>
        <w:tab/>
        <w:t>The Department of Health and Human Services and The Department of Justice. Health Care Fraud and Abuse Control Program Annual Report for Fiscal Year 2019. Published online 2020.</w:t>
      </w:r>
    </w:p>
    <w:p w14:paraId="36861692" w14:textId="77777777" w:rsidR="00592F45" w:rsidRDefault="00A12F32">
      <w:pPr>
        <w:pStyle w:val="a7"/>
      </w:pPr>
      <w:bookmarkStart w:id="10" w:name="ref-Metz2021"/>
      <w:bookmarkEnd w:id="9"/>
      <w:r>
        <w:t xml:space="preserve">3. </w:t>
      </w:r>
      <w:r>
        <w:tab/>
        <w:t>Metz J. Pandemic Fires Up Insuran</w:t>
      </w:r>
      <w:r>
        <w:t xml:space="preserve">ce Fraud, Here’s What To Watch For. Published online 2021. Accessed April 26, 2021. </w:t>
      </w:r>
      <w:hyperlink r:id="rId8">
        <w:r>
          <w:rPr>
            <w:rStyle w:val="ac"/>
          </w:rPr>
          <w:t>https://www.forbes.com/advisor/car-insurance/pandemic-insurance-fraud/</w:t>
        </w:r>
      </w:hyperlink>
    </w:p>
    <w:p w14:paraId="511CAB2A" w14:textId="77777777" w:rsidR="00592F45" w:rsidRDefault="00A12F32">
      <w:pPr>
        <w:pStyle w:val="a7"/>
      </w:pPr>
      <w:bookmarkStart w:id="11" w:name="ref-YongWoon2018"/>
      <w:bookmarkEnd w:id="10"/>
      <w:r>
        <w:t xml:space="preserve">4. </w:t>
      </w:r>
      <w:r>
        <w:tab/>
        <w:t>Yong Wo</w:t>
      </w:r>
      <w:r>
        <w:t xml:space="preserve">on C, Dong Kyum K. </w:t>
      </w:r>
      <w:r>
        <w:rPr>
          <w:i/>
          <w:iCs/>
        </w:rPr>
        <w:t>Current Status and Countermeasures for Non-claiming Indemnity Medical Insurance</w:t>
      </w:r>
      <w:r>
        <w:t xml:space="preserve">. KIRI (Korea Insurance Research Institute); 2018. </w:t>
      </w:r>
      <w:hyperlink r:id="rId9">
        <w:r>
          <w:rPr>
            <w:rStyle w:val="ac"/>
          </w:rPr>
          <w:t>http://www.kiri.or.kr/pdf/</w:t>
        </w:r>
        <w:r>
          <w:rPr>
            <w:rStyle w:val="ac"/>
          </w:rPr>
          <w:t>전문자료</w:t>
        </w:r>
        <w:r>
          <w:rPr>
            <w:rStyle w:val="ac"/>
          </w:rPr>
          <w:t>/KI</w:t>
        </w:r>
        <w:r>
          <w:rPr>
            <w:rStyle w:val="ac"/>
          </w:rPr>
          <w:t>RI_20181005_93447.pdf</w:t>
        </w:r>
      </w:hyperlink>
    </w:p>
    <w:p w14:paraId="53DF5913" w14:textId="77777777" w:rsidR="00592F45" w:rsidRDefault="00A12F32">
      <w:pPr>
        <w:pStyle w:val="a7"/>
      </w:pPr>
      <w:bookmarkStart w:id="12" w:name="ref-Vazirani2020"/>
      <w:bookmarkEnd w:id="11"/>
      <w:r>
        <w:t xml:space="preserve">5. </w:t>
      </w:r>
      <w:r>
        <w:tab/>
        <w:t xml:space="preserve">Vazirani AA, O’Donoghue O, Brindley D, Meinert E. Blockchain vehicles for efficient medical record management. </w:t>
      </w:r>
      <w:r>
        <w:rPr>
          <w:i/>
          <w:iCs/>
        </w:rPr>
        <w:t>npj Digital Medicine</w:t>
      </w:r>
      <w:r>
        <w:t>. 2020;3(1). doi:</w:t>
      </w:r>
      <w:hyperlink r:id="rId10">
        <w:r>
          <w:rPr>
            <w:rStyle w:val="ac"/>
          </w:rPr>
          <w:t>10.1038/s41746-019-02</w:t>
        </w:r>
        <w:r>
          <w:rPr>
            <w:rStyle w:val="ac"/>
          </w:rPr>
          <w:t>11-0</w:t>
        </w:r>
      </w:hyperlink>
    </w:p>
    <w:p w14:paraId="3A69208B" w14:textId="77777777" w:rsidR="00592F45" w:rsidRDefault="00A12F32">
      <w:pPr>
        <w:pStyle w:val="a7"/>
      </w:pPr>
      <w:bookmarkStart w:id="13" w:name="Xd5d4cbb864080cc76461ffc00b971b72f7bdd2e"/>
      <w:bookmarkEnd w:id="12"/>
      <w:r>
        <w:t xml:space="preserve">6. </w:t>
      </w:r>
      <w:r>
        <w:tab/>
        <w:t xml:space="preserve">Office of the National Coordinator for Health Information Technology, Services USD of H, Human. </w:t>
      </w:r>
      <w:r>
        <w:rPr>
          <w:i/>
          <w:iCs/>
        </w:rPr>
        <w:t>Blockchain and Health IT: Algorithms, Privacy, and Data</w:t>
      </w:r>
      <w:r>
        <w:t xml:space="preserve">.; 2016. </w:t>
      </w:r>
      <w:hyperlink r:id="rId11">
        <w:r>
          <w:rPr>
            <w:rStyle w:val="ac"/>
          </w:rPr>
          <w:t>https://www.healthit.gov/sites/default/files/1-78-blockchainandhealthitalgorithmsprivacydata_whitepaper.pdf</w:t>
        </w:r>
      </w:hyperlink>
    </w:p>
    <w:p w14:paraId="6E124AE3" w14:textId="77777777" w:rsidR="00592F45" w:rsidRDefault="00A12F32">
      <w:pPr>
        <w:pStyle w:val="a7"/>
      </w:pPr>
      <w:bookmarkStart w:id="14" w:name="ref-azaria2016medrec"/>
      <w:bookmarkEnd w:id="13"/>
      <w:r>
        <w:lastRenderedPageBreak/>
        <w:t xml:space="preserve">7. </w:t>
      </w:r>
      <w:r>
        <w:tab/>
        <w:t>Azaria A, Ekblaw A, Vieira T, Lippman A. Medrec: Using blockchain for medical data access and permission</w:t>
      </w:r>
      <w:r>
        <w:t xml:space="preserve"> management. In: </w:t>
      </w:r>
      <w:r>
        <w:rPr>
          <w:i/>
          <w:iCs/>
        </w:rPr>
        <w:t>2016 2nd International Conference on Open and Big Data (OBD)</w:t>
      </w:r>
      <w:r>
        <w:t>. IEEE; 2016:25-30.</w:t>
      </w:r>
    </w:p>
    <w:p w14:paraId="4ECFD0DD" w14:textId="77777777" w:rsidR="00592F45" w:rsidRDefault="00A12F32">
      <w:pPr>
        <w:pStyle w:val="a7"/>
      </w:pPr>
      <w:bookmarkStart w:id="15" w:name="ref-Zhang2018"/>
      <w:bookmarkEnd w:id="14"/>
      <w:r>
        <w:t xml:space="preserve">8. </w:t>
      </w:r>
      <w:r>
        <w:tab/>
        <w:t xml:space="preserve">Zhang P, White J, Schmidt DC, Lenz G, Rosenbloom ST. FHIRChain: Applying blockchain to securely and scalably share clinical data. </w:t>
      </w:r>
      <w:r>
        <w:rPr>
          <w:i/>
          <w:iCs/>
        </w:rPr>
        <w:t>Computational and Structu</w:t>
      </w:r>
      <w:r>
        <w:rPr>
          <w:i/>
          <w:iCs/>
        </w:rPr>
        <w:t>ral Biotechnology Journal</w:t>
      </w:r>
      <w:r>
        <w:t>. 2018;16:267-278. doi:</w:t>
      </w:r>
      <w:hyperlink r:id="rId12">
        <w:r>
          <w:rPr>
            <w:rStyle w:val="ac"/>
          </w:rPr>
          <w:t>10.1016/j.csbj.2018.07.004</w:t>
        </w:r>
      </w:hyperlink>
    </w:p>
    <w:p w14:paraId="158C856E" w14:textId="77777777" w:rsidR="00592F45" w:rsidRDefault="00A12F32">
      <w:pPr>
        <w:pStyle w:val="a7"/>
      </w:pPr>
      <w:bookmarkStart w:id="16" w:name="ref-Roehrs2019"/>
      <w:bookmarkEnd w:id="15"/>
      <w:r>
        <w:t xml:space="preserve">9. </w:t>
      </w:r>
      <w:r>
        <w:tab/>
      </w:r>
      <w:r>
        <w:t>Roehrs A, Costa CA da, da Rosa Righi R, Silva VF da, Goldim JR, Schmidt DC. Analyzing the performance of a blockchain-based personal health record implementation. 2019;92:103140. doi:</w:t>
      </w:r>
      <w:hyperlink r:id="rId13">
        <w:r>
          <w:rPr>
            <w:rStyle w:val="ac"/>
          </w:rPr>
          <w:t>10.1016/j.jb</w:t>
        </w:r>
        <w:r>
          <w:rPr>
            <w:rStyle w:val="ac"/>
          </w:rPr>
          <w:t>i.2019.103140</w:t>
        </w:r>
      </w:hyperlink>
    </w:p>
    <w:p w14:paraId="4AE789F4" w14:textId="77777777" w:rsidR="00592F45" w:rsidRDefault="00A12F32">
      <w:pPr>
        <w:pStyle w:val="a7"/>
      </w:pPr>
      <w:bookmarkStart w:id="17" w:name="ref-Roehrs2017"/>
      <w:bookmarkEnd w:id="16"/>
      <w:r>
        <w:t xml:space="preserve">10. </w:t>
      </w:r>
      <w:r>
        <w:tab/>
        <w:t xml:space="preserve">Roehrs A, Costa CA da, da Rosa Righi R. OmniPHR: A distributed architecture model to integrate personal health records. 2017;71:70-81. </w:t>
      </w:r>
      <w:proofErr w:type="spellStart"/>
      <w:r>
        <w:t>doi:</w:t>
      </w:r>
      <w:hyperlink r:id="rId14">
        <w:r>
          <w:rPr>
            <w:rStyle w:val="ac"/>
          </w:rPr>
          <w:t>https</w:t>
        </w:r>
        <w:proofErr w:type="spellEnd"/>
        <w:r>
          <w:rPr>
            <w:rStyle w:val="ac"/>
          </w:rPr>
          <w:t>://doi.org/10.1016/j.jbi.2017.05</w:t>
        </w:r>
        <w:r>
          <w:rPr>
            <w:rStyle w:val="ac"/>
          </w:rPr>
          <w:t>.012</w:t>
        </w:r>
      </w:hyperlink>
    </w:p>
    <w:p w14:paraId="2FA429F0" w14:textId="77777777" w:rsidR="00592F45" w:rsidRDefault="00A12F32">
      <w:pPr>
        <w:pStyle w:val="a7"/>
      </w:pPr>
      <w:bookmarkStart w:id="18" w:name="ref-Sung2020"/>
      <w:bookmarkEnd w:id="17"/>
      <w:r>
        <w:t xml:space="preserve">11. </w:t>
      </w:r>
      <w:r>
        <w:tab/>
        <w:t xml:space="preserve">Sung M, Park S, Jung S, Lee E, Lee J, Park YR. Developing a mobile app for monitoring medical record changes using blockchain: Development and usability study. </w:t>
      </w:r>
      <w:r>
        <w:rPr>
          <w:i/>
          <w:iCs/>
        </w:rPr>
        <w:t>Journal of Medical Internet Research</w:t>
      </w:r>
      <w:r>
        <w:t>. 2020;22(8):e19657. doi:</w:t>
      </w:r>
      <w:hyperlink r:id="rId15">
        <w:r>
          <w:rPr>
            <w:rStyle w:val="ac"/>
          </w:rPr>
          <w:t>10.2196/19657</w:t>
        </w:r>
      </w:hyperlink>
    </w:p>
    <w:p w14:paraId="47E99CED" w14:textId="77777777" w:rsidR="00592F45" w:rsidRDefault="00A12F32">
      <w:pPr>
        <w:pStyle w:val="a7"/>
      </w:pPr>
      <w:bookmarkStart w:id="19" w:name="ref-Wong2019"/>
      <w:bookmarkEnd w:id="18"/>
      <w:r>
        <w:t xml:space="preserve">12. </w:t>
      </w:r>
      <w:r>
        <w:tab/>
        <w:t xml:space="preserve">Wong DR, Bhattacharya S, Butte AJ. Prototype of running clinical trials in an untrustworthy environment using blockchain. </w:t>
      </w:r>
      <w:r>
        <w:rPr>
          <w:i/>
          <w:iCs/>
        </w:rPr>
        <w:t>Nature Communications</w:t>
      </w:r>
      <w:r>
        <w:t>. 2019;10(1). doi:</w:t>
      </w:r>
      <w:hyperlink r:id="rId16">
        <w:r>
          <w:rPr>
            <w:rStyle w:val="ac"/>
          </w:rPr>
          <w:t>10.1038/s41467-019-08874-y</w:t>
        </w:r>
      </w:hyperlink>
    </w:p>
    <w:p w14:paraId="68360789" w14:textId="77777777" w:rsidR="00592F45" w:rsidRDefault="00A12F32">
      <w:pPr>
        <w:pStyle w:val="a7"/>
      </w:pPr>
      <w:bookmarkStart w:id="20" w:name="ref-Roriz2019"/>
      <w:bookmarkEnd w:id="19"/>
      <w:r>
        <w:t xml:space="preserve">13. </w:t>
      </w:r>
      <w:r>
        <w:tab/>
        <w:t xml:space="preserve">Roriz R, Pereira JL. Avoiding insurance fraud: A blockchain-based solution for the vehicle sector. </w:t>
      </w:r>
      <w:r>
        <w:rPr>
          <w:i/>
          <w:iCs/>
        </w:rPr>
        <w:t>Procedia Computer Science</w:t>
      </w:r>
      <w:r>
        <w:t>. 2019;164:211-218. doi:</w:t>
      </w:r>
      <w:hyperlink r:id="rId17">
        <w:r>
          <w:rPr>
            <w:rStyle w:val="ac"/>
          </w:rPr>
          <w:t>10.</w:t>
        </w:r>
        <w:r>
          <w:rPr>
            <w:rStyle w:val="ac"/>
          </w:rPr>
          <w:t>1016/j.procs.2019.12.174</w:t>
        </w:r>
      </w:hyperlink>
    </w:p>
    <w:p w14:paraId="7BCC11FF" w14:textId="77777777" w:rsidR="00592F45" w:rsidRDefault="00A12F32">
      <w:pPr>
        <w:pStyle w:val="a7"/>
      </w:pPr>
      <w:bookmarkStart w:id="21" w:name="ref-Zhou2018"/>
      <w:bookmarkEnd w:id="20"/>
      <w:r>
        <w:t xml:space="preserve">14. </w:t>
      </w:r>
      <w:r>
        <w:tab/>
        <w:t xml:space="preserve">Zhou L, Wang L, Sun Y. MIStore: A blockchain-based medical insurance storage system. </w:t>
      </w:r>
      <w:r>
        <w:rPr>
          <w:i/>
          <w:iCs/>
        </w:rPr>
        <w:t>Journal of Medical Systems</w:t>
      </w:r>
      <w:r>
        <w:t>. 2018;42(8). doi:</w:t>
      </w:r>
      <w:hyperlink r:id="rId18">
        <w:r>
          <w:rPr>
            <w:rStyle w:val="ac"/>
          </w:rPr>
          <w:t>10.1007/s10916-018-0996-4</w:t>
        </w:r>
      </w:hyperlink>
    </w:p>
    <w:p w14:paraId="5EDB4DCF" w14:textId="77777777" w:rsidR="00592F45" w:rsidRDefault="00A12F32">
      <w:pPr>
        <w:pStyle w:val="a7"/>
      </w:pPr>
      <w:bookmarkStart w:id="22" w:name="ref-Viaene2004"/>
      <w:bookmarkEnd w:id="21"/>
      <w:r>
        <w:lastRenderedPageBreak/>
        <w:t xml:space="preserve">15. </w:t>
      </w:r>
      <w:r>
        <w:tab/>
        <w:t>Viaen</w:t>
      </w:r>
      <w:r>
        <w:t xml:space="preserve">e S, Dedene G. Insurance Fraud: Issues and Challenges. </w:t>
      </w:r>
      <w:r>
        <w:rPr>
          <w:i/>
          <w:iCs/>
        </w:rPr>
        <w:t>Geneva Papers on Risk and Insurance: Issues and Practice</w:t>
      </w:r>
      <w:r>
        <w:t>. 2004;29(2):313-333. doi:</w:t>
      </w:r>
      <w:hyperlink r:id="rId19">
        <w:r>
          <w:rPr>
            <w:rStyle w:val="ac"/>
          </w:rPr>
          <w:t>10.1111/j.1468-0440.</w:t>
        </w:r>
        <w:proofErr w:type="gramStart"/>
        <w:r>
          <w:rPr>
            <w:rStyle w:val="ac"/>
          </w:rPr>
          <w:t>2004.00290.x</w:t>
        </w:r>
        <w:proofErr w:type="gramEnd"/>
      </w:hyperlink>
    </w:p>
    <w:p w14:paraId="1E44E6E0" w14:textId="77777777" w:rsidR="00592F45" w:rsidRDefault="00A12F32">
      <w:pPr>
        <w:pStyle w:val="a7"/>
      </w:pPr>
      <w:bookmarkStart w:id="23" w:name="ref-Park2019"/>
      <w:bookmarkEnd w:id="22"/>
      <w:r>
        <w:t xml:space="preserve">16. </w:t>
      </w:r>
      <w:r>
        <w:tab/>
        <w:t>Park D, Ryu D</w:t>
      </w:r>
      <w:r>
        <w:t xml:space="preserve">. Blockchain in health insurance: Sharing medical information and preventing insurance fraud. </w:t>
      </w:r>
      <w:r>
        <w:rPr>
          <w:i/>
          <w:iCs/>
        </w:rPr>
        <w:t>Korean Journal of Financial Studies</w:t>
      </w:r>
      <w:r>
        <w:t>. 2019;48(4):417-447. doi:</w:t>
      </w:r>
      <w:hyperlink r:id="rId20">
        <w:r>
          <w:rPr>
            <w:rStyle w:val="ac"/>
          </w:rPr>
          <w:t>10.26845/kjfs.2019.08.48.4.417</w:t>
        </w:r>
      </w:hyperlink>
    </w:p>
    <w:p w14:paraId="5459EFB2" w14:textId="77777777" w:rsidR="00592F45" w:rsidRDefault="00A12F32">
      <w:pPr>
        <w:pStyle w:val="a7"/>
      </w:pPr>
      <w:bookmarkStart w:id="24" w:name="ref-Anthony2020"/>
      <w:bookmarkEnd w:id="23"/>
      <w:r>
        <w:t xml:space="preserve">17. </w:t>
      </w:r>
      <w:r>
        <w:tab/>
        <w:t xml:space="preserve">Anthony ES. The Cures Act Final Rule: Interoperability-Focused Policies that Empower Patients and Support Providers. Published online 2020. Accessed May 6, 2021. </w:t>
      </w:r>
      <w:hyperlink r:id="rId21">
        <w:r>
          <w:rPr>
            <w:rStyle w:val="ac"/>
          </w:rPr>
          <w:t>https://www.healthit.gov/buzz-blog/21st-century-cures-act/the-cures-final-rule</w:t>
        </w:r>
      </w:hyperlink>
    </w:p>
    <w:p w14:paraId="194D7514" w14:textId="77777777" w:rsidR="00592F45" w:rsidRDefault="00A12F32">
      <w:pPr>
        <w:pStyle w:val="a7"/>
      </w:pPr>
      <w:bookmarkStart w:id="25" w:name="ref-EuropeanPatientsForum2017"/>
      <w:bookmarkEnd w:id="24"/>
      <w:r>
        <w:t xml:space="preserve">18. </w:t>
      </w:r>
      <w:r>
        <w:tab/>
        <w:t xml:space="preserve">European Patients Forum. </w:t>
      </w:r>
      <w:r>
        <w:rPr>
          <w:i/>
          <w:iCs/>
        </w:rPr>
        <w:t>Toolkit for Patient Organisations on Patient Empowerment</w:t>
      </w:r>
      <w:r>
        <w:t xml:space="preserve">.; 2017. </w:t>
      </w:r>
      <w:hyperlink r:id="rId22">
        <w:r>
          <w:rPr>
            <w:rStyle w:val="ac"/>
          </w:rPr>
          <w:t>https://www.eu-patient.eu/globalassets/library/publications/patient-empowerment---toolkit.pdf</w:t>
        </w:r>
      </w:hyperlink>
    </w:p>
    <w:p w14:paraId="4B914BF1" w14:textId="77777777" w:rsidR="00592F45" w:rsidRDefault="00A12F32">
      <w:pPr>
        <w:pStyle w:val="a7"/>
      </w:pPr>
      <w:bookmarkStart w:id="26" w:name="X6471ae6fbbeed6eb6724c1ad531730143eb84b4"/>
      <w:bookmarkEnd w:id="25"/>
      <w:r>
        <w:t xml:space="preserve">19. </w:t>
      </w:r>
      <w:r>
        <w:tab/>
        <w:t>The Centers for Medicare and Medicaid Services</w:t>
      </w:r>
      <w:r>
        <w:t>. Electronic Submission of Medical Documentation (esMD).</w:t>
      </w:r>
    </w:p>
    <w:p w14:paraId="201B47ED" w14:textId="77777777" w:rsidR="00592F45" w:rsidRDefault="00A12F32">
      <w:pPr>
        <w:pStyle w:val="a7"/>
      </w:pPr>
      <w:bookmarkStart w:id="27" w:name="ref-Nicholas2020"/>
      <w:bookmarkEnd w:id="26"/>
      <w:r>
        <w:t xml:space="preserve">20. </w:t>
      </w:r>
      <w:r>
        <w:tab/>
        <w:t xml:space="preserve">Nicholas LH, Hanson C, Segal JB, Eisenberg MD. Association between treatment by fraud and abuse perpetrators and health outcomes among medicare beneficiaries. </w:t>
      </w:r>
      <w:r>
        <w:rPr>
          <w:i/>
          <w:iCs/>
        </w:rPr>
        <w:t>JAMA Internal Medicine</w:t>
      </w:r>
      <w:r>
        <w:t>. 2020;180(1)</w:t>
      </w:r>
      <w:r>
        <w:t>:62. doi:</w:t>
      </w:r>
      <w:hyperlink r:id="rId23">
        <w:r>
          <w:rPr>
            <w:rStyle w:val="ac"/>
          </w:rPr>
          <w:t>10.1001/jamainternmed.2019.4771</w:t>
        </w:r>
      </w:hyperlink>
    </w:p>
    <w:bookmarkEnd w:id="8"/>
    <w:bookmarkEnd w:id="27"/>
    <w:p w14:paraId="51A30DBD" w14:textId="77777777" w:rsidR="00592F45" w:rsidRDefault="00A12F32">
      <w:r>
        <w:br w:type="page"/>
      </w:r>
    </w:p>
    <w:p w14:paraId="7752DFCD" w14:textId="77777777" w:rsidR="00592F45" w:rsidRDefault="00A12F32">
      <w:pPr>
        <w:pStyle w:val="Figure"/>
        <w:jc w:val="center"/>
      </w:pPr>
      <w:r>
        <w:rPr>
          <w:noProof/>
        </w:rPr>
        <w:lastRenderedPageBreak/>
        <w:drawing>
          <wp:inline distT="0" distB="0" distL="0" distR="0" wp14:anchorId="4BE53CCA" wp14:editId="3459EC46">
            <wp:extent cx="4572000" cy="3657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4"/>
                    <a:srcRect/>
                    <a:stretch>
                      <a:fillRect/>
                    </a:stretch>
                  </pic:blipFill>
                  <pic:spPr bwMode="auto">
                    <a:xfrm>
                      <a:off x="0" y="0"/>
                      <a:ext cx="63500" cy="50800"/>
                    </a:xfrm>
                    <a:prstGeom prst="rect">
                      <a:avLst/>
                    </a:prstGeom>
                    <a:noFill/>
                  </pic:spPr>
                </pic:pic>
              </a:graphicData>
            </a:graphic>
          </wp:inline>
        </w:drawing>
      </w:r>
    </w:p>
    <w:p w14:paraId="4160BB00" w14:textId="77777777" w:rsidR="00592F45" w:rsidRDefault="00A12F32">
      <w:pPr>
        <w:pStyle w:val="ImageCaption"/>
      </w:pPr>
      <w:r>
        <w:t xml:space="preserve">Figure </w:t>
      </w:r>
      <w:bookmarkStart w:id="28" w:name="figureService"/>
      <w:r>
        <w:fldChar w:fldCharType="begin"/>
      </w:r>
      <w:r>
        <w:instrText>SEQ fig \* Arabic</w:instrText>
      </w:r>
      <w:r w:rsidR="00335CF8">
        <w:fldChar w:fldCharType="separate"/>
      </w:r>
      <w:r w:rsidR="00335CF8">
        <w:rPr>
          <w:noProof/>
        </w:rPr>
        <w:t>1</w:t>
      </w:r>
      <w:r>
        <w:fldChar w:fldCharType="end"/>
      </w:r>
      <w:bookmarkEnd w:id="28"/>
      <w:r>
        <w:t>: The Service Model architecture of the system</w:t>
      </w:r>
    </w:p>
    <w:p w14:paraId="36F2CED6" w14:textId="77777777" w:rsidR="00592F45" w:rsidRDefault="00A12F32">
      <w:r>
        <w:br w:type="page"/>
      </w:r>
    </w:p>
    <w:p w14:paraId="1BF5A76F" w14:textId="77777777" w:rsidR="00592F45" w:rsidRDefault="00A12F32">
      <w:pPr>
        <w:pStyle w:val="Figure"/>
        <w:jc w:val="center"/>
      </w:pPr>
      <w:r>
        <w:rPr>
          <w:noProof/>
        </w:rPr>
        <w:lastRenderedPageBreak/>
        <w:drawing>
          <wp:inline distT="0" distB="0" distL="0" distR="0" wp14:anchorId="78C9F991" wp14:editId="77781C18">
            <wp:extent cx="4572000" cy="36576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5"/>
                    <a:srcRect/>
                    <a:stretch>
                      <a:fillRect/>
                    </a:stretch>
                  </pic:blipFill>
                  <pic:spPr bwMode="auto">
                    <a:xfrm>
                      <a:off x="0" y="0"/>
                      <a:ext cx="63500" cy="50800"/>
                    </a:xfrm>
                    <a:prstGeom prst="rect">
                      <a:avLst/>
                    </a:prstGeom>
                    <a:noFill/>
                  </pic:spPr>
                </pic:pic>
              </a:graphicData>
            </a:graphic>
          </wp:inline>
        </w:drawing>
      </w:r>
    </w:p>
    <w:p w14:paraId="3A250FF0" w14:textId="77777777" w:rsidR="00592F45" w:rsidRDefault="00A12F32">
      <w:pPr>
        <w:pStyle w:val="ImageCaption"/>
      </w:pPr>
      <w:r>
        <w:t xml:space="preserve">Figure </w:t>
      </w:r>
      <w:bookmarkStart w:id="29" w:name="figureSurveyGroupByClaim"/>
      <w:r>
        <w:fldChar w:fldCharType="begin"/>
      </w:r>
      <w:r>
        <w:instrText>SEQ fig \* Arabic</w:instrText>
      </w:r>
      <w:r w:rsidR="00335CF8">
        <w:fldChar w:fldCharType="separate"/>
      </w:r>
      <w:r w:rsidR="00335CF8">
        <w:rPr>
          <w:noProof/>
        </w:rPr>
        <w:t>2</w:t>
      </w:r>
      <w:r>
        <w:fldChar w:fldCharType="end"/>
      </w:r>
      <w:bookmarkEnd w:id="29"/>
      <w:r>
        <w:t xml:space="preserve">: </w:t>
      </w:r>
      <w:r>
        <w:t>The PSSUQ scores grouped by the insurance claim status</w:t>
      </w:r>
    </w:p>
    <w:p w14:paraId="3AE13005" w14:textId="77777777" w:rsidR="00592F45" w:rsidRDefault="00A12F32">
      <w:r>
        <w:br w:type="page"/>
      </w:r>
    </w:p>
    <w:p w14:paraId="6BFC14BE" w14:textId="77777777" w:rsidR="00592F45" w:rsidRDefault="00A12F32">
      <w:pPr>
        <w:pStyle w:val="TableCaption"/>
      </w:pPr>
      <w:r>
        <w:lastRenderedPageBreak/>
        <w:t xml:space="preserve">Table </w:t>
      </w:r>
      <w:bookmarkStart w:id="30" w:name="demographicTable"/>
      <w:r>
        <w:fldChar w:fldCharType="begin"/>
      </w:r>
      <w:r>
        <w:instrText>SEQ tab \* Arabic</w:instrText>
      </w:r>
      <w:r w:rsidR="00335CF8">
        <w:fldChar w:fldCharType="separate"/>
      </w:r>
      <w:r w:rsidR="00335CF8">
        <w:rPr>
          <w:noProof/>
        </w:rPr>
        <w:t>1</w:t>
      </w:r>
      <w:r>
        <w:fldChar w:fldCharType="end"/>
      </w:r>
      <w:bookmarkEnd w:id="30"/>
      <w:r>
        <w:t>: The Demographic of the patient enrolled in the survey study</w:t>
      </w:r>
    </w:p>
    <w:tbl>
      <w:tblPr>
        <w:tblW w:w="0" w:type="auto"/>
        <w:jc w:val="center"/>
        <w:tblLayout w:type="fixed"/>
        <w:tblLook w:val="0420" w:firstRow="1" w:lastRow="0" w:firstColumn="0" w:lastColumn="0" w:noHBand="0" w:noVBand="1"/>
      </w:tblPr>
      <w:tblGrid>
        <w:gridCol w:w="2599"/>
        <w:gridCol w:w="1413"/>
        <w:gridCol w:w="1413"/>
        <w:gridCol w:w="1425"/>
        <w:gridCol w:w="961"/>
      </w:tblGrid>
      <w:tr w:rsidR="00592F45" w14:paraId="755E1307" w14:textId="77777777">
        <w:trPr>
          <w:cantSplit/>
          <w:tblHeader/>
          <w:jc w:val="center"/>
        </w:trPr>
        <w:tc>
          <w:tcPr>
            <w:tcW w:w="25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B4B090" w14:textId="77777777" w:rsidR="00592F45" w:rsidRDefault="00A12F32">
            <w:pPr>
              <w:spacing w:before="100" w:after="100" w:line="240" w:lineRule="auto"/>
              <w:ind w:left="100" w:right="100"/>
            </w:pPr>
            <w:r>
              <w:rPr>
                <w:rFonts w:ascii="Arial" w:eastAsia="Arial" w:hAnsi="Arial" w:cs="Arial"/>
                <w:color w:val="000000"/>
                <w:sz w:val="22"/>
                <w:szCs w:val="22"/>
              </w:rPr>
              <w:t xml:space="preserve"> </w:t>
            </w:r>
          </w:p>
        </w:tc>
        <w:tc>
          <w:tcPr>
            <w:tcW w:w="14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E661BF" w14:textId="77777777" w:rsidR="00592F45" w:rsidRDefault="00A12F32">
            <w:pPr>
              <w:spacing w:before="100" w:after="100" w:line="240" w:lineRule="auto"/>
              <w:ind w:left="100" w:right="100"/>
            </w:pPr>
            <w:r>
              <w:rPr>
                <w:rFonts w:ascii="Arial" w:eastAsia="Arial" w:hAnsi="Arial" w:cs="Arial"/>
                <w:color w:val="000000"/>
                <w:sz w:val="22"/>
                <w:szCs w:val="22"/>
              </w:rPr>
              <w:t>Hospital A</w:t>
            </w:r>
          </w:p>
        </w:tc>
        <w:tc>
          <w:tcPr>
            <w:tcW w:w="14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40C9A3" w14:textId="77777777" w:rsidR="00592F45" w:rsidRDefault="00A12F32">
            <w:pPr>
              <w:spacing w:before="100" w:after="100" w:line="240" w:lineRule="auto"/>
              <w:ind w:left="100" w:right="100"/>
            </w:pPr>
            <w:r>
              <w:rPr>
                <w:rFonts w:ascii="Arial" w:eastAsia="Arial" w:hAnsi="Arial" w:cs="Arial"/>
                <w:color w:val="000000"/>
                <w:sz w:val="22"/>
                <w:szCs w:val="22"/>
              </w:rPr>
              <w:t>Hospital B</w:t>
            </w:r>
          </w:p>
        </w:tc>
        <w:tc>
          <w:tcPr>
            <w:tcW w:w="14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841F66" w14:textId="77777777" w:rsidR="00592F45" w:rsidRDefault="00A12F32">
            <w:pPr>
              <w:spacing w:before="100" w:after="100" w:line="240" w:lineRule="auto"/>
              <w:ind w:left="100" w:right="100"/>
            </w:pPr>
            <w:r>
              <w:rPr>
                <w:rFonts w:ascii="Arial" w:eastAsia="Arial" w:hAnsi="Arial" w:cs="Arial"/>
                <w:color w:val="000000"/>
                <w:sz w:val="22"/>
                <w:szCs w:val="22"/>
              </w:rPr>
              <w:t>Hospital C</w:t>
            </w:r>
          </w:p>
        </w:tc>
        <w:tc>
          <w:tcPr>
            <w:tcW w:w="9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B553D7" w14:textId="77777777" w:rsidR="00592F45" w:rsidRDefault="00A12F32">
            <w:pPr>
              <w:spacing w:before="100" w:after="100" w:line="240" w:lineRule="auto"/>
              <w:ind w:left="100" w:right="100"/>
            </w:pPr>
            <w:r>
              <w:rPr>
                <w:rFonts w:ascii="Arial" w:eastAsia="Arial" w:hAnsi="Arial" w:cs="Arial"/>
                <w:color w:val="000000"/>
                <w:sz w:val="22"/>
                <w:szCs w:val="22"/>
              </w:rPr>
              <w:t>p</w:t>
            </w:r>
          </w:p>
        </w:tc>
      </w:tr>
      <w:tr w:rsidR="00592F45" w14:paraId="57017819" w14:textId="77777777">
        <w:trPr>
          <w:cantSplit/>
          <w:jc w:val="center"/>
        </w:trPr>
        <w:tc>
          <w:tcPr>
            <w:tcW w:w="2599" w:type="dxa"/>
            <w:shd w:val="clear" w:color="auto" w:fill="FFFFFF"/>
            <w:tcMar>
              <w:top w:w="0" w:type="dxa"/>
              <w:left w:w="0" w:type="dxa"/>
              <w:bottom w:w="0" w:type="dxa"/>
              <w:right w:w="0" w:type="dxa"/>
            </w:tcMar>
            <w:vAlign w:val="center"/>
          </w:tcPr>
          <w:p w14:paraId="350CEF07" w14:textId="77777777" w:rsidR="00592F45" w:rsidRDefault="00A12F32">
            <w:pPr>
              <w:spacing w:before="100" w:after="100" w:line="240" w:lineRule="auto"/>
              <w:ind w:left="100" w:right="100"/>
            </w:pPr>
            <w:r>
              <w:rPr>
                <w:rFonts w:ascii="Arial" w:eastAsia="Arial" w:hAnsi="Arial" w:cs="Arial"/>
                <w:color w:val="000000"/>
                <w:sz w:val="22"/>
                <w:szCs w:val="22"/>
              </w:rPr>
              <w:t>N</w:t>
            </w:r>
          </w:p>
        </w:tc>
        <w:tc>
          <w:tcPr>
            <w:tcW w:w="1413" w:type="dxa"/>
            <w:shd w:val="clear" w:color="auto" w:fill="FFFFFF"/>
            <w:tcMar>
              <w:top w:w="0" w:type="dxa"/>
              <w:left w:w="0" w:type="dxa"/>
              <w:bottom w:w="0" w:type="dxa"/>
              <w:right w:w="0" w:type="dxa"/>
            </w:tcMar>
            <w:vAlign w:val="center"/>
          </w:tcPr>
          <w:p w14:paraId="4C3AA035" w14:textId="77777777" w:rsidR="00592F45" w:rsidRDefault="00A12F32">
            <w:pPr>
              <w:spacing w:before="100" w:after="100" w:line="240" w:lineRule="auto"/>
              <w:ind w:left="100" w:right="100"/>
            </w:pPr>
            <w:r>
              <w:rPr>
                <w:rFonts w:ascii="Arial" w:eastAsia="Arial" w:hAnsi="Arial" w:cs="Arial"/>
                <w:color w:val="000000"/>
                <w:sz w:val="22"/>
                <w:szCs w:val="22"/>
              </w:rPr>
              <w:t>100</w:t>
            </w:r>
          </w:p>
        </w:tc>
        <w:tc>
          <w:tcPr>
            <w:tcW w:w="1413" w:type="dxa"/>
            <w:shd w:val="clear" w:color="auto" w:fill="FFFFFF"/>
            <w:tcMar>
              <w:top w:w="0" w:type="dxa"/>
              <w:left w:w="0" w:type="dxa"/>
              <w:bottom w:w="0" w:type="dxa"/>
              <w:right w:w="0" w:type="dxa"/>
            </w:tcMar>
            <w:vAlign w:val="center"/>
          </w:tcPr>
          <w:p w14:paraId="0020E1BB" w14:textId="77777777" w:rsidR="00592F45" w:rsidRDefault="00A12F32">
            <w:pPr>
              <w:spacing w:before="100" w:after="100" w:line="240" w:lineRule="auto"/>
              <w:ind w:left="100" w:right="100"/>
            </w:pPr>
            <w:r>
              <w:rPr>
                <w:rFonts w:ascii="Arial" w:eastAsia="Arial" w:hAnsi="Arial" w:cs="Arial"/>
                <w:color w:val="000000"/>
                <w:sz w:val="22"/>
                <w:szCs w:val="22"/>
              </w:rPr>
              <w:t>100</w:t>
            </w:r>
          </w:p>
        </w:tc>
        <w:tc>
          <w:tcPr>
            <w:tcW w:w="1425" w:type="dxa"/>
            <w:shd w:val="clear" w:color="auto" w:fill="FFFFFF"/>
            <w:tcMar>
              <w:top w:w="0" w:type="dxa"/>
              <w:left w:w="0" w:type="dxa"/>
              <w:bottom w:w="0" w:type="dxa"/>
              <w:right w:w="0" w:type="dxa"/>
            </w:tcMar>
            <w:vAlign w:val="center"/>
          </w:tcPr>
          <w:p w14:paraId="0880798F" w14:textId="77777777" w:rsidR="00592F45" w:rsidRDefault="00A12F32">
            <w:pPr>
              <w:spacing w:before="100" w:after="100" w:line="240" w:lineRule="auto"/>
              <w:ind w:left="100" w:right="100"/>
            </w:pPr>
            <w:r>
              <w:rPr>
                <w:rFonts w:ascii="Arial" w:eastAsia="Arial" w:hAnsi="Arial" w:cs="Arial"/>
                <w:color w:val="000000"/>
                <w:sz w:val="22"/>
                <w:szCs w:val="22"/>
              </w:rPr>
              <w:t>100</w:t>
            </w:r>
          </w:p>
        </w:tc>
        <w:tc>
          <w:tcPr>
            <w:tcW w:w="961" w:type="dxa"/>
            <w:shd w:val="clear" w:color="auto" w:fill="FFFFFF"/>
            <w:tcMar>
              <w:top w:w="0" w:type="dxa"/>
              <w:left w:w="0" w:type="dxa"/>
              <w:bottom w:w="0" w:type="dxa"/>
              <w:right w:w="0" w:type="dxa"/>
            </w:tcMar>
            <w:vAlign w:val="center"/>
          </w:tcPr>
          <w:p w14:paraId="43C42663" w14:textId="77777777" w:rsidR="00592F45" w:rsidRDefault="00592F45">
            <w:pPr>
              <w:spacing w:before="100" w:after="100" w:line="240" w:lineRule="auto"/>
              <w:ind w:left="100" w:right="100"/>
            </w:pPr>
          </w:p>
        </w:tc>
      </w:tr>
      <w:tr w:rsidR="00592F45" w14:paraId="13D004B8" w14:textId="77777777">
        <w:trPr>
          <w:cantSplit/>
          <w:jc w:val="center"/>
        </w:trPr>
        <w:tc>
          <w:tcPr>
            <w:tcW w:w="2599" w:type="dxa"/>
            <w:shd w:val="clear" w:color="auto" w:fill="FFFFFF"/>
            <w:tcMar>
              <w:top w:w="0" w:type="dxa"/>
              <w:left w:w="0" w:type="dxa"/>
              <w:bottom w:w="0" w:type="dxa"/>
              <w:right w:w="0" w:type="dxa"/>
            </w:tcMar>
            <w:vAlign w:val="center"/>
          </w:tcPr>
          <w:p w14:paraId="6E694752" w14:textId="77777777" w:rsidR="00592F45" w:rsidRDefault="00A12F32">
            <w:pPr>
              <w:spacing w:before="100" w:after="100" w:line="240" w:lineRule="auto"/>
              <w:ind w:left="100" w:right="100"/>
            </w:pPr>
            <w:r>
              <w:rPr>
                <w:rFonts w:ascii="Arial" w:eastAsia="Arial" w:hAnsi="Arial" w:cs="Arial"/>
                <w:color w:val="000000"/>
                <w:sz w:val="22"/>
                <w:szCs w:val="22"/>
              </w:rPr>
              <w:t>Female, n(%)</w:t>
            </w:r>
          </w:p>
        </w:tc>
        <w:tc>
          <w:tcPr>
            <w:tcW w:w="1413" w:type="dxa"/>
            <w:shd w:val="clear" w:color="auto" w:fill="FFFFFF"/>
            <w:tcMar>
              <w:top w:w="0" w:type="dxa"/>
              <w:left w:w="0" w:type="dxa"/>
              <w:bottom w:w="0" w:type="dxa"/>
              <w:right w:w="0" w:type="dxa"/>
            </w:tcMar>
            <w:vAlign w:val="center"/>
          </w:tcPr>
          <w:p w14:paraId="57E218BD" w14:textId="77777777" w:rsidR="00592F45" w:rsidRDefault="00A12F32">
            <w:pPr>
              <w:spacing w:before="100" w:after="100" w:line="240" w:lineRule="auto"/>
              <w:ind w:left="100" w:right="100"/>
            </w:pPr>
            <w:r>
              <w:rPr>
                <w:rFonts w:ascii="Arial" w:eastAsia="Arial" w:hAnsi="Arial" w:cs="Arial"/>
                <w:color w:val="000000"/>
                <w:sz w:val="22"/>
                <w:szCs w:val="22"/>
              </w:rPr>
              <w:t>66</w:t>
            </w:r>
          </w:p>
        </w:tc>
        <w:tc>
          <w:tcPr>
            <w:tcW w:w="1413" w:type="dxa"/>
            <w:shd w:val="clear" w:color="auto" w:fill="FFFFFF"/>
            <w:tcMar>
              <w:top w:w="0" w:type="dxa"/>
              <w:left w:w="0" w:type="dxa"/>
              <w:bottom w:w="0" w:type="dxa"/>
              <w:right w:w="0" w:type="dxa"/>
            </w:tcMar>
            <w:vAlign w:val="center"/>
          </w:tcPr>
          <w:p w14:paraId="17DBDF8F" w14:textId="77777777" w:rsidR="00592F45" w:rsidRDefault="00A12F32">
            <w:pPr>
              <w:spacing w:before="100" w:after="100" w:line="240" w:lineRule="auto"/>
              <w:ind w:left="100" w:right="100"/>
            </w:pPr>
            <w:r>
              <w:rPr>
                <w:rFonts w:ascii="Arial" w:eastAsia="Arial" w:hAnsi="Arial" w:cs="Arial"/>
                <w:color w:val="000000"/>
                <w:sz w:val="22"/>
                <w:szCs w:val="22"/>
              </w:rPr>
              <w:t>72</w:t>
            </w:r>
          </w:p>
        </w:tc>
        <w:tc>
          <w:tcPr>
            <w:tcW w:w="1425" w:type="dxa"/>
            <w:shd w:val="clear" w:color="auto" w:fill="FFFFFF"/>
            <w:tcMar>
              <w:top w:w="0" w:type="dxa"/>
              <w:left w:w="0" w:type="dxa"/>
              <w:bottom w:w="0" w:type="dxa"/>
              <w:right w:w="0" w:type="dxa"/>
            </w:tcMar>
            <w:vAlign w:val="center"/>
          </w:tcPr>
          <w:p w14:paraId="691C1CB5" w14:textId="77777777" w:rsidR="00592F45" w:rsidRDefault="00A12F32">
            <w:pPr>
              <w:spacing w:before="100" w:after="100" w:line="240" w:lineRule="auto"/>
              <w:ind w:left="100" w:right="100"/>
            </w:pPr>
            <w:r>
              <w:rPr>
                <w:rFonts w:ascii="Arial" w:eastAsia="Arial" w:hAnsi="Arial" w:cs="Arial"/>
                <w:color w:val="000000"/>
                <w:sz w:val="22"/>
                <w:szCs w:val="22"/>
              </w:rPr>
              <w:t>69</w:t>
            </w:r>
          </w:p>
        </w:tc>
        <w:tc>
          <w:tcPr>
            <w:tcW w:w="961" w:type="dxa"/>
            <w:shd w:val="clear" w:color="auto" w:fill="FFFFFF"/>
            <w:tcMar>
              <w:top w:w="0" w:type="dxa"/>
              <w:left w:w="0" w:type="dxa"/>
              <w:bottom w:w="0" w:type="dxa"/>
              <w:right w:w="0" w:type="dxa"/>
            </w:tcMar>
            <w:vAlign w:val="center"/>
          </w:tcPr>
          <w:p w14:paraId="76862896" w14:textId="77777777" w:rsidR="00592F45" w:rsidRDefault="00A12F32">
            <w:pPr>
              <w:spacing w:before="100" w:after="100" w:line="240" w:lineRule="auto"/>
              <w:ind w:left="100" w:right="100"/>
            </w:pPr>
            <w:r>
              <w:rPr>
                <w:rFonts w:ascii="Arial" w:eastAsia="Arial" w:hAnsi="Arial" w:cs="Arial"/>
                <w:color w:val="000000"/>
                <w:sz w:val="22"/>
                <w:szCs w:val="22"/>
              </w:rPr>
              <w:t>0.657</w:t>
            </w:r>
          </w:p>
        </w:tc>
      </w:tr>
      <w:tr w:rsidR="00592F45" w14:paraId="67CAC11C" w14:textId="77777777">
        <w:trPr>
          <w:cantSplit/>
          <w:jc w:val="center"/>
        </w:trPr>
        <w:tc>
          <w:tcPr>
            <w:tcW w:w="2599" w:type="dxa"/>
            <w:shd w:val="clear" w:color="auto" w:fill="FFFFFF"/>
            <w:tcMar>
              <w:top w:w="0" w:type="dxa"/>
              <w:left w:w="0" w:type="dxa"/>
              <w:bottom w:w="0" w:type="dxa"/>
              <w:right w:w="0" w:type="dxa"/>
            </w:tcMar>
            <w:vAlign w:val="center"/>
          </w:tcPr>
          <w:p w14:paraId="2E51D4FF" w14:textId="77777777" w:rsidR="00592F45" w:rsidRDefault="00A12F32">
            <w:pPr>
              <w:spacing w:before="100" w:after="100" w:line="240" w:lineRule="auto"/>
              <w:ind w:left="100" w:right="100"/>
            </w:pPr>
            <w:r>
              <w:rPr>
                <w:rFonts w:ascii="Arial" w:eastAsia="Arial" w:hAnsi="Arial" w:cs="Arial"/>
                <w:color w:val="000000"/>
                <w:sz w:val="22"/>
                <w:szCs w:val="22"/>
              </w:rPr>
              <w:t>Age range, n(%)</w:t>
            </w:r>
          </w:p>
        </w:tc>
        <w:tc>
          <w:tcPr>
            <w:tcW w:w="1413" w:type="dxa"/>
            <w:shd w:val="clear" w:color="auto" w:fill="FFFFFF"/>
            <w:tcMar>
              <w:top w:w="0" w:type="dxa"/>
              <w:left w:w="0" w:type="dxa"/>
              <w:bottom w:w="0" w:type="dxa"/>
              <w:right w:w="0" w:type="dxa"/>
            </w:tcMar>
            <w:vAlign w:val="center"/>
          </w:tcPr>
          <w:p w14:paraId="1464FF6D" w14:textId="77777777" w:rsidR="00592F45" w:rsidRDefault="00592F45">
            <w:pPr>
              <w:spacing w:before="100" w:after="100" w:line="240" w:lineRule="auto"/>
              <w:ind w:left="100" w:right="100"/>
            </w:pPr>
          </w:p>
        </w:tc>
        <w:tc>
          <w:tcPr>
            <w:tcW w:w="1413" w:type="dxa"/>
            <w:shd w:val="clear" w:color="auto" w:fill="FFFFFF"/>
            <w:tcMar>
              <w:top w:w="0" w:type="dxa"/>
              <w:left w:w="0" w:type="dxa"/>
              <w:bottom w:w="0" w:type="dxa"/>
              <w:right w:w="0" w:type="dxa"/>
            </w:tcMar>
            <w:vAlign w:val="center"/>
          </w:tcPr>
          <w:p w14:paraId="01A7A256" w14:textId="77777777" w:rsidR="00592F45" w:rsidRDefault="00592F45">
            <w:pPr>
              <w:spacing w:before="100" w:after="100" w:line="240" w:lineRule="auto"/>
              <w:ind w:left="100" w:right="100"/>
            </w:pPr>
          </w:p>
        </w:tc>
        <w:tc>
          <w:tcPr>
            <w:tcW w:w="1425" w:type="dxa"/>
            <w:shd w:val="clear" w:color="auto" w:fill="FFFFFF"/>
            <w:tcMar>
              <w:top w:w="0" w:type="dxa"/>
              <w:left w:w="0" w:type="dxa"/>
              <w:bottom w:w="0" w:type="dxa"/>
              <w:right w:w="0" w:type="dxa"/>
            </w:tcMar>
            <w:vAlign w:val="center"/>
          </w:tcPr>
          <w:p w14:paraId="170B7764" w14:textId="77777777" w:rsidR="00592F45" w:rsidRDefault="00592F45">
            <w:pPr>
              <w:spacing w:before="100" w:after="100" w:line="240" w:lineRule="auto"/>
              <w:ind w:left="100" w:right="100"/>
            </w:pPr>
          </w:p>
        </w:tc>
        <w:tc>
          <w:tcPr>
            <w:tcW w:w="961" w:type="dxa"/>
            <w:shd w:val="clear" w:color="auto" w:fill="FFFFFF"/>
            <w:tcMar>
              <w:top w:w="0" w:type="dxa"/>
              <w:left w:w="0" w:type="dxa"/>
              <w:bottom w:w="0" w:type="dxa"/>
              <w:right w:w="0" w:type="dxa"/>
            </w:tcMar>
            <w:vAlign w:val="center"/>
          </w:tcPr>
          <w:p w14:paraId="2DEFE902" w14:textId="77777777" w:rsidR="00592F45" w:rsidRDefault="00A12F32">
            <w:pPr>
              <w:spacing w:before="100" w:after="100" w:line="240" w:lineRule="auto"/>
              <w:ind w:left="100" w:right="100"/>
            </w:pPr>
            <w:r>
              <w:rPr>
                <w:rFonts w:ascii="Arial" w:eastAsia="Arial" w:hAnsi="Arial" w:cs="Arial"/>
                <w:color w:val="000000"/>
                <w:sz w:val="22"/>
                <w:szCs w:val="22"/>
              </w:rPr>
              <w:t>0.001</w:t>
            </w:r>
          </w:p>
        </w:tc>
      </w:tr>
      <w:tr w:rsidR="00592F45" w14:paraId="53DD6F8B" w14:textId="77777777">
        <w:trPr>
          <w:cantSplit/>
          <w:jc w:val="center"/>
        </w:trPr>
        <w:tc>
          <w:tcPr>
            <w:tcW w:w="2599" w:type="dxa"/>
            <w:shd w:val="clear" w:color="auto" w:fill="FFFFFF"/>
            <w:tcMar>
              <w:top w:w="0" w:type="dxa"/>
              <w:left w:w="0" w:type="dxa"/>
              <w:bottom w:w="0" w:type="dxa"/>
              <w:right w:w="0" w:type="dxa"/>
            </w:tcMar>
            <w:vAlign w:val="center"/>
          </w:tcPr>
          <w:p w14:paraId="685F4D63" w14:textId="77777777" w:rsidR="00592F45" w:rsidRDefault="00A12F32">
            <w:pPr>
              <w:spacing w:before="300" w:after="300" w:line="240" w:lineRule="auto"/>
              <w:ind w:left="300" w:right="300"/>
            </w:pPr>
            <w:r>
              <w:rPr>
                <w:rFonts w:ascii="Arial" w:eastAsia="Arial" w:hAnsi="Arial" w:cs="Arial"/>
                <w:color w:val="000000"/>
                <w:sz w:val="22"/>
                <w:szCs w:val="22"/>
              </w:rPr>
              <w:t>20s</w:t>
            </w:r>
          </w:p>
        </w:tc>
        <w:tc>
          <w:tcPr>
            <w:tcW w:w="1413" w:type="dxa"/>
            <w:shd w:val="clear" w:color="auto" w:fill="FFFFFF"/>
            <w:tcMar>
              <w:top w:w="0" w:type="dxa"/>
              <w:left w:w="0" w:type="dxa"/>
              <w:bottom w:w="0" w:type="dxa"/>
              <w:right w:w="0" w:type="dxa"/>
            </w:tcMar>
            <w:vAlign w:val="center"/>
          </w:tcPr>
          <w:p w14:paraId="2B28BB03" w14:textId="77777777" w:rsidR="00592F45" w:rsidRDefault="00A12F32">
            <w:pPr>
              <w:spacing w:before="100" w:after="100" w:line="240" w:lineRule="auto"/>
              <w:ind w:left="100" w:right="100"/>
            </w:pPr>
            <w:r>
              <w:rPr>
                <w:rFonts w:ascii="Arial" w:eastAsia="Arial" w:hAnsi="Arial" w:cs="Arial"/>
                <w:color w:val="000000"/>
                <w:sz w:val="22"/>
                <w:szCs w:val="22"/>
              </w:rPr>
              <w:t>39</w:t>
            </w:r>
          </w:p>
        </w:tc>
        <w:tc>
          <w:tcPr>
            <w:tcW w:w="1413" w:type="dxa"/>
            <w:shd w:val="clear" w:color="auto" w:fill="FFFFFF"/>
            <w:tcMar>
              <w:top w:w="0" w:type="dxa"/>
              <w:left w:w="0" w:type="dxa"/>
              <w:bottom w:w="0" w:type="dxa"/>
              <w:right w:w="0" w:type="dxa"/>
            </w:tcMar>
            <w:vAlign w:val="center"/>
          </w:tcPr>
          <w:p w14:paraId="549B3915" w14:textId="77777777" w:rsidR="00592F45" w:rsidRDefault="00A12F32">
            <w:pPr>
              <w:spacing w:before="100" w:after="100" w:line="240" w:lineRule="auto"/>
              <w:ind w:left="100" w:right="100"/>
            </w:pPr>
            <w:r>
              <w:rPr>
                <w:rFonts w:ascii="Arial" w:eastAsia="Arial" w:hAnsi="Arial" w:cs="Arial"/>
                <w:color w:val="000000"/>
                <w:sz w:val="22"/>
                <w:szCs w:val="22"/>
              </w:rPr>
              <w:t>11</w:t>
            </w:r>
          </w:p>
        </w:tc>
        <w:tc>
          <w:tcPr>
            <w:tcW w:w="1425" w:type="dxa"/>
            <w:shd w:val="clear" w:color="auto" w:fill="FFFFFF"/>
            <w:tcMar>
              <w:top w:w="0" w:type="dxa"/>
              <w:left w:w="0" w:type="dxa"/>
              <w:bottom w:w="0" w:type="dxa"/>
              <w:right w:w="0" w:type="dxa"/>
            </w:tcMar>
            <w:vAlign w:val="center"/>
          </w:tcPr>
          <w:p w14:paraId="61E9B00C" w14:textId="77777777" w:rsidR="00592F45" w:rsidRDefault="00A12F32">
            <w:pPr>
              <w:spacing w:before="100" w:after="100" w:line="240" w:lineRule="auto"/>
              <w:ind w:left="100" w:right="100"/>
            </w:pPr>
            <w:r>
              <w:rPr>
                <w:rFonts w:ascii="Arial" w:eastAsia="Arial" w:hAnsi="Arial" w:cs="Arial"/>
                <w:color w:val="000000"/>
                <w:sz w:val="22"/>
                <w:szCs w:val="22"/>
              </w:rPr>
              <w:t>20</w:t>
            </w:r>
          </w:p>
        </w:tc>
        <w:tc>
          <w:tcPr>
            <w:tcW w:w="961" w:type="dxa"/>
            <w:shd w:val="clear" w:color="auto" w:fill="FFFFFF"/>
            <w:tcMar>
              <w:top w:w="0" w:type="dxa"/>
              <w:left w:w="0" w:type="dxa"/>
              <w:bottom w:w="0" w:type="dxa"/>
              <w:right w:w="0" w:type="dxa"/>
            </w:tcMar>
            <w:vAlign w:val="center"/>
          </w:tcPr>
          <w:p w14:paraId="5D1398E5" w14:textId="77777777" w:rsidR="00592F45" w:rsidRDefault="00592F45">
            <w:pPr>
              <w:spacing w:before="100" w:after="100" w:line="240" w:lineRule="auto"/>
              <w:ind w:left="100" w:right="100"/>
            </w:pPr>
          </w:p>
        </w:tc>
      </w:tr>
      <w:tr w:rsidR="00592F45" w14:paraId="5A998DD2" w14:textId="77777777">
        <w:trPr>
          <w:cantSplit/>
          <w:jc w:val="center"/>
        </w:trPr>
        <w:tc>
          <w:tcPr>
            <w:tcW w:w="2599" w:type="dxa"/>
            <w:shd w:val="clear" w:color="auto" w:fill="FFFFFF"/>
            <w:tcMar>
              <w:top w:w="0" w:type="dxa"/>
              <w:left w:w="0" w:type="dxa"/>
              <w:bottom w:w="0" w:type="dxa"/>
              <w:right w:w="0" w:type="dxa"/>
            </w:tcMar>
            <w:vAlign w:val="center"/>
          </w:tcPr>
          <w:p w14:paraId="710D05FA" w14:textId="77777777" w:rsidR="00592F45" w:rsidRDefault="00A12F32">
            <w:pPr>
              <w:spacing w:before="300" w:after="300" w:line="240" w:lineRule="auto"/>
              <w:ind w:left="300" w:right="300"/>
            </w:pPr>
            <w:r>
              <w:rPr>
                <w:rFonts w:ascii="Arial" w:eastAsia="Arial" w:hAnsi="Arial" w:cs="Arial"/>
                <w:color w:val="000000"/>
                <w:sz w:val="22"/>
                <w:szCs w:val="22"/>
              </w:rPr>
              <w:t>30s</w:t>
            </w:r>
          </w:p>
        </w:tc>
        <w:tc>
          <w:tcPr>
            <w:tcW w:w="1413" w:type="dxa"/>
            <w:shd w:val="clear" w:color="auto" w:fill="FFFFFF"/>
            <w:tcMar>
              <w:top w:w="0" w:type="dxa"/>
              <w:left w:w="0" w:type="dxa"/>
              <w:bottom w:w="0" w:type="dxa"/>
              <w:right w:w="0" w:type="dxa"/>
            </w:tcMar>
            <w:vAlign w:val="center"/>
          </w:tcPr>
          <w:p w14:paraId="1BAB49E6" w14:textId="77777777" w:rsidR="00592F45" w:rsidRDefault="00A12F32">
            <w:pPr>
              <w:spacing w:before="100" w:after="100" w:line="240" w:lineRule="auto"/>
              <w:ind w:left="100" w:right="100"/>
            </w:pPr>
            <w:r>
              <w:rPr>
                <w:rFonts w:ascii="Arial" w:eastAsia="Arial" w:hAnsi="Arial" w:cs="Arial"/>
                <w:color w:val="000000"/>
                <w:sz w:val="22"/>
                <w:szCs w:val="22"/>
              </w:rPr>
              <w:t>28</w:t>
            </w:r>
          </w:p>
        </w:tc>
        <w:tc>
          <w:tcPr>
            <w:tcW w:w="1413" w:type="dxa"/>
            <w:shd w:val="clear" w:color="auto" w:fill="FFFFFF"/>
            <w:tcMar>
              <w:top w:w="0" w:type="dxa"/>
              <w:left w:w="0" w:type="dxa"/>
              <w:bottom w:w="0" w:type="dxa"/>
              <w:right w:w="0" w:type="dxa"/>
            </w:tcMar>
            <w:vAlign w:val="center"/>
          </w:tcPr>
          <w:p w14:paraId="153EBC9F" w14:textId="77777777" w:rsidR="00592F45" w:rsidRDefault="00A12F32">
            <w:pPr>
              <w:spacing w:before="100" w:after="100" w:line="240" w:lineRule="auto"/>
              <w:ind w:left="100" w:right="100"/>
            </w:pPr>
            <w:r>
              <w:rPr>
                <w:rFonts w:ascii="Arial" w:eastAsia="Arial" w:hAnsi="Arial" w:cs="Arial"/>
                <w:color w:val="000000"/>
                <w:sz w:val="22"/>
                <w:szCs w:val="22"/>
              </w:rPr>
              <w:t>41</w:t>
            </w:r>
          </w:p>
        </w:tc>
        <w:tc>
          <w:tcPr>
            <w:tcW w:w="1425" w:type="dxa"/>
            <w:shd w:val="clear" w:color="auto" w:fill="FFFFFF"/>
            <w:tcMar>
              <w:top w:w="0" w:type="dxa"/>
              <w:left w:w="0" w:type="dxa"/>
              <w:bottom w:w="0" w:type="dxa"/>
              <w:right w:w="0" w:type="dxa"/>
            </w:tcMar>
            <w:vAlign w:val="center"/>
          </w:tcPr>
          <w:p w14:paraId="22D6DEDA" w14:textId="77777777" w:rsidR="00592F45" w:rsidRDefault="00A12F32">
            <w:pPr>
              <w:spacing w:before="100" w:after="100" w:line="240" w:lineRule="auto"/>
              <w:ind w:left="100" w:right="100"/>
            </w:pPr>
            <w:r>
              <w:rPr>
                <w:rFonts w:ascii="Arial" w:eastAsia="Arial" w:hAnsi="Arial" w:cs="Arial"/>
                <w:color w:val="000000"/>
                <w:sz w:val="22"/>
                <w:szCs w:val="22"/>
              </w:rPr>
              <w:t>48</w:t>
            </w:r>
          </w:p>
        </w:tc>
        <w:tc>
          <w:tcPr>
            <w:tcW w:w="961" w:type="dxa"/>
            <w:shd w:val="clear" w:color="auto" w:fill="FFFFFF"/>
            <w:tcMar>
              <w:top w:w="0" w:type="dxa"/>
              <w:left w:w="0" w:type="dxa"/>
              <w:bottom w:w="0" w:type="dxa"/>
              <w:right w:w="0" w:type="dxa"/>
            </w:tcMar>
            <w:vAlign w:val="center"/>
          </w:tcPr>
          <w:p w14:paraId="283028CA" w14:textId="77777777" w:rsidR="00592F45" w:rsidRDefault="00592F45">
            <w:pPr>
              <w:spacing w:before="100" w:after="100" w:line="240" w:lineRule="auto"/>
              <w:ind w:left="100" w:right="100"/>
            </w:pPr>
          </w:p>
        </w:tc>
      </w:tr>
      <w:tr w:rsidR="00592F45" w14:paraId="2CD53887" w14:textId="77777777">
        <w:trPr>
          <w:cantSplit/>
          <w:jc w:val="center"/>
        </w:trPr>
        <w:tc>
          <w:tcPr>
            <w:tcW w:w="2599" w:type="dxa"/>
            <w:shd w:val="clear" w:color="auto" w:fill="FFFFFF"/>
            <w:tcMar>
              <w:top w:w="0" w:type="dxa"/>
              <w:left w:w="0" w:type="dxa"/>
              <w:bottom w:w="0" w:type="dxa"/>
              <w:right w:w="0" w:type="dxa"/>
            </w:tcMar>
            <w:vAlign w:val="center"/>
          </w:tcPr>
          <w:p w14:paraId="4FE29338" w14:textId="77777777" w:rsidR="00592F45" w:rsidRDefault="00A12F32">
            <w:pPr>
              <w:spacing w:before="300" w:after="300" w:line="240" w:lineRule="auto"/>
              <w:ind w:left="300" w:right="300"/>
            </w:pPr>
            <w:r>
              <w:rPr>
                <w:rFonts w:ascii="Arial" w:eastAsia="Arial" w:hAnsi="Arial" w:cs="Arial"/>
                <w:color w:val="000000"/>
                <w:sz w:val="22"/>
                <w:szCs w:val="22"/>
              </w:rPr>
              <w:t>40s</w:t>
            </w:r>
          </w:p>
        </w:tc>
        <w:tc>
          <w:tcPr>
            <w:tcW w:w="1413" w:type="dxa"/>
            <w:shd w:val="clear" w:color="auto" w:fill="FFFFFF"/>
            <w:tcMar>
              <w:top w:w="0" w:type="dxa"/>
              <w:left w:w="0" w:type="dxa"/>
              <w:bottom w:w="0" w:type="dxa"/>
              <w:right w:w="0" w:type="dxa"/>
            </w:tcMar>
            <w:vAlign w:val="center"/>
          </w:tcPr>
          <w:p w14:paraId="4236B4B1" w14:textId="77777777" w:rsidR="00592F45" w:rsidRDefault="00A12F32">
            <w:pPr>
              <w:spacing w:before="100" w:after="100" w:line="240" w:lineRule="auto"/>
              <w:ind w:left="100" w:right="100"/>
            </w:pPr>
            <w:r>
              <w:rPr>
                <w:rFonts w:ascii="Arial" w:eastAsia="Arial" w:hAnsi="Arial" w:cs="Arial"/>
                <w:color w:val="000000"/>
                <w:sz w:val="22"/>
                <w:szCs w:val="22"/>
              </w:rPr>
              <w:t>16</w:t>
            </w:r>
          </w:p>
        </w:tc>
        <w:tc>
          <w:tcPr>
            <w:tcW w:w="1413" w:type="dxa"/>
            <w:shd w:val="clear" w:color="auto" w:fill="FFFFFF"/>
            <w:tcMar>
              <w:top w:w="0" w:type="dxa"/>
              <w:left w:w="0" w:type="dxa"/>
              <w:bottom w:w="0" w:type="dxa"/>
              <w:right w:w="0" w:type="dxa"/>
            </w:tcMar>
            <w:vAlign w:val="center"/>
          </w:tcPr>
          <w:p w14:paraId="47BED2FA" w14:textId="77777777" w:rsidR="00592F45" w:rsidRDefault="00A12F32">
            <w:pPr>
              <w:spacing w:before="100" w:after="100" w:line="240" w:lineRule="auto"/>
              <w:ind w:left="100" w:right="100"/>
            </w:pPr>
            <w:r>
              <w:rPr>
                <w:rFonts w:ascii="Arial" w:eastAsia="Arial" w:hAnsi="Arial" w:cs="Arial"/>
                <w:color w:val="000000"/>
                <w:sz w:val="22"/>
                <w:szCs w:val="22"/>
              </w:rPr>
              <w:t>25</w:t>
            </w:r>
          </w:p>
        </w:tc>
        <w:tc>
          <w:tcPr>
            <w:tcW w:w="1425" w:type="dxa"/>
            <w:shd w:val="clear" w:color="auto" w:fill="FFFFFF"/>
            <w:tcMar>
              <w:top w:w="0" w:type="dxa"/>
              <w:left w:w="0" w:type="dxa"/>
              <w:bottom w:w="0" w:type="dxa"/>
              <w:right w:w="0" w:type="dxa"/>
            </w:tcMar>
            <w:vAlign w:val="center"/>
          </w:tcPr>
          <w:p w14:paraId="7EB09124" w14:textId="77777777" w:rsidR="00592F45" w:rsidRDefault="00A12F32">
            <w:pPr>
              <w:spacing w:before="100" w:after="100" w:line="240" w:lineRule="auto"/>
              <w:ind w:left="100" w:right="100"/>
            </w:pPr>
            <w:r>
              <w:rPr>
                <w:rFonts w:ascii="Arial" w:eastAsia="Arial" w:hAnsi="Arial" w:cs="Arial"/>
                <w:color w:val="000000"/>
                <w:sz w:val="22"/>
                <w:szCs w:val="22"/>
              </w:rPr>
              <w:t>14</w:t>
            </w:r>
          </w:p>
        </w:tc>
        <w:tc>
          <w:tcPr>
            <w:tcW w:w="961" w:type="dxa"/>
            <w:shd w:val="clear" w:color="auto" w:fill="FFFFFF"/>
            <w:tcMar>
              <w:top w:w="0" w:type="dxa"/>
              <w:left w:w="0" w:type="dxa"/>
              <w:bottom w:w="0" w:type="dxa"/>
              <w:right w:w="0" w:type="dxa"/>
            </w:tcMar>
            <w:vAlign w:val="center"/>
          </w:tcPr>
          <w:p w14:paraId="56BD077D" w14:textId="77777777" w:rsidR="00592F45" w:rsidRDefault="00592F45">
            <w:pPr>
              <w:spacing w:before="100" w:after="100" w:line="240" w:lineRule="auto"/>
              <w:ind w:left="100" w:right="100"/>
            </w:pPr>
          </w:p>
        </w:tc>
      </w:tr>
      <w:tr w:rsidR="00592F45" w14:paraId="3E5D4069" w14:textId="77777777">
        <w:trPr>
          <w:cantSplit/>
          <w:jc w:val="center"/>
        </w:trPr>
        <w:tc>
          <w:tcPr>
            <w:tcW w:w="2599" w:type="dxa"/>
            <w:shd w:val="clear" w:color="auto" w:fill="FFFFFF"/>
            <w:tcMar>
              <w:top w:w="0" w:type="dxa"/>
              <w:left w:w="0" w:type="dxa"/>
              <w:bottom w:w="0" w:type="dxa"/>
              <w:right w:w="0" w:type="dxa"/>
            </w:tcMar>
            <w:vAlign w:val="center"/>
          </w:tcPr>
          <w:p w14:paraId="0AE65F06" w14:textId="77777777" w:rsidR="00592F45" w:rsidRDefault="00A12F32">
            <w:pPr>
              <w:spacing w:before="300" w:after="300" w:line="240" w:lineRule="auto"/>
              <w:ind w:left="300" w:right="300"/>
            </w:pPr>
            <w:r>
              <w:rPr>
                <w:rFonts w:ascii="Arial" w:eastAsia="Arial" w:hAnsi="Arial" w:cs="Arial"/>
                <w:color w:val="000000"/>
                <w:sz w:val="22"/>
                <w:szCs w:val="22"/>
              </w:rPr>
              <w:t>50s</w:t>
            </w:r>
          </w:p>
        </w:tc>
        <w:tc>
          <w:tcPr>
            <w:tcW w:w="1413" w:type="dxa"/>
            <w:shd w:val="clear" w:color="auto" w:fill="FFFFFF"/>
            <w:tcMar>
              <w:top w:w="0" w:type="dxa"/>
              <w:left w:w="0" w:type="dxa"/>
              <w:bottom w:w="0" w:type="dxa"/>
              <w:right w:w="0" w:type="dxa"/>
            </w:tcMar>
            <w:vAlign w:val="center"/>
          </w:tcPr>
          <w:p w14:paraId="42D823B3" w14:textId="77777777" w:rsidR="00592F45" w:rsidRDefault="00A12F32">
            <w:pPr>
              <w:spacing w:before="100" w:after="100" w:line="240" w:lineRule="auto"/>
              <w:ind w:left="100" w:right="100"/>
            </w:pPr>
            <w:r>
              <w:rPr>
                <w:rFonts w:ascii="Arial" w:eastAsia="Arial" w:hAnsi="Arial" w:cs="Arial"/>
                <w:color w:val="000000"/>
                <w:sz w:val="22"/>
                <w:szCs w:val="22"/>
              </w:rPr>
              <w:t>11</w:t>
            </w:r>
          </w:p>
        </w:tc>
        <w:tc>
          <w:tcPr>
            <w:tcW w:w="1413" w:type="dxa"/>
            <w:shd w:val="clear" w:color="auto" w:fill="FFFFFF"/>
            <w:tcMar>
              <w:top w:w="0" w:type="dxa"/>
              <w:left w:w="0" w:type="dxa"/>
              <w:bottom w:w="0" w:type="dxa"/>
              <w:right w:w="0" w:type="dxa"/>
            </w:tcMar>
            <w:vAlign w:val="center"/>
          </w:tcPr>
          <w:p w14:paraId="78DE5E8B" w14:textId="77777777" w:rsidR="00592F45" w:rsidRDefault="00A12F32">
            <w:pPr>
              <w:spacing w:before="100" w:after="100" w:line="240" w:lineRule="auto"/>
              <w:ind w:left="100" w:right="100"/>
            </w:pPr>
            <w:r>
              <w:rPr>
                <w:rFonts w:ascii="Arial" w:eastAsia="Arial" w:hAnsi="Arial" w:cs="Arial"/>
                <w:color w:val="000000"/>
                <w:sz w:val="22"/>
                <w:szCs w:val="22"/>
              </w:rPr>
              <w:t>14</w:t>
            </w:r>
          </w:p>
        </w:tc>
        <w:tc>
          <w:tcPr>
            <w:tcW w:w="1425" w:type="dxa"/>
            <w:shd w:val="clear" w:color="auto" w:fill="FFFFFF"/>
            <w:tcMar>
              <w:top w:w="0" w:type="dxa"/>
              <w:left w:w="0" w:type="dxa"/>
              <w:bottom w:w="0" w:type="dxa"/>
              <w:right w:w="0" w:type="dxa"/>
            </w:tcMar>
            <w:vAlign w:val="center"/>
          </w:tcPr>
          <w:p w14:paraId="05DDF682" w14:textId="77777777" w:rsidR="00592F45" w:rsidRDefault="00A12F32">
            <w:pPr>
              <w:spacing w:before="100" w:after="100" w:line="240" w:lineRule="auto"/>
              <w:ind w:left="100" w:right="100"/>
            </w:pPr>
            <w:r>
              <w:rPr>
                <w:rFonts w:ascii="Arial" w:eastAsia="Arial" w:hAnsi="Arial" w:cs="Arial"/>
                <w:color w:val="000000"/>
                <w:sz w:val="22"/>
                <w:szCs w:val="22"/>
              </w:rPr>
              <w:t>13</w:t>
            </w:r>
          </w:p>
        </w:tc>
        <w:tc>
          <w:tcPr>
            <w:tcW w:w="961" w:type="dxa"/>
            <w:shd w:val="clear" w:color="auto" w:fill="FFFFFF"/>
            <w:tcMar>
              <w:top w:w="0" w:type="dxa"/>
              <w:left w:w="0" w:type="dxa"/>
              <w:bottom w:w="0" w:type="dxa"/>
              <w:right w:w="0" w:type="dxa"/>
            </w:tcMar>
            <w:vAlign w:val="center"/>
          </w:tcPr>
          <w:p w14:paraId="2F467E05" w14:textId="77777777" w:rsidR="00592F45" w:rsidRDefault="00592F45">
            <w:pPr>
              <w:spacing w:before="100" w:after="100" w:line="240" w:lineRule="auto"/>
              <w:ind w:left="100" w:right="100"/>
            </w:pPr>
          </w:p>
        </w:tc>
      </w:tr>
      <w:tr w:rsidR="00592F45" w14:paraId="3624DF3E" w14:textId="77777777">
        <w:trPr>
          <w:cantSplit/>
          <w:jc w:val="center"/>
        </w:trPr>
        <w:tc>
          <w:tcPr>
            <w:tcW w:w="2599" w:type="dxa"/>
            <w:shd w:val="clear" w:color="auto" w:fill="FFFFFF"/>
            <w:tcMar>
              <w:top w:w="0" w:type="dxa"/>
              <w:left w:w="0" w:type="dxa"/>
              <w:bottom w:w="0" w:type="dxa"/>
              <w:right w:w="0" w:type="dxa"/>
            </w:tcMar>
            <w:vAlign w:val="center"/>
          </w:tcPr>
          <w:p w14:paraId="1A7CD7A2" w14:textId="77777777" w:rsidR="00592F45" w:rsidRDefault="00A12F32">
            <w:pPr>
              <w:spacing w:before="300" w:after="300" w:line="240" w:lineRule="auto"/>
              <w:ind w:left="300" w:right="300"/>
            </w:pPr>
            <w:r>
              <w:rPr>
                <w:rFonts w:ascii="Arial" w:eastAsia="Arial" w:hAnsi="Arial" w:cs="Arial"/>
                <w:color w:val="000000"/>
                <w:sz w:val="22"/>
                <w:szCs w:val="22"/>
              </w:rPr>
              <w:t>60s</w:t>
            </w:r>
          </w:p>
        </w:tc>
        <w:tc>
          <w:tcPr>
            <w:tcW w:w="1413" w:type="dxa"/>
            <w:shd w:val="clear" w:color="auto" w:fill="FFFFFF"/>
            <w:tcMar>
              <w:top w:w="0" w:type="dxa"/>
              <w:left w:w="0" w:type="dxa"/>
              <w:bottom w:w="0" w:type="dxa"/>
              <w:right w:w="0" w:type="dxa"/>
            </w:tcMar>
            <w:vAlign w:val="center"/>
          </w:tcPr>
          <w:p w14:paraId="42693360" w14:textId="77777777" w:rsidR="00592F45" w:rsidRDefault="00A12F32">
            <w:pPr>
              <w:spacing w:before="100" w:after="100" w:line="240" w:lineRule="auto"/>
              <w:ind w:left="100" w:right="100"/>
            </w:pPr>
            <w:r>
              <w:rPr>
                <w:rFonts w:ascii="Arial" w:eastAsia="Arial" w:hAnsi="Arial" w:cs="Arial"/>
                <w:color w:val="000000"/>
                <w:sz w:val="22"/>
                <w:szCs w:val="22"/>
              </w:rPr>
              <w:t>6</w:t>
            </w:r>
          </w:p>
        </w:tc>
        <w:tc>
          <w:tcPr>
            <w:tcW w:w="1413" w:type="dxa"/>
            <w:shd w:val="clear" w:color="auto" w:fill="FFFFFF"/>
            <w:tcMar>
              <w:top w:w="0" w:type="dxa"/>
              <w:left w:w="0" w:type="dxa"/>
              <w:bottom w:w="0" w:type="dxa"/>
              <w:right w:w="0" w:type="dxa"/>
            </w:tcMar>
            <w:vAlign w:val="center"/>
          </w:tcPr>
          <w:p w14:paraId="58E4B554" w14:textId="77777777" w:rsidR="00592F45" w:rsidRDefault="00A12F32">
            <w:pPr>
              <w:spacing w:before="100" w:after="100" w:line="240" w:lineRule="auto"/>
              <w:ind w:left="100" w:right="100"/>
            </w:pPr>
            <w:r>
              <w:rPr>
                <w:rFonts w:ascii="Arial" w:eastAsia="Arial" w:hAnsi="Arial" w:cs="Arial"/>
                <w:color w:val="000000"/>
                <w:sz w:val="22"/>
                <w:szCs w:val="22"/>
              </w:rPr>
              <w:t>7</w:t>
            </w:r>
          </w:p>
        </w:tc>
        <w:tc>
          <w:tcPr>
            <w:tcW w:w="1425" w:type="dxa"/>
            <w:shd w:val="clear" w:color="auto" w:fill="FFFFFF"/>
            <w:tcMar>
              <w:top w:w="0" w:type="dxa"/>
              <w:left w:w="0" w:type="dxa"/>
              <w:bottom w:w="0" w:type="dxa"/>
              <w:right w:w="0" w:type="dxa"/>
            </w:tcMar>
            <w:vAlign w:val="center"/>
          </w:tcPr>
          <w:p w14:paraId="590D2DFB" w14:textId="77777777" w:rsidR="00592F45" w:rsidRDefault="00A12F32">
            <w:pPr>
              <w:spacing w:before="100" w:after="100" w:line="240" w:lineRule="auto"/>
              <w:ind w:left="100" w:right="100"/>
            </w:pPr>
            <w:r>
              <w:rPr>
                <w:rFonts w:ascii="Arial" w:eastAsia="Arial" w:hAnsi="Arial" w:cs="Arial"/>
                <w:color w:val="000000"/>
                <w:sz w:val="22"/>
                <w:szCs w:val="22"/>
              </w:rPr>
              <w:t>3</w:t>
            </w:r>
          </w:p>
        </w:tc>
        <w:tc>
          <w:tcPr>
            <w:tcW w:w="961" w:type="dxa"/>
            <w:shd w:val="clear" w:color="auto" w:fill="FFFFFF"/>
            <w:tcMar>
              <w:top w:w="0" w:type="dxa"/>
              <w:left w:w="0" w:type="dxa"/>
              <w:bottom w:w="0" w:type="dxa"/>
              <w:right w:w="0" w:type="dxa"/>
            </w:tcMar>
            <w:vAlign w:val="center"/>
          </w:tcPr>
          <w:p w14:paraId="69A9E78C" w14:textId="77777777" w:rsidR="00592F45" w:rsidRDefault="00592F45">
            <w:pPr>
              <w:spacing w:before="100" w:after="100" w:line="240" w:lineRule="auto"/>
              <w:ind w:left="100" w:right="100"/>
            </w:pPr>
          </w:p>
        </w:tc>
      </w:tr>
      <w:tr w:rsidR="00592F45" w14:paraId="764A31C0" w14:textId="77777777">
        <w:trPr>
          <w:cantSplit/>
          <w:jc w:val="center"/>
        </w:trPr>
        <w:tc>
          <w:tcPr>
            <w:tcW w:w="2599" w:type="dxa"/>
            <w:shd w:val="clear" w:color="auto" w:fill="FFFFFF"/>
            <w:tcMar>
              <w:top w:w="0" w:type="dxa"/>
              <w:left w:w="0" w:type="dxa"/>
              <w:bottom w:w="0" w:type="dxa"/>
              <w:right w:w="0" w:type="dxa"/>
            </w:tcMar>
            <w:vAlign w:val="center"/>
          </w:tcPr>
          <w:p w14:paraId="3F953141" w14:textId="77777777" w:rsidR="00592F45" w:rsidRDefault="00A12F32">
            <w:pPr>
              <w:spacing w:before="300" w:after="300" w:line="240" w:lineRule="auto"/>
              <w:ind w:left="300" w:right="300"/>
            </w:pPr>
            <w:r>
              <w:rPr>
                <w:rFonts w:ascii="Arial" w:eastAsia="Arial" w:hAnsi="Arial" w:cs="Arial"/>
                <w:color w:val="000000"/>
                <w:sz w:val="22"/>
                <w:szCs w:val="22"/>
              </w:rPr>
              <w:t>70s</w:t>
            </w:r>
          </w:p>
        </w:tc>
        <w:tc>
          <w:tcPr>
            <w:tcW w:w="1413" w:type="dxa"/>
            <w:shd w:val="clear" w:color="auto" w:fill="FFFFFF"/>
            <w:tcMar>
              <w:top w:w="0" w:type="dxa"/>
              <w:left w:w="0" w:type="dxa"/>
              <w:bottom w:w="0" w:type="dxa"/>
              <w:right w:w="0" w:type="dxa"/>
            </w:tcMar>
            <w:vAlign w:val="center"/>
          </w:tcPr>
          <w:p w14:paraId="598F5B62" w14:textId="77777777" w:rsidR="00592F45" w:rsidRDefault="00A12F32">
            <w:pPr>
              <w:spacing w:before="100" w:after="100" w:line="240" w:lineRule="auto"/>
              <w:ind w:left="100" w:right="100"/>
            </w:pPr>
            <w:r>
              <w:rPr>
                <w:rFonts w:ascii="Arial" w:eastAsia="Arial" w:hAnsi="Arial" w:cs="Arial"/>
                <w:color w:val="000000"/>
                <w:sz w:val="22"/>
                <w:szCs w:val="22"/>
              </w:rPr>
              <w:t>0</w:t>
            </w:r>
          </w:p>
        </w:tc>
        <w:tc>
          <w:tcPr>
            <w:tcW w:w="1413" w:type="dxa"/>
            <w:shd w:val="clear" w:color="auto" w:fill="FFFFFF"/>
            <w:tcMar>
              <w:top w:w="0" w:type="dxa"/>
              <w:left w:w="0" w:type="dxa"/>
              <w:bottom w:w="0" w:type="dxa"/>
              <w:right w:w="0" w:type="dxa"/>
            </w:tcMar>
            <w:vAlign w:val="center"/>
          </w:tcPr>
          <w:p w14:paraId="6BB1B775" w14:textId="77777777" w:rsidR="00592F45" w:rsidRDefault="00A12F32">
            <w:pPr>
              <w:spacing w:before="100" w:after="100" w:line="240" w:lineRule="auto"/>
              <w:ind w:left="100" w:right="100"/>
            </w:pPr>
            <w:r>
              <w:rPr>
                <w:rFonts w:ascii="Arial" w:eastAsia="Arial" w:hAnsi="Arial" w:cs="Arial"/>
                <w:color w:val="000000"/>
                <w:sz w:val="22"/>
                <w:szCs w:val="22"/>
              </w:rPr>
              <w:t>2</w:t>
            </w:r>
          </w:p>
        </w:tc>
        <w:tc>
          <w:tcPr>
            <w:tcW w:w="1425" w:type="dxa"/>
            <w:shd w:val="clear" w:color="auto" w:fill="FFFFFF"/>
            <w:tcMar>
              <w:top w:w="0" w:type="dxa"/>
              <w:left w:w="0" w:type="dxa"/>
              <w:bottom w:w="0" w:type="dxa"/>
              <w:right w:w="0" w:type="dxa"/>
            </w:tcMar>
            <w:vAlign w:val="center"/>
          </w:tcPr>
          <w:p w14:paraId="1BD8032F" w14:textId="77777777" w:rsidR="00592F45" w:rsidRDefault="00A12F32">
            <w:pPr>
              <w:spacing w:before="100" w:after="100" w:line="240" w:lineRule="auto"/>
              <w:ind w:left="100" w:right="100"/>
            </w:pPr>
            <w:r>
              <w:rPr>
                <w:rFonts w:ascii="Arial" w:eastAsia="Arial" w:hAnsi="Arial" w:cs="Arial"/>
                <w:color w:val="000000"/>
                <w:sz w:val="22"/>
                <w:szCs w:val="22"/>
              </w:rPr>
              <w:t>2</w:t>
            </w:r>
          </w:p>
        </w:tc>
        <w:tc>
          <w:tcPr>
            <w:tcW w:w="961" w:type="dxa"/>
            <w:shd w:val="clear" w:color="auto" w:fill="FFFFFF"/>
            <w:tcMar>
              <w:top w:w="0" w:type="dxa"/>
              <w:left w:w="0" w:type="dxa"/>
              <w:bottom w:w="0" w:type="dxa"/>
              <w:right w:w="0" w:type="dxa"/>
            </w:tcMar>
            <w:vAlign w:val="center"/>
          </w:tcPr>
          <w:p w14:paraId="48FEE955" w14:textId="77777777" w:rsidR="00592F45" w:rsidRDefault="00592F45">
            <w:pPr>
              <w:spacing w:before="100" w:after="100" w:line="240" w:lineRule="auto"/>
              <w:ind w:left="100" w:right="100"/>
            </w:pPr>
          </w:p>
        </w:tc>
      </w:tr>
      <w:tr w:rsidR="00592F45" w14:paraId="4509600A" w14:textId="77777777">
        <w:trPr>
          <w:cantSplit/>
          <w:jc w:val="center"/>
        </w:trPr>
        <w:tc>
          <w:tcPr>
            <w:tcW w:w="2599" w:type="dxa"/>
            <w:shd w:val="clear" w:color="auto" w:fill="FFFFFF"/>
            <w:tcMar>
              <w:top w:w="0" w:type="dxa"/>
              <w:left w:w="0" w:type="dxa"/>
              <w:bottom w:w="0" w:type="dxa"/>
              <w:right w:w="0" w:type="dxa"/>
            </w:tcMar>
            <w:vAlign w:val="center"/>
          </w:tcPr>
          <w:p w14:paraId="176384B8" w14:textId="77777777" w:rsidR="00592F45" w:rsidRDefault="00A12F32">
            <w:pPr>
              <w:spacing w:before="100" w:after="100" w:line="240" w:lineRule="auto"/>
              <w:ind w:left="100" w:right="100"/>
            </w:pPr>
            <w:r>
              <w:rPr>
                <w:rFonts w:ascii="Arial" w:eastAsia="Arial" w:hAnsi="Arial" w:cs="Arial"/>
                <w:color w:val="000000"/>
                <w:sz w:val="22"/>
                <w:szCs w:val="22"/>
              </w:rPr>
              <w:t>Claim insurance, n(%)</w:t>
            </w:r>
            <w:r>
              <w:rPr>
                <w:rFonts w:ascii="Arial" w:eastAsia="Arial" w:hAnsi="Arial" w:cs="Arial"/>
                <w:color w:val="000000"/>
                <w:sz w:val="22"/>
                <w:szCs w:val="22"/>
                <w:vertAlign w:val="superscript"/>
              </w:rPr>
              <w:t>a</w:t>
            </w:r>
          </w:p>
        </w:tc>
        <w:tc>
          <w:tcPr>
            <w:tcW w:w="1413" w:type="dxa"/>
            <w:shd w:val="clear" w:color="auto" w:fill="FFFFFF"/>
            <w:tcMar>
              <w:top w:w="0" w:type="dxa"/>
              <w:left w:w="0" w:type="dxa"/>
              <w:bottom w:w="0" w:type="dxa"/>
              <w:right w:w="0" w:type="dxa"/>
            </w:tcMar>
            <w:vAlign w:val="center"/>
          </w:tcPr>
          <w:p w14:paraId="5FE744F5" w14:textId="77777777" w:rsidR="00592F45" w:rsidRDefault="00A12F32">
            <w:pPr>
              <w:spacing w:before="100" w:after="100" w:line="240" w:lineRule="auto"/>
              <w:ind w:left="100" w:right="100"/>
            </w:pPr>
            <w:r>
              <w:rPr>
                <w:rFonts w:ascii="Arial" w:eastAsia="Arial" w:hAnsi="Arial" w:cs="Arial"/>
                <w:color w:val="000000"/>
                <w:sz w:val="22"/>
                <w:szCs w:val="22"/>
              </w:rPr>
              <w:t>28</w:t>
            </w:r>
          </w:p>
        </w:tc>
        <w:tc>
          <w:tcPr>
            <w:tcW w:w="1413" w:type="dxa"/>
            <w:shd w:val="clear" w:color="auto" w:fill="FFFFFF"/>
            <w:tcMar>
              <w:top w:w="0" w:type="dxa"/>
              <w:left w:w="0" w:type="dxa"/>
              <w:bottom w:w="0" w:type="dxa"/>
              <w:right w:w="0" w:type="dxa"/>
            </w:tcMar>
            <w:vAlign w:val="center"/>
          </w:tcPr>
          <w:p w14:paraId="464D5B19" w14:textId="77777777" w:rsidR="00592F45" w:rsidRDefault="00A12F32">
            <w:pPr>
              <w:spacing w:before="100" w:after="100" w:line="240" w:lineRule="auto"/>
              <w:ind w:left="100" w:right="100"/>
            </w:pPr>
            <w:r>
              <w:rPr>
                <w:rFonts w:ascii="Arial" w:eastAsia="Arial" w:hAnsi="Arial" w:cs="Arial"/>
                <w:color w:val="000000"/>
                <w:sz w:val="22"/>
                <w:szCs w:val="22"/>
              </w:rPr>
              <w:t>26</w:t>
            </w:r>
          </w:p>
        </w:tc>
        <w:tc>
          <w:tcPr>
            <w:tcW w:w="1425" w:type="dxa"/>
            <w:shd w:val="clear" w:color="auto" w:fill="FFFFFF"/>
            <w:tcMar>
              <w:top w:w="0" w:type="dxa"/>
              <w:left w:w="0" w:type="dxa"/>
              <w:bottom w:w="0" w:type="dxa"/>
              <w:right w:w="0" w:type="dxa"/>
            </w:tcMar>
            <w:vAlign w:val="center"/>
          </w:tcPr>
          <w:p w14:paraId="20AC9DBC" w14:textId="77777777" w:rsidR="00592F45" w:rsidRDefault="00A12F32">
            <w:pPr>
              <w:spacing w:before="100" w:after="100" w:line="240" w:lineRule="auto"/>
              <w:ind w:left="100" w:right="100"/>
            </w:pPr>
            <w:r>
              <w:rPr>
                <w:rFonts w:ascii="Arial" w:eastAsia="Arial" w:hAnsi="Arial" w:cs="Arial"/>
                <w:color w:val="000000"/>
                <w:sz w:val="22"/>
                <w:szCs w:val="22"/>
              </w:rPr>
              <w:t>19</w:t>
            </w:r>
          </w:p>
        </w:tc>
        <w:tc>
          <w:tcPr>
            <w:tcW w:w="961" w:type="dxa"/>
            <w:shd w:val="clear" w:color="auto" w:fill="FFFFFF"/>
            <w:tcMar>
              <w:top w:w="0" w:type="dxa"/>
              <w:left w:w="0" w:type="dxa"/>
              <w:bottom w:w="0" w:type="dxa"/>
              <w:right w:w="0" w:type="dxa"/>
            </w:tcMar>
            <w:vAlign w:val="center"/>
          </w:tcPr>
          <w:p w14:paraId="192BEBFF" w14:textId="77777777" w:rsidR="00592F45" w:rsidRDefault="00A12F32">
            <w:pPr>
              <w:spacing w:before="100" w:after="100" w:line="240" w:lineRule="auto"/>
              <w:ind w:left="100" w:right="100"/>
            </w:pPr>
            <w:r>
              <w:rPr>
                <w:rFonts w:ascii="Arial" w:eastAsia="Arial" w:hAnsi="Arial" w:cs="Arial"/>
                <w:color w:val="000000"/>
                <w:sz w:val="22"/>
                <w:szCs w:val="22"/>
              </w:rPr>
              <w:t>0.297</w:t>
            </w:r>
          </w:p>
        </w:tc>
      </w:tr>
      <w:tr w:rsidR="00592F45" w14:paraId="2C0176D8" w14:textId="77777777">
        <w:trPr>
          <w:cantSplit/>
          <w:jc w:val="center"/>
        </w:trPr>
        <w:tc>
          <w:tcPr>
            <w:tcW w:w="2599" w:type="dxa"/>
            <w:tcBorders>
              <w:bottom w:val="single" w:sz="16" w:space="0" w:color="666666"/>
            </w:tcBorders>
            <w:shd w:val="clear" w:color="auto" w:fill="FFFFFF"/>
            <w:tcMar>
              <w:top w:w="0" w:type="dxa"/>
              <w:left w:w="0" w:type="dxa"/>
              <w:bottom w:w="0" w:type="dxa"/>
              <w:right w:w="0" w:type="dxa"/>
            </w:tcMar>
            <w:vAlign w:val="center"/>
          </w:tcPr>
          <w:p w14:paraId="13B647A3" w14:textId="77777777" w:rsidR="00592F45" w:rsidRDefault="00A12F32">
            <w:pPr>
              <w:spacing w:before="100" w:after="100" w:line="240" w:lineRule="auto"/>
              <w:ind w:left="100" w:right="100"/>
            </w:pPr>
            <w:r>
              <w:rPr>
                <w:rFonts w:ascii="Arial" w:eastAsia="Arial" w:hAnsi="Arial" w:cs="Arial"/>
                <w:color w:val="000000"/>
                <w:sz w:val="22"/>
                <w:szCs w:val="22"/>
              </w:rPr>
              <w:t>Past Experience, n(%)</w:t>
            </w:r>
            <w:r>
              <w:rPr>
                <w:rFonts w:ascii="Arial" w:eastAsia="Arial" w:hAnsi="Arial" w:cs="Arial"/>
                <w:color w:val="000000"/>
                <w:sz w:val="22"/>
                <w:szCs w:val="22"/>
                <w:vertAlign w:val="superscript"/>
              </w:rPr>
              <w:t>b</w:t>
            </w:r>
          </w:p>
        </w:tc>
        <w:tc>
          <w:tcPr>
            <w:tcW w:w="1413" w:type="dxa"/>
            <w:tcBorders>
              <w:bottom w:val="single" w:sz="16" w:space="0" w:color="666666"/>
            </w:tcBorders>
            <w:shd w:val="clear" w:color="auto" w:fill="FFFFFF"/>
            <w:tcMar>
              <w:top w:w="0" w:type="dxa"/>
              <w:left w:w="0" w:type="dxa"/>
              <w:bottom w:w="0" w:type="dxa"/>
              <w:right w:w="0" w:type="dxa"/>
            </w:tcMar>
            <w:vAlign w:val="center"/>
          </w:tcPr>
          <w:p w14:paraId="52E6F02F" w14:textId="77777777" w:rsidR="00592F45" w:rsidRDefault="00A12F32">
            <w:pPr>
              <w:spacing w:before="100" w:after="100" w:line="240" w:lineRule="auto"/>
              <w:ind w:left="100" w:right="100"/>
            </w:pPr>
            <w:r>
              <w:rPr>
                <w:rFonts w:ascii="Arial" w:eastAsia="Arial" w:hAnsi="Arial" w:cs="Arial"/>
                <w:color w:val="000000"/>
                <w:sz w:val="22"/>
                <w:szCs w:val="22"/>
              </w:rPr>
              <w:t>67</w:t>
            </w:r>
          </w:p>
        </w:tc>
        <w:tc>
          <w:tcPr>
            <w:tcW w:w="1413" w:type="dxa"/>
            <w:tcBorders>
              <w:bottom w:val="single" w:sz="16" w:space="0" w:color="666666"/>
            </w:tcBorders>
            <w:shd w:val="clear" w:color="auto" w:fill="FFFFFF"/>
            <w:tcMar>
              <w:top w:w="0" w:type="dxa"/>
              <w:left w:w="0" w:type="dxa"/>
              <w:bottom w:w="0" w:type="dxa"/>
              <w:right w:w="0" w:type="dxa"/>
            </w:tcMar>
            <w:vAlign w:val="center"/>
          </w:tcPr>
          <w:p w14:paraId="00992F38" w14:textId="77777777" w:rsidR="00592F45" w:rsidRDefault="00A12F32">
            <w:pPr>
              <w:spacing w:before="100" w:after="100" w:line="240" w:lineRule="auto"/>
              <w:ind w:left="100" w:right="100"/>
            </w:pPr>
            <w:r>
              <w:rPr>
                <w:rFonts w:ascii="Arial" w:eastAsia="Arial" w:hAnsi="Arial" w:cs="Arial"/>
                <w:color w:val="000000"/>
                <w:sz w:val="22"/>
                <w:szCs w:val="22"/>
              </w:rPr>
              <w:t>49</w:t>
            </w:r>
          </w:p>
        </w:tc>
        <w:tc>
          <w:tcPr>
            <w:tcW w:w="1425" w:type="dxa"/>
            <w:tcBorders>
              <w:bottom w:val="single" w:sz="16" w:space="0" w:color="666666"/>
            </w:tcBorders>
            <w:shd w:val="clear" w:color="auto" w:fill="FFFFFF"/>
            <w:tcMar>
              <w:top w:w="0" w:type="dxa"/>
              <w:left w:w="0" w:type="dxa"/>
              <w:bottom w:w="0" w:type="dxa"/>
              <w:right w:w="0" w:type="dxa"/>
            </w:tcMar>
            <w:vAlign w:val="center"/>
          </w:tcPr>
          <w:p w14:paraId="0FB5194A" w14:textId="77777777" w:rsidR="00592F45" w:rsidRDefault="00A12F32">
            <w:pPr>
              <w:spacing w:before="100" w:after="100" w:line="240" w:lineRule="auto"/>
              <w:ind w:left="100" w:right="100"/>
            </w:pPr>
            <w:r>
              <w:rPr>
                <w:rFonts w:ascii="Arial" w:eastAsia="Arial" w:hAnsi="Arial" w:cs="Arial"/>
                <w:color w:val="000000"/>
                <w:sz w:val="22"/>
                <w:szCs w:val="22"/>
              </w:rPr>
              <w:t>43</w:t>
            </w:r>
          </w:p>
        </w:tc>
        <w:tc>
          <w:tcPr>
            <w:tcW w:w="961" w:type="dxa"/>
            <w:tcBorders>
              <w:bottom w:val="single" w:sz="16" w:space="0" w:color="666666"/>
            </w:tcBorders>
            <w:shd w:val="clear" w:color="auto" w:fill="FFFFFF"/>
            <w:tcMar>
              <w:top w:w="0" w:type="dxa"/>
              <w:left w:w="0" w:type="dxa"/>
              <w:bottom w:w="0" w:type="dxa"/>
              <w:right w:w="0" w:type="dxa"/>
            </w:tcMar>
            <w:vAlign w:val="center"/>
          </w:tcPr>
          <w:p w14:paraId="3197EA3A" w14:textId="77777777" w:rsidR="00592F45" w:rsidRDefault="00A12F32">
            <w:pPr>
              <w:spacing w:before="100" w:after="100" w:line="240" w:lineRule="auto"/>
              <w:ind w:left="100" w:right="100"/>
            </w:pPr>
            <w:r>
              <w:rPr>
                <w:rFonts w:ascii="Arial" w:eastAsia="Arial" w:hAnsi="Arial" w:cs="Arial"/>
                <w:color w:val="000000"/>
                <w:sz w:val="22"/>
                <w:szCs w:val="22"/>
              </w:rPr>
              <w:t>0.002</w:t>
            </w:r>
          </w:p>
        </w:tc>
      </w:tr>
      <w:tr w:rsidR="00592F45" w14:paraId="5AEA6403" w14:textId="77777777">
        <w:trPr>
          <w:cantSplit/>
          <w:jc w:val="center"/>
        </w:trPr>
        <w:tc>
          <w:tcPr>
            <w:tcW w:w="7811" w:type="dxa"/>
            <w:gridSpan w:val="5"/>
            <w:shd w:val="clear" w:color="auto" w:fill="FFFFFF"/>
            <w:tcMar>
              <w:top w:w="0" w:type="dxa"/>
              <w:left w:w="0" w:type="dxa"/>
              <w:bottom w:w="0" w:type="dxa"/>
              <w:right w:w="0" w:type="dxa"/>
            </w:tcMar>
            <w:vAlign w:val="center"/>
          </w:tcPr>
          <w:p w14:paraId="4F390E67" w14:textId="77777777" w:rsidR="00592F45" w:rsidRDefault="00A12F32">
            <w:pPr>
              <w:spacing w:before="100" w:after="100" w:line="240" w:lineRule="auto"/>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The patients who use this application to claim insurance</w:t>
            </w:r>
          </w:p>
        </w:tc>
      </w:tr>
      <w:tr w:rsidR="00592F45" w14:paraId="76E3C5AF" w14:textId="77777777">
        <w:trPr>
          <w:cantSplit/>
          <w:jc w:val="center"/>
        </w:trPr>
        <w:tc>
          <w:tcPr>
            <w:tcW w:w="7811" w:type="dxa"/>
            <w:gridSpan w:val="5"/>
            <w:shd w:val="clear" w:color="auto" w:fill="FFFFFF"/>
            <w:tcMar>
              <w:top w:w="0" w:type="dxa"/>
              <w:left w:w="0" w:type="dxa"/>
              <w:bottom w:w="0" w:type="dxa"/>
              <w:right w:w="0" w:type="dxa"/>
            </w:tcMar>
            <w:vAlign w:val="center"/>
          </w:tcPr>
          <w:p w14:paraId="6D0BC079" w14:textId="77777777" w:rsidR="00592F45" w:rsidRDefault="00A12F32">
            <w:pPr>
              <w:spacing w:before="100" w:after="100" w:line="240" w:lineRule="auto"/>
              <w:ind w:left="100" w:right="100"/>
            </w:pPr>
            <w:r>
              <w:rPr>
                <w:rFonts w:ascii="Arial" w:eastAsia="Arial" w:hAnsi="Arial" w:cs="Arial"/>
                <w:color w:val="000000"/>
                <w:sz w:val="22"/>
                <w:szCs w:val="22"/>
                <w:vertAlign w:val="superscript"/>
              </w:rPr>
              <w:t>b</w:t>
            </w:r>
            <w:r>
              <w:rPr>
                <w:rFonts w:ascii="Arial" w:eastAsia="Arial" w:hAnsi="Arial" w:cs="Arial"/>
                <w:color w:val="000000"/>
                <w:sz w:val="22"/>
                <w:szCs w:val="22"/>
              </w:rPr>
              <w:t>The patients who answered past experience of insurance claim</w:t>
            </w:r>
          </w:p>
        </w:tc>
      </w:tr>
    </w:tbl>
    <w:p w14:paraId="1B23C1CA" w14:textId="77777777" w:rsidR="00592F45" w:rsidRDefault="00A12F32">
      <w:r>
        <w:br w:type="page"/>
      </w:r>
    </w:p>
    <w:p w14:paraId="45CE158F" w14:textId="77777777" w:rsidR="00592F45" w:rsidRDefault="00A12F32">
      <w:pPr>
        <w:pStyle w:val="TableCaption"/>
      </w:pPr>
      <w:r>
        <w:lastRenderedPageBreak/>
        <w:t xml:space="preserve">Table </w:t>
      </w:r>
      <w:r>
        <w:fldChar w:fldCharType="begin"/>
      </w:r>
      <w:r>
        <w:instrText>SEQ tab \* Arabic</w:instrText>
      </w:r>
      <w:r w:rsidR="00335CF8">
        <w:fldChar w:fldCharType="separate"/>
      </w:r>
      <w:r w:rsidR="00335CF8">
        <w:rPr>
          <w:noProof/>
        </w:rPr>
        <w:t>2</w:t>
      </w:r>
      <w:r>
        <w:fldChar w:fldCharType="end"/>
      </w:r>
      <w:r>
        <w:t>: Compare the time to claim insurance between the past experience and this application</w:t>
      </w:r>
    </w:p>
    <w:tbl>
      <w:tblPr>
        <w:tblW w:w="0" w:type="auto"/>
        <w:jc w:val="center"/>
        <w:tblLayout w:type="fixed"/>
        <w:tblLook w:val="0420" w:firstRow="1" w:lastRow="0" w:firstColumn="0" w:lastColumn="0" w:noHBand="0" w:noVBand="1"/>
      </w:tblPr>
      <w:tblGrid>
        <w:gridCol w:w="2123"/>
        <w:gridCol w:w="1414"/>
        <w:gridCol w:w="2208"/>
        <w:gridCol w:w="1414"/>
      </w:tblGrid>
      <w:tr w:rsidR="00592F45" w14:paraId="7B6A4815" w14:textId="77777777">
        <w:trPr>
          <w:cantSplit/>
          <w:tblHeader/>
          <w:jc w:val="center"/>
        </w:trPr>
        <w:tc>
          <w:tcPr>
            <w:tcW w:w="3537" w:type="dxa"/>
            <w:gridSpan w:val="2"/>
            <w:tcBorders>
              <w:top w:val="single" w:sz="16" w:space="0" w:color="666666"/>
              <w:bottom w:val="single" w:sz="8" w:space="0" w:color="666666"/>
            </w:tcBorders>
            <w:shd w:val="clear" w:color="auto" w:fill="FFFFFF"/>
            <w:tcMar>
              <w:top w:w="0" w:type="dxa"/>
              <w:left w:w="0" w:type="dxa"/>
              <w:bottom w:w="0" w:type="dxa"/>
              <w:right w:w="0" w:type="dxa"/>
            </w:tcMar>
            <w:vAlign w:val="center"/>
          </w:tcPr>
          <w:p w14:paraId="0E1DEB1D" w14:textId="77777777" w:rsidR="00592F45" w:rsidRDefault="00A12F32">
            <w:pPr>
              <w:spacing w:before="100" w:after="100" w:line="240" w:lineRule="auto"/>
              <w:ind w:left="100" w:right="100"/>
            </w:pPr>
            <w:r>
              <w:rPr>
                <w:rFonts w:ascii="Arial" w:eastAsia="Arial" w:hAnsi="Arial" w:cs="Arial"/>
                <w:color w:val="000000"/>
                <w:sz w:val="22"/>
                <w:szCs w:val="22"/>
              </w:rPr>
              <w:t>Current(N=73)</w:t>
            </w:r>
            <w:r>
              <w:rPr>
                <w:rFonts w:ascii="Arial" w:eastAsia="Arial" w:hAnsi="Arial" w:cs="Arial"/>
                <w:color w:val="000000"/>
                <w:sz w:val="22"/>
                <w:szCs w:val="22"/>
                <w:vertAlign w:val="superscript"/>
              </w:rPr>
              <w:t>a</w:t>
            </w:r>
          </w:p>
        </w:tc>
        <w:tc>
          <w:tcPr>
            <w:tcW w:w="3622" w:type="dxa"/>
            <w:gridSpan w:val="2"/>
            <w:tcBorders>
              <w:top w:val="single" w:sz="16" w:space="0" w:color="666666"/>
              <w:bottom w:val="single" w:sz="8" w:space="0" w:color="666666"/>
            </w:tcBorders>
            <w:shd w:val="clear" w:color="auto" w:fill="FFFFFF"/>
            <w:tcMar>
              <w:top w:w="0" w:type="dxa"/>
              <w:left w:w="0" w:type="dxa"/>
              <w:bottom w:w="0" w:type="dxa"/>
              <w:right w:w="0" w:type="dxa"/>
            </w:tcMar>
            <w:vAlign w:val="center"/>
          </w:tcPr>
          <w:p w14:paraId="2CD17B0C" w14:textId="77777777" w:rsidR="00592F45" w:rsidRDefault="00A12F32">
            <w:pPr>
              <w:spacing w:before="100" w:after="100" w:line="240" w:lineRule="auto"/>
              <w:ind w:left="100" w:right="100"/>
            </w:pPr>
            <w:r>
              <w:rPr>
                <w:rFonts w:ascii="Arial" w:eastAsia="Arial" w:hAnsi="Arial" w:cs="Arial"/>
                <w:color w:val="000000"/>
                <w:sz w:val="22"/>
                <w:szCs w:val="22"/>
              </w:rPr>
              <w:t>Past(N</w:t>
            </w:r>
            <w:r>
              <w:rPr>
                <w:rFonts w:ascii="Arial" w:eastAsia="Arial" w:hAnsi="Arial" w:cs="Arial"/>
                <w:color w:val="000000"/>
                <w:sz w:val="22"/>
                <w:szCs w:val="22"/>
              </w:rPr>
              <w:t>=159)</w:t>
            </w:r>
            <w:r>
              <w:rPr>
                <w:rFonts w:ascii="Arial" w:eastAsia="Arial" w:hAnsi="Arial" w:cs="Arial"/>
                <w:color w:val="000000"/>
                <w:sz w:val="22"/>
                <w:szCs w:val="22"/>
                <w:vertAlign w:val="superscript"/>
              </w:rPr>
              <w:t>b</w:t>
            </w:r>
          </w:p>
        </w:tc>
      </w:tr>
      <w:tr w:rsidR="00592F45" w14:paraId="16729C8A" w14:textId="77777777">
        <w:trPr>
          <w:cantSplit/>
          <w:tblHeader/>
          <w:jc w:val="center"/>
        </w:trPr>
        <w:tc>
          <w:tcPr>
            <w:tcW w:w="2123"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375C4DD5" w14:textId="77777777" w:rsidR="00592F45" w:rsidRDefault="00A12F32">
            <w:pPr>
              <w:spacing w:before="100" w:after="100" w:line="240" w:lineRule="auto"/>
              <w:ind w:left="100" w:right="100"/>
            </w:pPr>
            <w:r>
              <w:rPr>
                <w:rFonts w:ascii="Arial" w:eastAsia="Arial" w:hAnsi="Arial" w:cs="Arial"/>
                <w:color w:val="000000"/>
                <w:sz w:val="22"/>
                <w:szCs w:val="22"/>
              </w:rPr>
              <w:t>Attributes</w:t>
            </w:r>
          </w:p>
        </w:tc>
        <w:tc>
          <w:tcPr>
            <w:tcW w:w="1414"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6B22B620" w14:textId="77777777" w:rsidR="00592F45" w:rsidRDefault="00A12F32">
            <w:pPr>
              <w:spacing w:before="100" w:after="100" w:line="240" w:lineRule="auto"/>
              <w:ind w:left="100" w:right="100"/>
            </w:pPr>
            <w:r>
              <w:rPr>
                <w:rFonts w:ascii="Arial" w:eastAsia="Arial" w:hAnsi="Arial" w:cs="Arial"/>
                <w:color w:val="000000"/>
                <w:sz w:val="22"/>
                <w:szCs w:val="22"/>
              </w:rPr>
              <w:t>N(%)</w:t>
            </w:r>
          </w:p>
        </w:tc>
        <w:tc>
          <w:tcPr>
            <w:tcW w:w="2208"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2DB1C9FC" w14:textId="77777777" w:rsidR="00592F45" w:rsidRDefault="00A12F32">
            <w:pPr>
              <w:spacing w:before="100" w:after="100" w:line="240" w:lineRule="auto"/>
              <w:ind w:left="100" w:right="100"/>
            </w:pPr>
            <w:r>
              <w:rPr>
                <w:rFonts w:ascii="Arial" w:eastAsia="Arial" w:hAnsi="Arial" w:cs="Arial"/>
                <w:color w:val="000000"/>
                <w:sz w:val="22"/>
                <w:szCs w:val="22"/>
              </w:rPr>
              <w:t>Attributes</w:t>
            </w:r>
          </w:p>
        </w:tc>
        <w:tc>
          <w:tcPr>
            <w:tcW w:w="1414" w:type="dxa"/>
            <w:tcBorders>
              <w:top w:val="single" w:sz="8" w:space="0" w:color="666666"/>
              <w:bottom w:val="single" w:sz="16" w:space="0" w:color="666666"/>
            </w:tcBorders>
            <w:shd w:val="clear" w:color="auto" w:fill="FFFFFF"/>
            <w:tcMar>
              <w:top w:w="0" w:type="dxa"/>
              <w:left w:w="0" w:type="dxa"/>
              <w:bottom w:w="0" w:type="dxa"/>
              <w:right w:w="0" w:type="dxa"/>
            </w:tcMar>
            <w:vAlign w:val="center"/>
          </w:tcPr>
          <w:p w14:paraId="189E92CE" w14:textId="77777777" w:rsidR="00592F45" w:rsidRDefault="00A12F32">
            <w:pPr>
              <w:spacing w:before="100" w:after="100" w:line="240" w:lineRule="auto"/>
              <w:ind w:left="100" w:right="100"/>
            </w:pPr>
            <w:r>
              <w:rPr>
                <w:rFonts w:ascii="Arial" w:eastAsia="Arial" w:hAnsi="Arial" w:cs="Arial"/>
                <w:color w:val="000000"/>
                <w:sz w:val="22"/>
                <w:szCs w:val="22"/>
              </w:rPr>
              <w:t>N(%)</w:t>
            </w:r>
          </w:p>
        </w:tc>
      </w:tr>
      <w:tr w:rsidR="00592F45" w14:paraId="37D433F0" w14:textId="77777777">
        <w:trPr>
          <w:cantSplit/>
          <w:jc w:val="center"/>
        </w:trPr>
        <w:tc>
          <w:tcPr>
            <w:tcW w:w="2123" w:type="dxa"/>
            <w:shd w:val="clear" w:color="auto" w:fill="FFFFFF"/>
            <w:tcMar>
              <w:top w:w="0" w:type="dxa"/>
              <w:left w:w="0" w:type="dxa"/>
              <w:bottom w:w="0" w:type="dxa"/>
              <w:right w:w="0" w:type="dxa"/>
            </w:tcMar>
            <w:vAlign w:val="center"/>
          </w:tcPr>
          <w:p w14:paraId="45EC1A59" w14:textId="77777777" w:rsidR="00592F45" w:rsidRDefault="00A12F32">
            <w:pPr>
              <w:spacing w:before="100" w:after="100" w:line="240" w:lineRule="auto"/>
              <w:ind w:left="100" w:right="100"/>
            </w:pPr>
            <w:r>
              <w:rPr>
                <w:rFonts w:ascii="Arial" w:eastAsia="Arial" w:hAnsi="Arial" w:cs="Arial"/>
                <w:color w:val="000000"/>
                <w:sz w:val="22"/>
                <w:szCs w:val="22"/>
              </w:rPr>
              <w:t>less than 5 mins</w:t>
            </w:r>
          </w:p>
        </w:tc>
        <w:tc>
          <w:tcPr>
            <w:tcW w:w="1414" w:type="dxa"/>
            <w:shd w:val="clear" w:color="auto" w:fill="FFFFFF"/>
            <w:tcMar>
              <w:top w:w="0" w:type="dxa"/>
              <w:left w:w="0" w:type="dxa"/>
              <w:bottom w:w="0" w:type="dxa"/>
              <w:right w:w="0" w:type="dxa"/>
            </w:tcMar>
            <w:vAlign w:val="center"/>
          </w:tcPr>
          <w:p w14:paraId="0DBB955D" w14:textId="77777777" w:rsidR="00592F45" w:rsidRDefault="00A12F32">
            <w:pPr>
              <w:spacing w:before="100" w:after="100" w:line="240" w:lineRule="auto"/>
              <w:ind w:left="100" w:right="100"/>
            </w:pPr>
            <w:r>
              <w:rPr>
                <w:rFonts w:ascii="Arial" w:eastAsia="Arial" w:hAnsi="Arial" w:cs="Arial"/>
                <w:color w:val="000000"/>
                <w:sz w:val="22"/>
                <w:szCs w:val="22"/>
              </w:rPr>
              <w:t>33 (45.21)</w:t>
            </w:r>
          </w:p>
        </w:tc>
        <w:tc>
          <w:tcPr>
            <w:tcW w:w="2208" w:type="dxa"/>
            <w:shd w:val="clear" w:color="auto" w:fill="FFFFFF"/>
            <w:tcMar>
              <w:top w:w="0" w:type="dxa"/>
              <w:left w:w="0" w:type="dxa"/>
              <w:bottom w:w="0" w:type="dxa"/>
              <w:right w:w="0" w:type="dxa"/>
            </w:tcMar>
            <w:vAlign w:val="center"/>
          </w:tcPr>
          <w:p w14:paraId="705DB9C5" w14:textId="77777777" w:rsidR="00592F45" w:rsidRDefault="00A12F32">
            <w:pPr>
              <w:spacing w:before="100" w:after="100" w:line="240" w:lineRule="auto"/>
              <w:ind w:left="100" w:right="100"/>
            </w:pPr>
            <w:r>
              <w:rPr>
                <w:rFonts w:ascii="Arial" w:eastAsia="Arial" w:hAnsi="Arial" w:cs="Arial"/>
                <w:color w:val="000000"/>
                <w:sz w:val="22"/>
                <w:szCs w:val="22"/>
              </w:rPr>
              <w:t>less than 6 hours</w:t>
            </w:r>
          </w:p>
        </w:tc>
        <w:tc>
          <w:tcPr>
            <w:tcW w:w="1414" w:type="dxa"/>
            <w:shd w:val="clear" w:color="auto" w:fill="FFFFFF"/>
            <w:tcMar>
              <w:top w:w="0" w:type="dxa"/>
              <w:left w:w="0" w:type="dxa"/>
              <w:bottom w:w="0" w:type="dxa"/>
              <w:right w:w="0" w:type="dxa"/>
            </w:tcMar>
            <w:vAlign w:val="center"/>
          </w:tcPr>
          <w:p w14:paraId="56ACA21E" w14:textId="77777777" w:rsidR="00592F45" w:rsidRDefault="00A12F32">
            <w:pPr>
              <w:spacing w:before="100" w:after="100" w:line="240" w:lineRule="auto"/>
              <w:ind w:left="100" w:right="100"/>
            </w:pPr>
            <w:r>
              <w:rPr>
                <w:rFonts w:ascii="Arial" w:eastAsia="Arial" w:hAnsi="Arial" w:cs="Arial"/>
                <w:color w:val="000000"/>
                <w:sz w:val="22"/>
                <w:szCs w:val="22"/>
              </w:rPr>
              <w:t>69 (43.4)</w:t>
            </w:r>
          </w:p>
        </w:tc>
      </w:tr>
      <w:tr w:rsidR="00592F45" w14:paraId="61EBE87B" w14:textId="77777777">
        <w:trPr>
          <w:cantSplit/>
          <w:jc w:val="center"/>
        </w:trPr>
        <w:tc>
          <w:tcPr>
            <w:tcW w:w="2123" w:type="dxa"/>
            <w:shd w:val="clear" w:color="auto" w:fill="FFFFFF"/>
            <w:tcMar>
              <w:top w:w="0" w:type="dxa"/>
              <w:left w:w="0" w:type="dxa"/>
              <w:bottom w:w="0" w:type="dxa"/>
              <w:right w:w="0" w:type="dxa"/>
            </w:tcMar>
            <w:vAlign w:val="center"/>
          </w:tcPr>
          <w:p w14:paraId="62D94C43" w14:textId="77777777" w:rsidR="00592F45" w:rsidRDefault="00A12F32">
            <w:pPr>
              <w:spacing w:before="100" w:after="100" w:line="240" w:lineRule="auto"/>
              <w:ind w:left="100" w:right="100"/>
            </w:pPr>
            <w:r>
              <w:rPr>
                <w:rFonts w:ascii="Arial" w:eastAsia="Arial" w:hAnsi="Arial" w:cs="Arial"/>
                <w:color w:val="000000"/>
                <w:sz w:val="22"/>
                <w:szCs w:val="22"/>
              </w:rPr>
              <w:t>less than 30 mins</w:t>
            </w:r>
          </w:p>
        </w:tc>
        <w:tc>
          <w:tcPr>
            <w:tcW w:w="1414" w:type="dxa"/>
            <w:shd w:val="clear" w:color="auto" w:fill="FFFFFF"/>
            <w:tcMar>
              <w:top w:w="0" w:type="dxa"/>
              <w:left w:w="0" w:type="dxa"/>
              <w:bottom w:w="0" w:type="dxa"/>
              <w:right w:w="0" w:type="dxa"/>
            </w:tcMar>
            <w:vAlign w:val="center"/>
          </w:tcPr>
          <w:p w14:paraId="454F8A85" w14:textId="77777777" w:rsidR="00592F45" w:rsidRDefault="00A12F32">
            <w:pPr>
              <w:spacing w:before="100" w:after="100" w:line="240" w:lineRule="auto"/>
              <w:ind w:left="100" w:right="100"/>
            </w:pPr>
            <w:r>
              <w:rPr>
                <w:rFonts w:ascii="Arial" w:eastAsia="Arial" w:hAnsi="Arial" w:cs="Arial"/>
                <w:color w:val="000000"/>
                <w:sz w:val="22"/>
                <w:szCs w:val="22"/>
              </w:rPr>
              <w:t>26 (35.62)</w:t>
            </w:r>
          </w:p>
        </w:tc>
        <w:tc>
          <w:tcPr>
            <w:tcW w:w="2208" w:type="dxa"/>
            <w:shd w:val="clear" w:color="auto" w:fill="FFFFFF"/>
            <w:tcMar>
              <w:top w:w="0" w:type="dxa"/>
              <w:left w:w="0" w:type="dxa"/>
              <w:bottom w:w="0" w:type="dxa"/>
              <w:right w:w="0" w:type="dxa"/>
            </w:tcMar>
            <w:vAlign w:val="center"/>
          </w:tcPr>
          <w:p w14:paraId="1781E48A" w14:textId="77777777" w:rsidR="00592F45" w:rsidRDefault="00A12F32">
            <w:pPr>
              <w:spacing w:before="100" w:after="100" w:line="240" w:lineRule="auto"/>
              <w:ind w:left="100" w:right="100"/>
            </w:pPr>
            <w:r>
              <w:rPr>
                <w:rFonts w:ascii="Arial" w:eastAsia="Arial" w:hAnsi="Arial" w:cs="Arial"/>
                <w:color w:val="000000"/>
                <w:sz w:val="22"/>
                <w:szCs w:val="22"/>
              </w:rPr>
              <w:t>less than 24 hours</w:t>
            </w:r>
          </w:p>
        </w:tc>
        <w:tc>
          <w:tcPr>
            <w:tcW w:w="1414" w:type="dxa"/>
            <w:shd w:val="clear" w:color="auto" w:fill="FFFFFF"/>
            <w:tcMar>
              <w:top w:w="0" w:type="dxa"/>
              <w:left w:w="0" w:type="dxa"/>
              <w:bottom w:w="0" w:type="dxa"/>
              <w:right w:w="0" w:type="dxa"/>
            </w:tcMar>
            <w:vAlign w:val="center"/>
          </w:tcPr>
          <w:p w14:paraId="6D293BE6" w14:textId="77777777" w:rsidR="00592F45" w:rsidRDefault="00A12F32">
            <w:pPr>
              <w:spacing w:before="100" w:after="100" w:line="240" w:lineRule="auto"/>
              <w:ind w:left="100" w:right="100"/>
            </w:pPr>
            <w:r>
              <w:rPr>
                <w:rFonts w:ascii="Arial" w:eastAsia="Arial" w:hAnsi="Arial" w:cs="Arial"/>
                <w:color w:val="000000"/>
                <w:sz w:val="22"/>
                <w:szCs w:val="22"/>
              </w:rPr>
              <w:t>34 (21.38)</w:t>
            </w:r>
          </w:p>
        </w:tc>
      </w:tr>
      <w:tr w:rsidR="00592F45" w14:paraId="6A84C031" w14:textId="77777777">
        <w:trPr>
          <w:cantSplit/>
          <w:jc w:val="center"/>
        </w:trPr>
        <w:tc>
          <w:tcPr>
            <w:tcW w:w="2123" w:type="dxa"/>
            <w:shd w:val="clear" w:color="auto" w:fill="FFFFFF"/>
            <w:tcMar>
              <w:top w:w="0" w:type="dxa"/>
              <w:left w:w="0" w:type="dxa"/>
              <w:bottom w:w="0" w:type="dxa"/>
              <w:right w:w="0" w:type="dxa"/>
            </w:tcMar>
            <w:vAlign w:val="center"/>
          </w:tcPr>
          <w:p w14:paraId="32428F53" w14:textId="77777777" w:rsidR="00592F45" w:rsidRDefault="00A12F32">
            <w:pPr>
              <w:spacing w:before="100" w:after="100" w:line="240" w:lineRule="auto"/>
              <w:ind w:left="100" w:right="100"/>
            </w:pPr>
            <w:r>
              <w:rPr>
                <w:rFonts w:ascii="Arial" w:eastAsia="Arial" w:hAnsi="Arial" w:cs="Arial"/>
                <w:color w:val="000000"/>
                <w:sz w:val="22"/>
                <w:szCs w:val="22"/>
              </w:rPr>
              <w:t>more than 1 hour</w:t>
            </w:r>
          </w:p>
        </w:tc>
        <w:tc>
          <w:tcPr>
            <w:tcW w:w="1414" w:type="dxa"/>
            <w:shd w:val="clear" w:color="auto" w:fill="FFFFFF"/>
            <w:tcMar>
              <w:top w:w="0" w:type="dxa"/>
              <w:left w:w="0" w:type="dxa"/>
              <w:bottom w:w="0" w:type="dxa"/>
              <w:right w:w="0" w:type="dxa"/>
            </w:tcMar>
            <w:vAlign w:val="center"/>
          </w:tcPr>
          <w:p w14:paraId="3E81386C" w14:textId="77777777" w:rsidR="00592F45" w:rsidRDefault="00A12F32">
            <w:pPr>
              <w:spacing w:before="100" w:after="100" w:line="240" w:lineRule="auto"/>
              <w:ind w:left="100" w:right="100"/>
            </w:pPr>
            <w:r>
              <w:rPr>
                <w:rFonts w:ascii="Arial" w:eastAsia="Arial" w:hAnsi="Arial" w:cs="Arial"/>
                <w:color w:val="000000"/>
                <w:sz w:val="22"/>
                <w:szCs w:val="22"/>
              </w:rPr>
              <w:t>2 (2.74)</w:t>
            </w:r>
          </w:p>
        </w:tc>
        <w:tc>
          <w:tcPr>
            <w:tcW w:w="2208" w:type="dxa"/>
            <w:shd w:val="clear" w:color="auto" w:fill="FFFFFF"/>
            <w:tcMar>
              <w:top w:w="0" w:type="dxa"/>
              <w:left w:w="0" w:type="dxa"/>
              <w:bottom w:w="0" w:type="dxa"/>
              <w:right w:w="0" w:type="dxa"/>
            </w:tcMar>
            <w:vAlign w:val="center"/>
          </w:tcPr>
          <w:p w14:paraId="7E5E55D5" w14:textId="77777777" w:rsidR="00592F45" w:rsidRDefault="00A12F32">
            <w:pPr>
              <w:spacing w:before="100" w:after="100" w:line="240" w:lineRule="auto"/>
              <w:ind w:left="100" w:right="100"/>
            </w:pPr>
            <w:r>
              <w:rPr>
                <w:rFonts w:ascii="Arial" w:eastAsia="Arial" w:hAnsi="Arial" w:cs="Arial"/>
                <w:color w:val="000000"/>
                <w:sz w:val="22"/>
                <w:szCs w:val="22"/>
              </w:rPr>
              <w:t>more than 24 hour</w:t>
            </w:r>
          </w:p>
        </w:tc>
        <w:tc>
          <w:tcPr>
            <w:tcW w:w="1414" w:type="dxa"/>
            <w:shd w:val="clear" w:color="auto" w:fill="FFFFFF"/>
            <w:tcMar>
              <w:top w:w="0" w:type="dxa"/>
              <w:left w:w="0" w:type="dxa"/>
              <w:bottom w:w="0" w:type="dxa"/>
              <w:right w:w="0" w:type="dxa"/>
            </w:tcMar>
            <w:vAlign w:val="center"/>
          </w:tcPr>
          <w:p w14:paraId="040FBAFA" w14:textId="77777777" w:rsidR="00592F45" w:rsidRDefault="00A12F32">
            <w:pPr>
              <w:spacing w:before="100" w:after="100" w:line="240" w:lineRule="auto"/>
              <w:ind w:left="100" w:right="100"/>
            </w:pPr>
            <w:r>
              <w:rPr>
                <w:rFonts w:ascii="Arial" w:eastAsia="Arial" w:hAnsi="Arial" w:cs="Arial"/>
                <w:color w:val="000000"/>
                <w:sz w:val="22"/>
                <w:szCs w:val="22"/>
              </w:rPr>
              <w:t>43 (27.04)</w:t>
            </w:r>
          </w:p>
        </w:tc>
      </w:tr>
      <w:tr w:rsidR="00592F45" w14:paraId="746626CB" w14:textId="77777777">
        <w:trPr>
          <w:cantSplit/>
          <w:jc w:val="center"/>
        </w:trPr>
        <w:tc>
          <w:tcPr>
            <w:tcW w:w="2123" w:type="dxa"/>
            <w:tcBorders>
              <w:bottom w:val="single" w:sz="16" w:space="0" w:color="666666"/>
            </w:tcBorders>
            <w:shd w:val="clear" w:color="auto" w:fill="FFFFFF"/>
            <w:tcMar>
              <w:top w:w="0" w:type="dxa"/>
              <w:left w:w="0" w:type="dxa"/>
              <w:bottom w:w="0" w:type="dxa"/>
              <w:right w:w="0" w:type="dxa"/>
            </w:tcMar>
            <w:vAlign w:val="center"/>
          </w:tcPr>
          <w:p w14:paraId="01CDFA8F" w14:textId="77777777" w:rsidR="00592F45" w:rsidRDefault="00A12F32">
            <w:pPr>
              <w:spacing w:before="100" w:after="100" w:line="240" w:lineRule="auto"/>
              <w:ind w:left="100" w:right="100"/>
            </w:pPr>
            <w:r>
              <w:rPr>
                <w:rFonts w:ascii="Arial" w:eastAsia="Arial" w:hAnsi="Arial" w:cs="Arial"/>
                <w:color w:val="000000"/>
                <w:sz w:val="22"/>
                <w:szCs w:val="22"/>
              </w:rPr>
              <w:t>have no idea</w:t>
            </w:r>
          </w:p>
        </w:tc>
        <w:tc>
          <w:tcPr>
            <w:tcW w:w="1414" w:type="dxa"/>
            <w:tcBorders>
              <w:bottom w:val="single" w:sz="16" w:space="0" w:color="666666"/>
            </w:tcBorders>
            <w:shd w:val="clear" w:color="auto" w:fill="FFFFFF"/>
            <w:tcMar>
              <w:top w:w="0" w:type="dxa"/>
              <w:left w:w="0" w:type="dxa"/>
              <w:bottom w:w="0" w:type="dxa"/>
              <w:right w:w="0" w:type="dxa"/>
            </w:tcMar>
            <w:vAlign w:val="center"/>
          </w:tcPr>
          <w:p w14:paraId="561202DC" w14:textId="77777777" w:rsidR="00592F45" w:rsidRDefault="00A12F32">
            <w:pPr>
              <w:spacing w:before="100" w:after="100" w:line="240" w:lineRule="auto"/>
              <w:ind w:left="100" w:right="100"/>
            </w:pPr>
            <w:r>
              <w:rPr>
                <w:rFonts w:ascii="Arial" w:eastAsia="Arial" w:hAnsi="Arial" w:cs="Arial"/>
                <w:color w:val="000000"/>
                <w:sz w:val="22"/>
                <w:szCs w:val="22"/>
              </w:rPr>
              <w:t>11 (15.07)</w:t>
            </w:r>
          </w:p>
        </w:tc>
        <w:tc>
          <w:tcPr>
            <w:tcW w:w="2208" w:type="dxa"/>
            <w:tcBorders>
              <w:bottom w:val="single" w:sz="16" w:space="0" w:color="666666"/>
            </w:tcBorders>
            <w:shd w:val="clear" w:color="auto" w:fill="FFFFFF"/>
            <w:tcMar>
              <w:top w:w="0" w:type="dxa"/>
              <w:left w:w="0" w:type="dxa"/>
              <w:bottom w:w="0" w:type="dxa"/>
              <w:right w:w="0" w:type="dxa"/>
            </w:tcMar>
            <w:vAlign w:val="center"/>
          </w:tcPr>
          <w:p w14:paraId="0C0493A2" w14:textId="77777777" w:rsidR="00592F45" w:rsidRDefault="00A12F32">
            <w:pPr>
              <w:spacing w:before="100" w:after="100" w:line="240" w:lineRule="auto"/>
              <w:ind w:left="100" w:right="100"/>
            </w:pPr>
            <w:r>
              <w:rPr>
                <w:rFonts w:ascii="Arial" w:eastAsia="Arial" w:hAnsi="Arial" w:cs="Arial"/>
                <w:color w:val="000000"/>
                <w:sz w:val="22"/>
                <w:szCs w:val="22"/>
              </w:rPr>
              <w:t>have no idea</w:t>
            </w:r>
          </w:p>
        </w:tc>
        <w:tc>
          <w:tcPr>
            <w:tcW w:w="1414" w:type="dxa"/>
            <w:tcBorders>
              <w:bottom w:val="single" w:sz="16" w:space="0" w:color="666666"/>
            </w:tcBorders>
            <w:shd w:val="clear" w:color="auto" w:fill="FFFFFF"/>
            <w:tcMar>
              <w:top w:w="0" w:type="dxa"/>
              <w:left w:w="0" w:type="dxa"/>
              <w:bottom w:w="0" w:type="dxa"/>
              <w:right w:w="0" w:type="dxa"/>
            </w:tcMar>
            <w:vAlign w:val="center"/>
          </w:tcPr>
          <w:p w14:paraId="26A072F0" w14:textId="77777777" w:rsidR="00592F45" w:rsidRDefault="00A12F32">
            <w:pPr>
              <w:spacing w:before="100" w:after="100" w:line="240" w:lineRule="auto"/>
              <w:ind w:left="100" w:right="100"/>
            </w:pPr>
            <w:r>
              <w:rPr>
                <w:rFonts w:ascii="Arial" w:eastAsia="Arial" w:hAnsi="Arial" w:cs="Arial"/>
                <w:color w:val="000000"/>
                <w:sz w:val="22"/>
                <w:szCs w:val="22"/>
              </w:rPr>
              <w:t>13 (8.18)</w:t>
            </w:r>
          </w:p>
        </w:tc>
      </w:tr>
      <w:tr w:rsidR="00592F45" w14:paraId="12A261E5" w14:textId="77777777">
        <w:trPr>
          <w:cantSplit/>
          <w:jc w:val="center"/>
        </w:trPr>
        <w:tc>
          <w:tcPr>
            <w:tcW w:w="7159" w:type="dxa"/>
            <w:gridSpan w:val="4"/>
            <w:shd w:val="clear" w:color="auto" w:fill="FFFFFF"/>
            <w:tcMar>
              <w:top w:w="0" w:type="dxa"/>
              <w:left w:w="0" w:type="dxa"/>
              <w:bottom w:w="0" w:type="dxa"/>
              <w:right w:w="0" w:type="dxa"/>
            </w:tcMar>
            <w:vAlign w:val="center"/>
          </w:tcPr>
          <w:p w14:paraId="0DEB3023" w14:textId="77777777" w:rsidR="00592F45" w:rsidRDefault="00A12F32">
            <w:pPr>
              <w:spacing w:before="100" w:after="100" w:line="240" w:lineRule="auto"/>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The result of the survey how long does it take to claim in the application</w:t>
            </w:r>
          </w:p>
        </w:tc>
      </w:tr>
      <w:tr w:rsidR="00592F45" w14:paraId="58472AC8" w14:textId="77777777">
        <w:trPr>
          <w:cantSplit/>
          <w:jc w:val="center"/>
        </w:trPr>
        <w:tc>
          <w:tcPr>
            <w:tcW w:w="7159" w:type="dxa"/>
            <w:gridSpan w:val="4"/>
            <w:tcBorders>
              <w:bottom w:val="single" w:sz="16" w:space="0" w:color="666666"/>
            </w:tcBorders>
            <w:shd w:val="clear" w:color="auto" w:fill="FFFFFF"/>
            <w:tcMar>
              <w:top w:w="0" w:type="dxa"/>
              <w:left w:w="0" w:type="dxa"/>
              <w:bottom w:w="0" w:type="dxa"/>
              <w:right w:w="0" w:type="dxa"/>
            </w:tcMar>
            <w:vAlign w:val="center"/>
          </w:tcPr>
          <w:p w14:paraId="7A9243FD" w14:textId="77777777" w:rsidR="00592F45" w:rsidRDefault="00A12F32">
            <w:pPr>
              <w:spacing w:before="100" w:after="100" w:line="240" w:lineRule="auto"/>
              <w:ind w:left="100" w:right="100"/>
            </w:pPr>
            <w:r>
              <w:rPr>
                <w:rFonts w:ascii="Arial" w:eastAsia="Arial" w:hAnsi="Arial" w:cs="Arial"/>
                <w:color w:val="000000"/>
                <w:sz w:val="22"/>
                <w:szCs w:val="22"/>
                <w:vertAlign w:val="superscript"/>
              </w:rPr>
              <w:t>b</w:t>
            </w:r>
            <w:r>
              <w:rPr>
                <w:rFonts w:ascii="Arial" w:eastAsia="Arial" w:hAnsi="Arial" w:cs="Arial"/>
                <w:color w:val="000000"/>
                <w:sz w:val="22"/>
                <w:szCs w:val="22"/>
              </w:rPr>
              <w:t>The result of survey about past experience claim insurance</w:t>
            </w:r>
          </w:p>
        </w:tc>
      </w:tr>
    </w:tbl>
    <w:p w14:paraId="3D412DD2" w14:textId="77777777" w:rsidR="00592F45" w:rsidRDefault="00A12F32">
      <w:r>
        <w:br w:type="page"/>
      </w:r>
    </w:p>
    <w:p w14:paraId="0887B21A" w14:textId="77777777" w:rsidR="00592F45" w:rsidRDefault="00A12F32">
      <w:pPr>
        <w:pStyle w:val="TableCaption"/>
      </w:pPr>
      <w:r>
        <w:lastRenderedPageBreak/>
        <w:t xml:space="preserve">Table </w:t>
      </w:r>
      <w:r>
        <w:fldChar w:fldCharType="begin"/>
      </w:r>
      <w:r>
        <w:instrText>SEQ tab \* Arabic</w:instrText>
      </w:r>
      <w:r w:rsidR="00335CF8">
        <w:fldChar w:fldCharType="separate"/>
      </w:r>
      <w:r w:rsidR="00335CF8">
        <w:rPr>
          <w:noProof/>
        </w:rPr>
        <w:t>3</w:t>
      </w:r>
      <w:r>
        <w:fldChar w:fldCharType="end"/>
      </w:r>
      <w:r>
        <w:t xml:space="preserve">: </w:t>
      </w:r>
      <w:r>
        <w:t>Compare the cost and the number of documents needed to claim insurance between the past experience and this application</w:t>
      </w:r>
    </w:p>
    <w:tbl>
      <w:tblPr>
        <w:tblW w:w="0" w:type="auto"/>
        <w:jc w:val="center"/>
        <w:tblLayout w:type="fixed"/>
        <w:tblLook w:val="0420" w:firstRow="1" w:lastRow="0" w:firstColumn="0" w:lastColumn="0" w:noHBand="0" w:noVBand="1"/>
      </w:tblPr>
      <w:tblGrid>
        <w:gridCol w:w="2294"/>
        <w:gridCol w:w="1829"/>
        <w:gridCol w:w="1988"/>
        <w:gridCol w:w="1817"/>
        <w:gridCol w:w="961"/>
      </w:tblGrid>
      <w:tr w:rsidR="00592F45" w14:paraId="26CC5CD6" w14:textId="77777777">
        <w:trPr>
          <w:cantSplit/>
          <w:tblHeader/>
          <w:jc w:val="center"/>
        </w:trPr>
        <w:tc>
          <w:tcPr>
            <w:tcW w:w="22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C836A2" w14:textId="77777777" w:rsidR="00592F45" w:rsidRDefault="00A12F32">
            <w:pPr>
              <w:spacing w:before="100" w:after="100" w:line="240" w:lineRule="auto"/>
              <w:ind w:left="100" w:right="100"/>
            </w:pPr>
            <w:r>
              <w:rPr>
                <w:rFonts w:ascii="Arial" w:eastAsia="Arial" w:hAnsi="Arial" w:cs="Arial"/>
                <w:color w:val="000000"/>
                <w:sz w:val="22"/>
                <w:szCs w:val="22"/>
              </w:rPr>
              <w:t>Items</w:t>
            </w:r>
          </w:p>
        </w:tc>
        <w:tc>
          <w:tcPr>
            <w:tcW w:w="1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E4BE9E" w14:textId="77777777" w:rsidR="00592F45" w:rsidRDefault="00A12F32">
            <w:pPr>
              <w:spacing w:before="100" w:after="100" w:line="240" w:lineRule="auto"/>
              <w:ind w:left="100" w:right="100"/>
            </w:pPr>
            <w:r>
              <w:rPr>
                <w:rFonts w:ascii="Arial" w:eastAsia="Arial" w:hAnsi="Arial" w:cs="Arial"/>
                <w:color w:val="000000"/>
                <w:sz w:val="22"/>
                <w:szCs w:val="22"/>
              </w:rPr>
              <w:t>Attributes</w:t>
            </w:r>
          </w:p>
        </w:tc>
        <w:tc>
          <w:tcPr>
            <w:tcW w:w="19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717E1A" w14:textId="77777777" w:rsidR="00592F45" w:rsidRDefault="00A12F32">
            <w:pPr>
              <w:spacing w:before="100" w:after="100" w:line="240" w:lineRule="auto"/>
              <w:ind w:left="100" w:right="100"/>
            </w:pPr>
            <w:r>
              <w:rPr>
                <w:rFonts w:ascii="Arial" w:eastAsia="Arial" w:hAnsi="Arial" w:cs="Arial"/>
                <w:color w:val="000000"/>
                <w:sz w:val="22"/>
                <w:szCs w:val="22"/>
              </w:rPr>
              <w:t>Current</w:t>
            </w:r>
            <w:r>
              <w:rPr>
                <w:rFonts w:ascii="Arial" w:eastAsia="Arial" w:hAnsi="Arial" w:cs="Arial"/>
                <w:color w:val="000000"/>
                <w:sz w:val="22"/>
                <w:szCs w:val="22"/>
              </w:rPr>
              <w:br/>
              <w:t>(N=73)</w:t>
            </w:r>
          </w:p>
        </w:tc>
        <w:tc>
          <w:tcPr>
            <w:tcW w:w="18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FF88F5" w14:textId="77777777" w:rsidR="00592F45" w:rsidRDefault="00A12F32">
            <w:pPr>
              <w:spacing w:before="100" w:after="100" w:line="240" w:lineRule="auto"/>
              <w:ind w:left="100" w:right="100"/>
            </w:pPr>
            <w:r>
              <w:rPr>
                <w:rFonts w:ascii="Arial" w:eastAsia="Arial" w:hAnsi="Arial" w:cs="Arial"/>
                <w:color w:val="000000"/>
                <w:sz w:val="22"/>
                <w:szCs w:val="22"/>
              </w:rPr>
              <w:t>Past</w:t>
            </w:r>
            <w:r>
              <w:rPr>
                <w:rFonts w:ascii="Arial" w:eastAsia="Arial" w:hAnsi="Arial" w:cs="Arial"/>
                <w:color w:val="000000"/>
                <w:sz w:val="22"/>
                <w:szCs w:val="22"/>
              </w:rPr>
              <w:br/>
              <w:t>(N=159)</w:t>
            </w:r>
          </w:p>
        </w:tc>
        <w:tc>
          <w:tcPr>
            <w:tcW w:w="9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35ECDA" w14:textId="77777777" w:rsidR="00592F45" w:rsidRDefault="00A12F32">
            <w:pPr>
              <w:spacing w:before="100" w:after="100" w:line="240" w:lineRule="auto"/>
              <w:ind w:left="100" w:right="100"/>
              <w:jc w:val="right"/>
            </w:pPr>
            <w:r>
              <w:rPr>
                <w:rFonts w:ascii="Arial" w:eastAsia="Arial" w:hAnsi="Arial" w:cs="Arial"/>
                <w:color w:val="000000"/>
                <w:sz w:val="22"/>
                <w:szCs w:val="22"/>
              </w:rPr>
              <w:t>P</w:t>
            </w:r>
          </w:p>
        </w:tc>
      </w:tr>
      <w:tr w:rsidR="00592F45" w14:paraId="3F61EB2B" w14:textId="77777777">
        <w:trPr>
          <w:cantSplit/>
          <w:jc w:val="center"/>
        </w:trPr>
        <w:tc>
          <w:tcPr>
            <w:tcW w:w="2294" w:type="dxa"/>
            <w:vMerge w:val="restart"/>
            <w:shd w:val="clear" w:color="auto" w:fill="FFFFFF"/>
            <w:tcMar>
              <w:top w:w="0" w:type="dxa"/>
              <w:left w:w="0" w:type="dxa"/>
              <w:bottom w:w="0" w:type="dxa"/>
              <w:right w:w="0" w:type="dxa"/>
            </w:tcMar>
            <w:vAlign w:val="center"/>
          </w:tcPr>
          <w:p w14:paraId="091237F7" w14:textId="77777777" w:rsidR="00592F45" w:rsidRDefault="00A12F32">
            <w:pPr>
              <w:spacing w:before="100" w:after="100" w:line="240" w:lineRule="auto"/>
              <w:ind w:left="100" w:right="100"/>
            </w:pPr>
            <w:r>
              <w:rPr>
                <w:rFonts w:ascii="Arial" w:eastAsia="Arial" w:hAnsi="Arial" w:cs="Arial"/>
                <w:color w:val="000000"/>
                <w:sz w:val="22"/>
                <w:szCs w:val="22"/>
              </w:rPr>
              <w:t>Cost</w:t>
            </w:r>
          </w:p>
        </w:tc>
        <w:tc>
          <w:tcPr>
            <w:tcW w:w="1829" w:type="dxa"/>
            <w:shd w:val="clear" w:color="auto" w:fill="FFFFFF"/>
            <w:tcMar>
              <w:top w:w="0" w:type="dxa"/>
              <w:left w:w="0" w:type="dxa"/>
              <w:bottom w:w="0" w:type="dxa"/>
              <w:right w:w="0" w:type="dxa"/>
            </w:tcMar>
            <w:vAlign w:val="center"/>
          </w:tcPr>
          <w:p w14:paraId="1AF9B761" w14:textId="77777777" w:rsidR="00592F45" w:rsidRDefault="00A12F32">
            <w:pPr>
              <w:spacing w:before="100" w:after="100" w:line="240" w:lineRule="auto"/>
              <w:ind w:left="100" w:right="100"/>
            </w:pPr>
            <w:r>
              <w:rPr>
                <w:rFonts w:ascii="Arial" w:eastAsia="Arial" w:hAnsi="Arial" w:cs="Arial"/>
                <w:color w:val="000000"/>
                <w:sz w:val="22"/>
                <w:szCs w:val="22"/>
              </w:rPr>
              <w:t>less than 5$</w:t>
            </w:r>
          </w:p>
        </w:tc>
        <w:tc>
          <w:tcPr>
            <w:tcW w:w="1988" w:type="dxa"/>
            <w:shd w:val="clear" w:color="auto" w:fill="FFFFFF"/>
            <w:tcMar>
              <w:top w:w="0" w:type="dxa"/>
              <w:left w:w="0" w:type="dxa"/>
              <w:bottom w:w="0" w:type="dxa"/>
              <w:right w:w="0" w:type="dxa"/>
            </w:tcMar>
            <w:vAlign w:val="center"/>
          </w:tcPr>
          <w:p w14:paraId="78FCC400" w14:textId="77777777" w:rsidR="00592F45" w:rsidRDefault="00A12F32">
            <w:pPr>
              <w:spacing w:before="100" w:after="100" w:line="240" w:lineRule="auto"/>
              <w:ind w:left="100" w:right="100"/>
            </w:pPr>
            <w:r>
              <w:rPr>
                <w:rFonts w:ascii="Arial" w:eastAsia="Arial" w:hAnsi="Arial" w:cs="Arial"/>
                <w:color w:val="000000"/>
                <w:sz w:val="22"/>
                <w:szCs w:val="22"/>
              </w:rPr>
              <w:t>32 (43.84)</w:t>
            </w:r>
          </w:p>
        </w:tc>
        <w:tc>
          <w:tcPr>
            <w:tcW w:w="1817" w:type="dxa"/>
            <w:shd w:val="clear" w:color="auto" w:fill="FFFFFF"/>
            <w:tcMar>
              <w:top w:w="0" w:type="dxa"/>
              <w:left w:w="0" w:type="dxa"/>
              <w:bottom w:w="0" w:type="dxa"/>
              <w:right w:w="0" w:type="dxa"/>
            </w:tcMar>
            <w:vAlign w:val="center"/>
          </w:tcPr>
          <w:p w14:paraId="13F823F2" w14:textId="77777777" w:rsidR="00592F45" w:rsidRDefault="00A12F32">
            <w:pPr>
              <w:spacing w:before="100" w:after="100" w:line="240" w:lineRule="auto"/>
              <w:ind w:left="100" w:right="100"/>
            </w:pPr>
            <w:r>
              <w:rPr>
                <w:rFonts w:ascii="Arial" w:eastAsia="Arial" w:hAnsi="Arial" w:cs="Arial"/>
                <w:color w:val="000000"/>
                <w:sz w:val="22"/>
                <w:szCs w:val="22"/>
              </w:rPr>
              <w:t>36 (22.64)</w:t>
            </w:r>
          </w:p>
        </w:tc>
        <w:tc>
          <w:tcPr>
            <w:tcW w:w="961" w:type="dxa"/>
            <w:shd w:val="clear" w:color="auto" w:fill="FFFFFF"/>
            <w:tcMar>
              <w:top w:w="0" w:type="dxa"/>
              <w:left w:w="0" w:type="dxa"/>
              <w:bottom w:w="0" w:type="dxa"/>
              <w:right w:w="0" w:type="dxa"/>
            </w:tcMar>
            <w:vAlign w:val="center"/>
          </w:tcPr>
          <w:p w14:paraId="3187BCC7" w14:textId="77777777" w:rsidR="00592F45" w:rsidRDefault="00A12F32">
            <w:pPr>
              <w:spacing w:before="100" w:after="100" w:line="240" w:lineRule="auto"/>
              <w:ind w:left="100" w:right="100"/>
              <w:jc w:val="right"/>
            </w:pPr>
            <w:r>
              <w:rPr>
                <w:rFonts w:ascii="Arial" w:eastAsia="Arial" w:hAnsi="Arial" w:cs="Arial"/>
                <w:color w:val="000000"/>
                <w:sz w:val="22"/>
                <w:szCs w:val="22"/>
              </w:rPr>
              <w:t>0.181</w:t>
            </w:r>
          </w:p>
        </w:tc>
      </w:tr>
      <w:tr w:rsidR="00592F45" w14:paraId="4AA9C896" w14:textId="77777777">
        <w:trPr>
          <w:cantSplit/>
          <w:jc w:val="center"/>
        </w:trPr>
        <w:tc>
          <w:tcPr>
            <w:tcW w:w="2294" w:type="dxa"/>
            <w:vMerge/>
            <w:shd w:val="clear" w:color="auto" w:fill="FFFFFF"/>
            <w:tcMar>
              <w:top w:w="0" w:type="dxa"/>
              <w:left w:w="0" w:type="dxa"/>
              <w:bottom w:w="0" w:type="dxa"/>
              <w:right w:w="0" w:type="dxa"/>
            </w:tcMar>
            <w:vAlign w:val="center"/>
          </w:tcPr>
          <w:p w14:paraId="2A87B866" w14:textId="77777777" w:rsidR="00592F45" w:rsidRDefault="00592F45">
            <w:pPr>
              <w:spacing w:before="100" w:after="100" w:line="240" w:lineRule="auto"/>
              <w:ind w:left="100" w:right="100"/>
            </w:pPr>
          </w:p>
        </w:tc>
        <w:tc>
          <w:tcPr>
            <w:tcW w:w="1829" w:type="dxa"/>
            <w:shd w:val="clear" w:color="auto" w:fill="FFFFFF"/>
            <w:tcMar>
              <w:top w:w="0" w:type="dxa"/>
              <w:left w:w="0" w:type="dxa"/>
              <w:bottom w:w="0" w:type="dxa"/>
              <w:right w:w="0" w:type="dxa"/>
            </w:tcMar>
            <w:vAlign w:val="center"/>
          </w:tcPr>
          <w:p w14:paraId="33B9EA7C" w14:textId="77777777" w:rsidR="00592F45" w:rsidRDefault="00A12F32">
            <w:pPr>
              <w:spacing w:before="100" w:after="100" w:line="240" w:lineRule="auto"/>
              <w:ind w:left="100" w:right="100"/>
            </w:pPr>
            <w:r>
              <w:rPr>
                <w:rFonts w:ascii="Arial" w:eastAsia="Arial" w:hAnsi="Arial" w:cs="Arial"/>
                <w:color w:val="000000"/>
                <w:sz w:val="22"/>
                <w:szCs w:val="22"/>
              </w:rPr>
              <w:t>5$ ~ 10$</w:t>
            </w:r>
          </w:p>
        </w:tc>
        <w:tc>
          <w:tcPr>
            <w:tcW w:w="1988" w:type="dxa"/>
            <w:shd w:val="clear" w:color="auto" w:fill="FFFFFF"/>
            <w:tcMar>
              <w:top w:w="0" w:type="dxa"/>
              <w:left w:w="0" w:type="dxa"/>
              <w:bottom w:w="0" w:type="dxa"/>
              <w:right w:w="0" w:type="dxa"/>
            </w:tcMar>
            <w:vAlign w:val="center"/>
          </w:tcPr>
          <w:p w14:paraId="7E65712F" w14:textId="77777777" w:rsidR="00592F45" w:rsidRDefault="00A12F32">
            <w:pPr>
              <w:spacing w:before="100" w:after="100" w:line="240" w:lineRule="auto"/>
              <w:ind w:left="100" w:right="100"/>
            </w:pPr>
            <w:r>
              <w:rPr>
                <w:rFonts w:ascii="Arial" w:eastAsia="Arial" w:hAnsi="Arial" w:cs="Arial"/>
                <w:color w:val="000000"/>
                <w:sz w:val="22"/>
                <w:szCs w:val="22"/>
              </w:rPr>
              <w:t>6 (8.22)</w:t>
            </w:r>
          </w:p>
        </w:tc>
        <w:tc>
          <w:tcPr>
            <w:tcW w:w="1817" w:type="dxa"/>
            <w:shd w:val="clear" w:color="auto" w:fill="FFFFFF"/>
            <w:tcMar>
              <w:top w:w="0" w:type="dxa"/>
              <w:left w:w="0" w:type="dxa"/>
              <w:bottom w:w="0" w:type="dxa"/>
              <w:right w:w="0" w:type="dxa"/>
            </w:tcMar>
            <w:vAlign w:val="center"/>
          </w:tcPr>
          <w:p w14:paraId="14B4059F" w14:textId="77777777" w:rsidR="00592F45" w:rsidRDefault="00A12F32">
            <w:pPr>
              <w:spacing w:before="100" w:after="100" w:line="240" w:lineRule="auto"/>
              <w:ind w:left="100" w:right="100"/>
            </w:pPr>
            <w:r>
              <w:rPr>
                <w:rFonts w:ascii="Arial" w:eastAsia="Arial" w:hAnsi="Arial" w:cs="Arial"/>
                <w:color w:val="000000"/>
                <w:sz w:val="22"/>
                <w:szCs w:val="22"/>
              </w:rPr>
              <w:t>17 (10.69)</w:t>
            </w:r>
          </w:p>
        </w:tc>
        <w:tc>
          <w:tcPr>
            <w:tcW w:w="961" w:type="dxa"/>
            <w:shd w:val="clear" w:color="auto" w:fill="FFFFFF"/>
            <w:tcMar>
              <w:top w:w="0" w:type="dxa"/>
              <w:left w:w="0" w:type="dxa"/>
              <w:bottom w:w="0" w:type="dxa"/>
              <w:right w:w="0" w:type="dxa"/>
            </w:tcMar>
            <w:vAlign w:val="center"/>
          </w:tcPr>
          <w:p w14:paraId="59486DD1" w14:textId="77777777" w:rsidR="00592F45" w:rsidRDefault="00592F45">
            <w:pPr>
              <w:spacing w:before="100" w:after="100" w:line="240" w:lineRule="auto"/>
              <w:ind w:left="100" w:right="100"/>
              <w:jc w:val="right"/>
            </w:pPr>
          </w:p>
        </w:tc>
      </w:tr>
      <w:tr w:rsidR="00592F45" w14:paraId="55428701" w14:textId="77777777">
        <w:trPr>
          <w:cantSplit/>
          <w:jc w:val="center"/>
        </w:trPr>
        <w:tc>
          <w:tcPr>
            <w:tcW w:w="2294" w:type="dxa"/>
            <w:vMerge/>
            <w:tcBorders>
              <w:bottom w:val="single" w:sz="8" w:space="0" w:color="666666"/>
            </w:tcBorders>
            <w:shd w:val="clear" w:color="auto" w:fill="FFFFFF"/>
            <w:tcMar>
              <w:top w:w="0" w:type="dxa"/>
              <w:left w:w="0" w:type="dxa"/>
              <w:bottom w:w="0" w:type="dxa"/>
              <w:right w:w="0" w:type="dxa"/>
            </w:tcMar>
            <w:vAlign w:val="center"/>
          </w:tcPr>
          <w:p w14:paraId="6E80FE47" w14:textId="77777777" w:rsidR="00592F45" w:rsidRDefault="00592F45">
            <w:pPr>
              <w:spacing w:before="100" w:after="100" w:line="240" w:lineRule="auto"/>
              <w:ind w:left="100" w:right="100"/>
            </w:pPr>
          </w:p>
        </w:tc>
        <w:tc>
          <w:tcPr>
            <w:tcW w:w="1829" w:type="dxa"/>
            <w:tcBorders>
              <w:bottom w:val="single" w:sz="8" w:space="0" w:color="666666"/>
            </w:tcBorders>
            <w:shd w:val="clear" w:color="auto" w:fill="FFFFFF"/>
            <w:tcMar>
              <w:top w:w="0" w:type="dxa"/>
              <w:left w:w="0" w:type="dxa"/>
              <w:bottom w:w="0" w:type="dxa"/>
              <w:right w:w="0" w:type="dxa"/>
            </w:tcMar>
            <w:vAlign w:val="center"/>
          </w:tcPr>
          <w:p w14:paraId="65A7D730" w14:textId="77777777" w:rsidR="00592F45" w:rsidRDefault="00A12F32">
            <w:pPr>
              <w:spacing w:before="100" w:after="100" w:line="240" w:lineRule="auto"/>
              <w:ind w:left="100" w:right="100"/>
            </w:pPr>
            <w:r>
              <w:rPr>
                <w:rFonts w:ascii="Arial" w:eastAsia="Arial" w:hAnsi="Arial" w:cs="Arial"/>
                <w:color w:val="000000"/>
                <w:sz w:val="22"/>
                <w:szCs w:val="22"/>
              </w:rPr>
              <w:t>more than 10$</w:t>
            </w:r>
          </w:p>
        </w:tc>
        <w:tc>
          <w:tcPr>
            <w:tcW w:w="1988" w:type="dxa"/>
            <w:tcBorders>
              <w:bottom w:val="single" w:sz="8" w:space="0" w:color="666666"/>
            </w:tcBorders>
            <w:shd w:val="clear" w:color="auto" w:fill="FFFFFF"/>
            <w:tcMar>
              <w:top w:w="0" w:type="dxa"/>
              <w:left w:w="0" w:type="dxa"/>
              <w:bottom w:w="0" w:type="dxa"/>
              <w:right w:w="0" w:type="dxa"/>
            </w:tcMar>
            <w:vAlign w:val="center"/>
          </w:tcPr>
          <w:p w14:paraId="72F72DC4" w14:textId="77777777" w:rsidR="00592F45" w:rsidRDefault="00A12F32">
            <w:pPr>
              <w:spacing w:before="100" w:after="100" w:line="240" w:lineRule="auto"/>
              <w:ind w:left="100" w:right="100"/>
            </w:pPr>
            <w:r>
              <w:rPr>
                <w:rFonts w:ascii="Arial" w:eastAsia="Arial" w:hAnsi="Arial" w:cs="Arial"/>
                <w:color w:val="000000"/>
                <w:sz w:val="22"/>
                <w:szCs w:val="22"/>
              </w:rPr>
              <w:t>13 (17.81)</w:t>
            </w:r>
          </w:p>
        </w:tc>
        <w:tc>
          <w:tcPr>
            <w:tcW w:w="1817" w:type="dxa"/>
            <w:tcBorders>
              <w:bottom w:val="single" w:sz="8" w:space="0" w:color="666666"/>
            </w:tcBorders>
            <w:shd w:val="clear" w:color="auto" w:fill="FFFFFF"/>
            <w:tcMar>
              <w:top w:w="0" w:type="dxa"/>
              <w:left w:w="0" w:type="dxa"/>
              <w:bottom w:w="0" w:type="dxa"/>
              <w:right w:w="0" w:type="dxa"/>
            </w:tcMar>
            <w:vAlign w:val="center"/>
          </w:tcPr>
          <w:p w14:paraId="0FA3B689" w14:textId="77777777" w:rsidR="00592F45" w:rsidRDefault="00A12F32">
            <w:pPr>
              <w:spacing w:before="100" w:after="100" w:line="240" w:lineRule="auto"/>
              <w:ind w:left="100" w:right="100"/>
            </w:pPr>
            <w:r>
              <w:rPr>
                <w:rFonts w:ascii="Arial" w:eastAsia="Arial" w:hAnsi="Arial" w:cs="Arial"/>
                <w:color w:val="000000"/>
                <w:sz w:val="22"/>
                <w:szCs w:val="22"/>
              </w:rPr>
              <w:t>23 (14.47)</w:t>
            </w:r>
          </w:p>
        </w:tc>
        <w:tc>
          <w:tcPr>
            <w:tcW w:w="961" w:type="dxa"/>
            <w:tcBorders>
              <w:bottom w:val="single" w:sz="8" w:space="0" w:color="666666"/>
            </w:tcBorders>
            <w:shd w:val="clear" w:color="auto" w:fill="FFFFFF"/>
            <w:tcMar>
              <w:top w:w="0" w:type="dxa"/>
              <w:left w:w="0" w:type="dxa"/>
              <w:bottom w:w="0" w:type="dxa"/>
              <w:right w:w="0" w:type="dxa"/>
            </w:tcMar>
            <w:vAlign w:val="center"/>
          </w:tcPr>
          <w:p w14:paraId="169E62D7" w14:textId="77777777" w:rsidR="00592F45" w:rsidRDefault="00592F45">
            <w:pPr>
              <w:spacing w:before="100" w:after="100" w:line="240" w:lineRule="auto"/>
              <w:ind w:left="100" w:right="100"/>
              <w:jc w:val="right"/>
            </w:pPr>
          </w:p>
        </w:tc>
      </w:tr>
      <w:tr w:rsidR="00592F45" w14:paraId="50CE66CE" w14:textId="77777777">
        <w:trPr>
          <w:cantSplit/>
          <w:jc w:val="center"/>
        </w:trPr>
        <w:tc>
          <w:tcPr>
            <w:tcW w:w="2294"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74421457" w14:textId="77777777" w:rsidR="00592F45" w:rsidRDefault="00A12F32">
            <w:pPr>
              <w:spacing w:before="100" w:after="100" w:line="240" w:lineRule="auto"/>
              <w:ind w:left="100" w:right="100"/>
            </w:pPr>
            <w:r>
              <w:rPr>
                <w:rFonts w:ascii="Arial" w:eastAsia="Arial" w:hAnsi="Arial" w:cs="Arial"/>
                <w:color w:val="000000"/>
                <w:sz w:val="22"/>
                <w:szCs w:val="22"/>
              </w:rPr>
              <w:t>Num of Documents</w:t>
            </w:r>
          </w:p>
        </w:tc>
        <w:tc>
          <w:tcPr>
            <w:tcW w:w="1829" w:type="dxa"/>
            <w:tcBorders>
              <w:top w:val="single" w:sz="8" w:space="0" w:color="666666"/>
            </w:tcBorders>
            <w:shd w:val="clear" w:color="auto" w:fill="FFFFFF"/>
            <w:tcMar>
              <w:top w:w="0" w:type="dxa"/>
              <w:left w:w="0" w:type="dxa"/>
              <w:bottom w:w="0" w:type="dxa"/>
              <w:right w:w="0" w:type="dxa"/>
            </w:tcMar>
            <w:vAlign w:val="center"/>
          </w:tcPr>
          <w:p w14:paraId="26134BC9" w14:textId="77777777" w:rsidR="00592F45" w:rsidRDefault="00A12F32">
            <w:pPr>
              <w:spacing w:before="100" w:after="100" w:line="240" w:lineRule="auto"/>
              <w:ind w:left="100" w:right="100"/>
            </w:pPr>
            <w:r>
              <w:rPr>
                <w:rFonts w:ascii="Arial" w:eastAsia="Arial" w:hAnsi="Arial" w:cs="Arial"/>
                <w:color w:val="000000"/>
                <w:sz w:val="22"/>
                <w:szCs w:val="22"/>
              </w:rPr>
              <w:t>0-1</w:t>
            </w:r>
          </w:p>
        </w:tc>
        <w:tc>
          <w:tcPr>
            <w:tcW w:w="1988" w:type="dxa"/>
            <w:tcBorders>
              <w:top w:val="single" w:sz="8" w:space="0" w:color="666666"/>
            </w:tcBorders>
            <w:shd w:val="clear" w:color="auto" w:fill="FFFFFF"/>
            <w:tcMar>
              <w:top w:w="0" w:type="dxa"/>
              <w:left w:w="0" w:type="dxa"/>
              <w:bottom w:w="0" w:type="dxa"/>
              <w:right w:w="0" w:type="dxa"/>
            </w:tcMar>
            <w:vAlign w:val="center"/>
          </w:tcPr>
          <w:p w14:paraId="4D4F335D" w14:textId="77777777" w:rsidR="00592F45" w:rsidRDefault="00A12F32">
            <w:pPr>
              <w:spacing w:before="100" w:after="100" w:line="240" w:lineRule="auto"/>
              <w:ind w:left="100" w:right="100"/>
            </w:pPr>
            <w:r>
              <w:rPr>
                <w:rFonts w:ascii="Arial" w:eastAsia="Arial" w:hAnsi="Arial" w:cs="Arial"/>
                <w:color w:val="000000"/>
                <w:sz w:val="22"/>
                <w:szCs w:val="22"/>
              </w:rPr>
              <w:t>31 (42.47)</w:t>
            </w:r>
          </w:p>
        </w:tc>
        <w:tc>
          <w:tcPr>
            <w:tcW w:w="1817" w:type="dxa"/>
            <w:tcBorders>
              <w:top w:val="single" w:sz="8" w:space="0" w:color="666666"/>
            </w:tcBorders>
            <w:shd w:val="clear" w:color="auto" w:fill="FFFFFF"/>
            <w:tcMar>
              <w:top w:w="0" w:type="dxa"/>
              <w:left w:w="0" w:type="dxa"/>
              <w:bottom w:w="0" w:type="dxa"/>
              <w:right w:w="0" w:type="dxa"/>
            </w:tcMar>
            <w:vAlign w:val="center"/>
          </w:tcPr>
          <w:p w14:paraId="72724C5A" w14:textId="77777777" w:rsidR="00592F45" w:rsidRDefault="00A12F32">
            <w:pPr>
              <w:spacing w:before="100" w:after="100" w:line="240" w:lineRule="auto"/>
              <w:ind w:left="100" w:right="100"/>
            </w:pPr>
            <w:r>
              <w:rPr>
                <w:rFonts w:ascii="Arial" w:eastAsia="Arial" w:hAnsi="Arial" w:cs="Arial"/>
                <w:color w:val="000000"/>
                <w:sz w:val="22"/>
                <w:szCs w:val="22"/>
              </w:rPr>
              <w:t>17 (10.69)</w:t>
            </w:r>
          </w:p>
        </w:tc>
        <w:tc>
          <w:tcPr>
            <w:tcW w:w="961" w:type="dxa"/>
            <w:tcBorders>
              <w:top w:val="single" w:sz="8" w:space="0" w:color="666666"/>
            </w:tcBorders>
            <w:shd w:val="clear" w:color="auto" w:fill="FFFFFF"/>
            <w:tcMar>
              <w:top w:w="0" w:type="dxa"/>
              <w:left w:w="0" w:type="dxa"/>
              <w:bottom w:w="0" w:type="dxa"/>
              <w:right w:w="0" w:type="dxa"/>
            </w:tcMar>
            <w:vAlign w:val="center"/>
          </w:tcPr>
          <w:p w14:paraId="25E8032C" w14:textId="77777777" w:rsidR="00592F45" w:rsidRDefault="00A12F32">
            <w:pPr>
              <w:spacing w:before="100" w:after="100" w:line="240" w:lineRule="auto"/>
              <w:ind w:left="100" w:right="100"/>
              <w:jc w:val="right"/>
            </w:pPr>
            <w:r>
              <w:rPr>
                <w:rFonts w:ascii="Arial" w:eastAsia="Arial" w:hAnsi="Arial" w:cs="Arial"/>
                <w:color w:val="000000"/>
                <w:sz w:val="22"/>
                <w:szCs w:val="22"/>
              </w:rPr>
              <w:t>0.000</w:t>
            </w:r>
          </w:p>
        </w:tc>
      </w:tr>
      <w:tr w:rsidR="00592F45" w14:paraId="51FC0EBA" w14:textId="77777777">
        <w:trPr>
          <w:cantSplit/>
          <w:jc w:val="center"/>
        </w:trPr>
        <w:tc>
          <w:tcPr>
            <w:tcW w:w="2294" w:type="dxa"/>
            <w:vMerge/>
            <w:shd w:val="clear" w:color="auto" w:fill="FFFFFF"/>
            <w:tcMar>
              <w:top w:w="0" w:type="dxa"/>
              <w:left w:w="0" w:type="dxa"/>
              <w:bottom w:w="0" w:type="dxa"/>
              <w:right w:w="0" w:type="dxa"/>
            </w:tcMar>
            <w:vAlign w:val="center"/>
          </w:tcPr>
          <w:p w14:paraId="194AD30A" w14:textId="77777777" w:rsidR="00592F45" w:rsidRDefault="00592F45">
            <w:pPr>
              <w:spacing w:before="100" w:after="100" w:line="240" w:lineRule="auto"/>
              <w:ind w:left="100" w:right="100"/>
            </w:pPr>
          </w:p>
        </w:tc>
        <w:tc>
          <w:tcPr>
            <w:tcW w:w="1829" w:type="dxa"/>
            <w:shd w:val="clear" w:color="auto" w:fill="FFFFFF"/>
            <w:tcMar>
              <w:top w:w="0" w:type="dxa"/>
              <w:left w:w="0" w:type="dxa"/>
              <w:bottom w:w="0" w:type="dxa"/>
              <w:right w:w="0" w:type="dxa"/>
            </w:tcMar>
            <w:vAlign w:val="center"/>
          </w:tcPr>
          <w:p w14:paraId="668EF72E" w14:textId="77777777" w:rsidR="00592F45" w:rsidRDefault="00A12F32">
            <w:pPr>
              <w:spacing w:before="100" w:after="100" w:line="240" w:lineRule="auto"/>
              <w:ind w:left="100" w:right="100"/>
            </w:pPr>
            <w:r>
              <w:rPr>
                <w:rFonts w:ascii="Arial" w:eastAsia="Arial" w:hAnsi="Arial" w:cs="Arial"/>
                <w:color w:val="000000"/>
                <w:sz w:val="22"/>
                <w:szCs w:val="22"/>
              </w:rPr>
              <w:t>2-3</w:t>
            </w:r>
          </w:p>
        </w:tc>
        <w:tc>
          <w:tcPr>
            <w:tcW w:w="1988" w:type="dxa"/>
            <w:shd w:val="clear" w:color="auto" w:fill="FFFFFF"/>
            <w:tcMar>
              <w:top w:w="0" w:type="dxa"/>
              <w:left w:w="0" w:type="dxa"/>
              <w:bottom w:w="0" w:type="dxa"/>
              <w:right w:w="0" w:type="dxa"/>
            </w:tcMar>
            <w:vAlign w:val="center"/>
          </w:tcPr>
          <w:p w14:paraId="15AD83AB" w14:textId="77777777" w:rsidR="00592F45" w:rsidRDefault="00A12F32">
            <w:pPr>
              <w:spacing w:before="100" w:after="100" w:line="240" w:lineRule="auto"/>
              <w:ind w:left="100" w:right="100"/>
            </w:pPr>
            <w:r>
              <w:rPr>
                <w:rFonts w:ascii="Arial" w:eastAsia="Arial" w:hAnsi="Arial" w:cs="Arial"/>
                <w:color w:val="000000"/>
                <w:sz w:val="22"/>
                <w:szCs w:val="22"/>
              </w:rPr>
              <w:t>27 (36.99)</w:t>
            </w:r>
          </w:p>
        </w:tc>
        <w:tc>
          <w:tcPr>
            <w:tcW w:w="1817" w:type="dxa"/>
            <w:shd w:val="clear" w:color="auto" w:fill="FFFFFF"/>
            <w:tcMar>
              <w:top w:w="0" w:type="dxa"/>
              <w:left w:w="0" w:type="dxa"/>
              <w:bottom w:w="0" w:type="dxa"/>
              <w:right w:w="0" w:type="dxa"/>
            </w:tcMar>
            <w:vAlign w:val="center"/>
          </w:tcPr>
          <w:p w14:paraId="3CA0F670" w14:textId="77777777" w:rsidR="00592F45" w:rsidRDefault="00A12F32">
            <w:pPr>
              <w:spacing w:before="100" w:after="100" w:line="240" w:lineRule="auto"/>
              <w:ind w:left="100" w:right="100"/>
            </w:pPr>
            <w:r>
              <w:rPr>
                <w:rFonts w:ascii="Arial" w:eastAsia="Arial" w:hAnsi="Arial" w:cs="Arial"/>
                <w:color w:val="000000"/>
                <w:sz w:val="22"/>
                <w:szCs w:val="22"/>
              </w:rPr>
              <w:t>56 (35.22)</w:t>
            </w:r>
          </w:p>
        </w:tc>
        <w:tc>
          <w:tcPr>
            <w:tcW w:w="961" w:type="dxa"/>
            <w:shd w:val="clear" w:color="auto" w:fill="FFFFFF"/>
            <w:tcMar>
              <w:top w:w="0" w:type="dxa"/>
              <w:left w:w="0" w:type="dxa"/>
              <w:bottom w:w="0" w:type="dxa"/>
              <w:right w:w="0" w:type="dxa"/>
            </w:tcMar>
            <w:vAlign w:val="center"/>
          </w:tcPr>
          <w:p w14:paraId="061AECD3" w14:textId="77777777" w:rsidR="00592F45" w:rsidRDefault="00592F45">
            <w:pPr>
              <w:spacing w:before="100" w:after="100" w:line="240" w:lineRule="auto"/>
              <w:ind w:left="100" w:right="100"/>
              <w:jc w:val="right"/>
            </w:pPr>
          </w:p>
        </w:tc>
      </w:tr>
      <w:tr w:rsidR="00592F45" w14:paraId="74B63AB3" w14:textId="77777777">
        <w:trPr>
          <w:cantSplit/>
          <w:jc w:val="center"/>
        </w:trPr>
        <w:tc>
          <w:tcPr>
            <w:tcW w:w="2294" w:type="dxa"/>
            <w:vMerge/>
            <w:shd w:val="clear" w:color="auto" w:fill="FFFFFF"/>
            <w:tcMar>
              <w:top w:w="0" w:type="dxa"/>
              <w:left w:w="0" w:type="dxa"/>
              <w:bottom w:w="0" w:type="dxa"/>
              <w:right w:w="0" w:type="dxa"/>
            </w:tcMar>
            <w:vAlign w:val="center"/>
          </w:tcPr>
          <w:p w14:paraId="4DCDD8A0" w14:textId="77777777" w:rsidR="00592F45" w:rsidRDefault="00592F45">
            <w:pPr>
              <w:spacing w:before="100" w:after="100" w:line="240" w:lineRule="auto"/>
              <w:ind w:left="100" w:right="100"/>
            </w:pPr>
          </w:p>
        </w:tc>
        <w:tc>
          <w:tcPr>
            <w:tcW w:w="1829" w:type="dxa"/>
            <w:shd w:val="clear" w:color="auto" w:fill="FFFFFF"/>
            <w:tcMar>
              <w:top w:w="0" w:type="dxa"/>
              <w:left w:w="0" w:type="dxa"/>
              <w:bottom w:w="0" w:type="dxa"/>
              <w:right w:w="0" w:type="dxa"/>
            </w:tcMar>
            <w:vAlign w:val="center"/>
          </w:tcPr>
          <w:p w14:paraId="6CFC50E8" w14:textId="77777777" w:rsidR="00592F45" w:rsidRDefault="00A12F32">
            <w:pPr>
              <w:spacing w:before="100" w:after="100" w:line="240" w:lineRule="auto"/>
              <w:ind w:left="100" w:right="100"/>
            </w:pPr>
            <w:r>
              <w:rPr>
                <w:rFonts w:ascii="Arial" w:eastAsia="Arial" w:hAnsi="Arial" w:cs="Arial"/>
                <w:color w:val="000000"/>
                <w:sz w:val="22"/>
                <w:szCs w:val="22"/>
              </w:rPr>
              <w:t>4-5</w:t>
            </w:r>
          </w:p>
        </w:tc>
        <w:tc>
          <w:tcPr>
            <w:tcW w:w="1988" w:type="dxa"/>
            <w:shd w:val="clear" w:color="auto" w:fill="FFFFFF"/>
            <w:tcMar>
              <w:top w:w="0" w:type="dxa"/>
              <w:left w:w="0" w:type="dxa"/>
              <w:bottom w:w="0" w:type="dxa"/>
              <w:right w:w="0" w:type="dxa"/>
            </w:tcMar>
            <w:vAlign w:val="center"/>
          </w:tcPr>
          <w:p w14:paraId="26B8CBDE" w14:textId="77777777" w:rsidR="00592F45" w:rsidRDefault="00A12F32">
            <w:pPr>
              <w:spacing w:before="100" w:after="100" w:line="240" w:lineRule="auto"/>
              <w:ind w:left="100" w:right="100"/>
            </w:pPr>
            <w:r>
              <w:rPr>
                <w:rFonts w:ascii="Arial" w:eastAsia="Arial" w:hAnsi="Arial" w:cs="Arial"/>
                <w:color w:val="000000"/>
                <w:sz w:val="22"/>
                <w:szCs w:val="22"/>
              </w:rPr>
              <w:t>2 (2.74)</w:t>
            </w:r>
          </w:p>
        </w:tc>
        <w:tc>
          <w:tcPr>
            <w:tcW w:w="1817" w:type="dxa"/>
            <w:shd w:val="clear" w:color="auto" w:fill="FFFFFF"/>
            <w:tcMar>
              <w:top w:w="0" w:type="dxa"/>
              <w:left w:w="0" w:type="dxa"/>
              <w:bottom w:w="0" w:type="dxa"/>
              <w:right w:w="0" w:type="dxa"/>
            </w:tcMar>
            <w:vAlign w:val="center"/>
          </w:tcPr>
          <w:p w14:paraId="1A71D998" w14:textId="77777777" w:rsidR="00592F45" w:rsidRDefault="00A12F32">
            <w:pPr>
              <w:spacing w:before="100" w:after="100" w:line="240" w:lineRule="auto"/>
              <w:ind w:left="100" w:right="100"/>
            </w:pPr>
            <w:r>
              <w:rPr>
                <w:rFonts w:ascii="Arial" w:eastAsia="Arial" w:hAnsi="Arial" w:cs="Arial"/>
                <w:color w:val="000000"/>
                <w:sz w:val="22"/>
                <w:szCs w:val="22"/>
              </w:rPr>
              <w:t>13 (8.18)</w:t>
            </w:r>
          </w:p>
        </w:tc>
        <w:tc>
          <w:tcPr>
            <w:tcW w:w="961" w:type="dxa"/>
            <w:shd w:val="clear" w:color="auto" w:fill="FFFFFF"/>
            <w:tcMar>
              <w:top w:w="0" w:type="dxa"/>
              <w:left w:w="0" w:type="dxa"/>
              <w:bottom w:w="0" w:type="dxa"/>
              <w:right w:w="0" w:type="dxa"/>
            </w:tcMar>
            <w:vAlign w:val="center"/>
          </w:tcPr>
          <w:p w14:paraId="1CB55CCF" w14:textId="77777777" w:rsidR="00592F45" w:rsidRDefault="00592F45">
            <w:pPr>
              <w:spacing w:before="100" w:after="100" w:line="240" w:lineRule="auto"/>
              <w:ind w:left="100" w:right="100"/>
              <w:jc w:val="right"/>
            </w:pPr>
          </w:p>
        </w:tc>
      </w:tr>
      <w:tr w:rsidR="00592F45" w14:paraId="531EDA8D" w14:textId="77777777">
        <w:trPr>
          <w:cantSplit/>
          <w:jc w:val="center"/>
        </w:trPr>
        <w:tc>
          <w:tcPr>
            <w:tcW w:w="2294" w:type="dxa"/>
            <w:vMerge/>
            <w:shd w:val="clear" w:color="auto" w:fill="FFFFFF"/>
            <w:tcMar>
              <w:top w:w="0" w:type="dxa"/>
              <w:left w:w="0" w:type="dxa"/>
              <w:bottom w:w="0" w:type="dxa"/>
              <w:right w:w="0" w:type="dxa"/>
            </w:tcMar>
            <w:vAlign w:val="center"/>
          </w:tcPr>
          <w:p w14:paraId="0DF6EC80" w14:textId="77777777" w:rsidR="00592F45" w:rsidRDefault="00592F45">
            <w:pPr>
              <w:spacing w:before="100" w:after="100" w:line="240" w:lineRule="auto"/>
              <w:ind w:left="100" w:right="100"/>
            </w:pPr>
          </w:p>
        </w:tc>
        <w:tc>
          <w:tcPr>
            <w:tcW w:w="1829" w:type="dxa"/>
            <w:shd w:val="clear" w:color="auto" w:fill="FFFFFF"/>
            <w:tcMar>
              <w:top w:w="0" w:type="dxa"/>
              <w:left w:w="0" w:type="dxa"/>
              <w:bottom w:w="0" w:type="dxa"/>
              <w:right w:w="0" w:type="dxa"/>
            </w:tcMar>
            <w:vAlign w:val="center"/>
          </w:tcPr>
          <w:p w14:paraId="54DBAD8F" w14:textId="77777777" w:rsidR="00592F45" w:rsidRDefault="00A12F32">
            <w:pPr>
              <w:spacing w:before="100" w:after="100" w:line="240" w:lineRule="auto"/>
              <w:ind w:left="100" w:right="100"/>
            </w:pPr>
            <w:r>
              <w:rPr>
                <w:rFonts w:ascii="Arial" w:eastAsia="Arial" w:hAnsi="Arial" w:cs="Arial"/>
                <w:color w:val="000000"/>
                <w:sz w:val="22"/>
                <w:szCs w:val="22"/>
              </w:rPr>
              <w:t>6-7</w:t>
            </w:r>
          </w:p>
        </w:tc>
        <w:tc>
          <w:tcPr>
            <w:tcW w:w="1988" w:type="dxa"/>
            <w:shd w:val="clear" w:color="auto" w:fill="FFFFFF"/>
            <w:tcMar>
              <w:top w:w="0" w:type="dxa"/>
              <w:left w:w="0" w:type="dxa"/>
              <w:bottom w:w="0" w:type="dxa"/>
              <w:right w:w="0" w:type="dxa"/>
            </w:tcMar>
            <w:vAlign w:val="center"/>
          </w:tcPr>
          <w:p w14:paraId="0A9E3699" w14:textId="77777777" w:rsidR="00592F45" w:rsidRDefault="00A12F32">
            <w:pPr>
              <w:spacing w:before="100" w:after="100" w:line="240" w:lineRule="auto"/>
              <w:ind w:left="100" w:right="100"/>
            </w:pPr>
            <w:r>
              <w:rPr>
                <w:rFonts w:ascii="Arial" w:eastAsia="Arial" w:hAnsi="Arial" w:cs="Arial"/>
                <w:color w:val="000000"/>
                <w:sz w:val="22"/>
                <w:szCs w:val="22"/>
              </w:rPr>
              <w:t>1 (1.37)</w:t>
            </w:r>
          </w:p>
        </w:tc>
        <w:tc>
          <w:tcPr>
            <w:tcW w:w="1817" w:type="dxa"/>
            <w:shd w:val="clear" w:color="auto" w:fill="FFFFFF"/>
            <w:tcMar>
              <w:top w:w="0" w:type="dxa"/>
              <w:left w:w="0" w:type="dxa"/>
              <w:bottom w:w="0" w:type="dxa"/>
              <w:right w:w="0" w:type="dxa"/>
            </w:tcMar>
            <w:vAlign w:val="center"/>
          </w:tcPr>
          <w:p w14:paraId="72A1316B" w14:textId="77777777" w:rsidR="00592F45" w:rsidRDefault="00A12F32">
            <w:pPr>
              <w:spacing w:before="100" w:after="100" w:line="240" w:lineRule="auto"/>
              <w:ind w:left="100" w:right="100"/>
            </w:pPr>
            <w:r>
              <w:rPr>
                <w:rFonts w:ascii="Arial" w:eastAsia="Arial" w:hAnsi="Arial" w:cs="Arial"/>
                <w:color w:val="000000"/>
                <w:sz w:val="22"/>
                <w:szCs w:val="22"/>
              </w:rPr>
              <w:t>3 (1.89)</w:t>
            </w:r>
          </w:p>
        </w:tc>
        <w:tc>
          <w:tcPr>
            <w:tcW w:w="961" w:type="dxa"/>
            <w:shd w:val="clear" w:color="auto" w:fill="FFFFFF"/>
            <w:tcMar>
              <w:top w:w="0" w:type="dxa"/>
              <w:left w:w="0" w:type="dxa"/>
              <w:bottom w:w="0" w:type="dxa"/>
              <w:right w:w="0" w:type="dxa"/>
            </w:tcMar>
            <w:vAlign w:val="center"/>
          </w:tcPr>
          <w:p w14:paraId="2CF1CBA9" w14:textId="77777777" w:rsidR="00592F45" w:rsidRDefault="00592F45">
            <w:pPr>
              <w:spacing w:before="100" w:after="100" w:line="240" w:lineRule="auto"/>
              <w:ind w:left="100" w:right="100"/>
              <w:jc w:val="right"/>
            </w:pPr>
          </w:p>
        </w:tc>
      </w:tr>
      <w:tr w:rsidR="00592F45" w14:paraId="7DD3B5A6" w14:textId="77777777">
        <w:trPr>
          <w:cantSplit/>
          <w:jc w:val="center"/>
        </w:trPr>
        <w:tc>
          <w:tcPr>
            <w:tcW w:w="2294" w:type="dxa"/>
            <w:vMerge/>
            <w:shd w:val="clear" w:color="auto" w:fill="FFFFFF"/>
            <w:tcMar>
              <w:top w:w="0" w:type="dxa"/>
              <w:left w:w="0" w:type="dxa"/>
              <w:bottom w:w="0" w:type="dxa"/>
              <w:right w:w="0" w:type="dxa"/>
            </w:tcMar>
            <w:vAlign w:val="center"/>
          </w:tcPr>
          <w:p w14:paraId="61B329FD" w14:textId="77777777" w:rsidR="00592F45" w:rsidRDefault="00592F45">
            <w:pPr>
              <w:spacing w:before="100" w:after="100" w:line="240" w:lineRule="auto"/>
              <w:ind w:left="100" w:right="100"/>
            </w:pPr>
          </w:p>
        </w:tc>
        <w:tc>
          <w:tcPr>
            <w:tcW w:w="1829" w:type="dxa"/>
            <w:shd w:val="clear" w:color="auto" w:fill="FFFFFF"/>
            <w:tcMar>
              <w:top w:w="0" w:type="dxa"/>
              <w:left w:w="0" w:type="dxa"/>
              <w:bottom w:w="0" w:type="dxa"/>
              <w:right w:w="0" w:type="dxa"/>
            </w:tcMar>
            <w:vAlign w:val="center"/>
          </w:tcPr>
          <w:p w14:paraId="315EB5CA" w14:textId="77777777" w:rsidR="00592F45" w:rsidRDefault="00A12F32">
            <w:pPr>
              <w:spacing w:before="100" w:after="100" w:line="240" w:lineRule="auto"/>
              <w:ind w:left="100" w:right="100"/>
            </w:pPr>
            <w:r>
              <w:rPr>
                <w:rFonts w:ascii="Arial" w:eastAsia="Arial" w:hAnsi="Arial" w:cs="Arial"/>
                <w:color w:val="000000"/>
                <w:sz w:val="22"/>
                <w:szCs w:val="22"/>
              </w:rPr>
              <w:t>8-9</w:t>
            </w:r>
          </w:p>
        </w:tc>
        <w:tc>
          <w:tcPr>
            <w:tcW w:w="1988" w:type="dxa"/>
            <w:shd w:val="clear" w:color="auto" w:fill="FFFFFF"/>
            <w:tcMar>
              <w:top w:w="0" w:type="dxa"/>
              <w:left w:w="0" w:type="dxa"/>
              <w:bottom w:w="0" w:type="dxa"/>
              <w:right w:w="0" w:type="dxa"/>
            </w:tcMar>
            <w:vAlign w:val="center"/>
          </w:tcPr>
          <w:p w14:paraId="1970C8EC" w14:textId="77777777" w:rsidR="00592F45" w:rsidRDefault="00A12F32">
            <w:pPr>
              <w:spacing w:before="100" w:after="100" w:line="240" w:lineRule="auto"/>
              <w:ind w:left="100" w:right="100"/>
            </w:pPr>
            <w:r>
              <w:rPr>
                <w:rFonts w:ascii="Arial" w:eastAsia="Arial" w:hAnsi="Arial" w:cs="Arial"/>
                <w:color w:val="000000"/>
                <w:sz w:val="22"/>
                <w:szCs w:val="22"/>
              </w:rPr>
              <w:t>0 (0)</w:t>
            </w:r>
          </w:p>
        </w:tc>
        <w:tc>
          <w:tcPr>
            <w:tcW w:w="1817" w:type="dxa"/>
            <w:shd w:val="clear" w:color="auto" w:fill="FFFFFF"/>
            <w:tcMar>
              <w:top w:w="0" w:type="dxa"/>
              <w:left w:w="0" w:type="dxa"/>
              <w:bottom w:w="0" w:type="dxa"/>
              <w:right w:w="0" w:type="dxa"/>
            </w:tcMar>
            <w:vAlign w:val="center"/>
          </w:tcPr>
          <w:p w14:paraId="16D8C49A" w14:textId="77777777" w:rsidR="00592F45" w:rsidRDefault="00A12F32">
            <w:pPr>
              <w:spacing w:before="100" w:after="100" w:line="240" w:lineRule="auto"/>
              <w:ind w:left="100" w:right="100"/>
            </w:pPr>
            <w:r>
              <w:rPr>
                <w:rFonts w:ascii="Arial" w:eastAsia="Arial" w:hAnsi="Arial" w:cs="Arial"/>
                <w:color w:val="000000"/>
                <w:sz w:val="22"/>
                <w:szCs w:val="22"/>
              </w:rPr>
              <w:t>0 (0)</w:t>
            </w:r>
          </w:p>
        </w:tc>
        <w:tc>
          <w:tcPr>
            <w:tcW w:w="961" w:type="dxa"/>
            <w:shd w:val="clear" w:color="auto" w:fill="FFFFFF"/>
            <w:tcMar>
              <w:top w:w="0" w:type="dxa"/>
              <w:left w:w="0" w:type="dxa"/>
              <w:bottom w:w="0" w:type="dxa"/>
              <w:right w:w="0" w:type="dxa"/>
            </w:tcMar>
            <w:vAlign w:val="center"/>
          </w:tcPr>
          <w:p w14:paraId="14FB0AA2" w14:textId="77777777" w:rsidR="00592F45" w:rsidRDefault="00592F45">
            <w:pPr>
              <w:spacing w:before="100" w:after="100" w:line="240" w:lineRule="auto"/>
              <w:ind w:left="100" w:right="100"/>
              <w:jc w:val="right"/>
            </w:pPr>
          </w:p>
        </w:tc>
      </w:tr>
      <w:tr w:rsidR="00592F45" w14:paraId="0D8B40A9" w14:textId="77777777">
        <w:trPr>
          <w:cantSplit/>
          <w:jc w:val="center"/>
        </w:trPr>
        <w:tc>
          <w:tcPr>
            <w:tcW w:w="2294" w:type="dxa"/>
            <w:vMerge/>
            <w:tcBorders>
              <w:bottom w:val="single" w:sz="16" w:space="0" w:color="666666"/>
            </w:tcBorders>
            <w:shd w:val="clear" w:color="auto" w:fill="FFFFFF"/>
            <w:tcMar>
              <w:top w:w="0" w:type="dxa"/>
              <w:left w:w="0" w:type="dxa"/>
              <w:bottom w:w="0" w:type="dxa"/>
              <w:right w:w="0" w:type="dxa"/>
            </w:tcMar>
            <w:vAlign w:val="center"/>
          </w:tcPr>
          <w:p w14:paraId="3DECA87A" w14:textId="77777777" w:rsidR="00592F45" w:rsidRDefault="00592F45">
            <w:pPr>
              <w:spacing w:before="100" w:after="100" w:line="240" w:lineRule="auto"/>
              <w:ind w:left="100" w:right="100"/>
            </w:pPr>
          </w:p>
        </w:tc>
        <w:tc>
          <w:tcPr>
            <w:tcW w:w="1829" w:type="dxa"/>
            <w:tcBorders>
              <w:bottom w:val="single" w:sz="16" w:space="0" w:color="666666"/>
            </w:tcBorders>
            <w:shd w:val="clear" w:color="auto" w:fill="FFFFFF"/>
            <w:tcMar>
              <w:top w:w="0" w:type="dxa"/>
              <w:left w:w="0" w:type="dxa"/>
              <w:bottom w:w="0" w:type="dxa"/>
              <w:right w:w="0" w:type="dxa"/>
            </w:tcMar>
            <w:vAlign w:val="center"/>
          </w:tcPr>
          <w:p w14:paraId="3B081DDF" w14:textId="77777777" w:rsidR="00592F45" w:rsidRDefault="00A12F32">
            <w:pPr>
              <w:spacing w:before="100" w:after="100" w:line="240" w:lineRule="auto"/>
              <w:ind w:left="100" w:right="100"/>
            </w:pPr>
            <w:r>
              <w:rPr>
                <w:rFonts w:ascii="Arial" w:eastAsia="Arial" w:hAnsi="Arial" w:cs="Arial"/>
                <w:color w:val="000000"/>
                <w:sz w:val="22"/>
                <w:szCs w:val="22"/>
              </w:rPr>
              <w:t>more than 10</w:t>
            </w:r>
          </w:p>
        </w:tc>
        <w:tc>
          <w:tcPr>
            <w:tcW w:w="1988" w:type="dxa"/>
            <w:tcBorders>
              <w:bottom w:val="single" w:sz="16" w:space="0" w:color="666666"/>
            </w:tcBorders>
            <w:shd w:val="clear" w:color="auto" w:fill="FFFFFF"/>
            <w:tcMar>
              <w:top w:w="0" w:type="dxa"/>
              <w:left w:w="0" w:type="dxa"/>
              <w:bottom w:w="0" w:type="dxa"/>
              <w:right w:w="0" w:type="dxa"/>
            </w:tcMar>
            <w:vAlign w:val="center"/>
          </w:tcPr>
          <w:p w14:paraId="416ECDC7" w14:textId="77777777" w:rsidR="00592F45" w:rsidRDefault="00A12F32">
            <w:pPr>
              <w:spacing w:before="100" w:after="100" w:line="240" w:lineRule="auto"/>
              <w:ind w:left="100" w:right="100"/>
            </w:pPr>
            <w:r>
              <w:rPr>
                <w:rFonts w:ascii="Arial" w:eastAsia="Arial" w:hAnsi="Arial" w:cs="Arial"/>
                <w:color w:val="000000"/>
                <w:sz w:val="22"/>
                <w:szCs w:val="22"/>
              </w:rPr>
              <w:t>1 (1.37)</w:t>
            </w:r>
          </w:p>
        </w:tc>
        <w:tc>
          <w:tcPr>
            <w:tcW w:w="1817" w:type="dxa"/>
            <w:tcBorders>
              <w:bottom w:val="single" w:sz="16" w:space="0" w:color="666666"/>
            </w:tcBorders>
            <w:shd w:val="clear" w:color="auto" w:fill="FFFFFF"/>
            <w:tcMar>
              <w:top w:w="0" w:type="dxa"/>
              <w:left w:w="0" w:type="dxa"/>
              <w:bottom w:w="0" w:type="dxa"/>
              <w:right w:w="0" w:type="dxa"/>
            </w:tcMar>
            <w:vAlign w:val="center"/>
          </w:tcPr>
          <w:p w14:paraId="52D915FF" w14:textId="77777777" w:rsidR="00592F45" w:rsidRDefault="00A12F32">
            <w:pPr>
              <w:spacing w:before="100" w:after="100" w:line="240" w:lineRule="auto"/>
              <w:ind w:left="100" w:right="100"/>
            </w:pPr>
            <w:r>
              <w:rPr>
                <w:rFonts w:ascii="Arial" w:eastAsia="Arial" w:hAnsi="Arial" w:cs="Arial"/>
                <w:color w:val="000000"/>
                <w:sz w:val="22"/>
                <w:szCs w:val="22"/>
              </w:rPr>
              <w:t>2 (1.26)</w:t>
            </w:r>
          </w:p>
        </w:tc>
        <w:tc>
          <w:tcPr>
            <w:tcW w:w="961" w:type="dxa"/>
            <w:tcBorders>
              <w:bottom w:val="single" w:sz="16" w:space="0" w:color="666666"/>
            </w:tcBorders>
            <w:shd w:val="clear" w:color="auto" w:fill="FFFFFF"/>
            <w:tcMar>
              <w:top w:w="0" w:type="dxa"/>
              <w:left w:w="0" w:type="dxa"/>
              <w:bottom w:w="0" w:type="dxa"/>
              <w:right w:w="0" w:type="dxa"/>
            </w:tcMar>
            <w:vAlign w:val="center"/>
          </w:tcPr>
          <w:p w14:paraId="6D2DB525" w14:textId="77777777" w:rsidR="00592F45" w:rsidRDefault="00592F45">
            <w:pPr>
              <w:spacing w:before="100" w:after="100" w:line="240" w:lineRule="auto"/>
              <w:ind w:left="100" w:right="100"/>
              <w:jc w:val="right"/>
            </w:pPr>
          </w:p>
        </w:tc>
      </w:tr>
      <w:bookmarkEnd w:id="6"/>
    </w:tbl>
    <w:p w14:paraId="323C3C62" w14:textId="77777777" w:rsidR="00A12F32" w:rsidRDefault="00A12F32"/>
    <w:sectPr w:rsidR="00A12F32">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65624" w14:textId="77777777" w:rsidR="00A12F32" w:rsidRDefault="00A12F32">
      <w:pPr>
        <w:spacing w:before="0" w:after="0" w:line="240" w:lineRule="auto"/>
      </w:pPr>
      <w:r>
        <w:separator/>
      </w:r>
    </w:p>
  </w:endnote>
  <w:endnote w:type="continuationSeparator" w:id="0">
    <w:p w14:paraId="13663432" w14:textId="77777777" w:rsidR="00A12F32" w:rsidRDefault="00A12F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F85BE" w14:textId="77777777" w:rsidR="00A12F32" w:rsidRDefault="00A12F32">
      <w:r>
        <w:separator/>
      </w:r>
    </w:p>
  </w:footnote>
  <w:footnote w:type="continuationSeparator" w:id="0">
    <w:p w14:paraId="5C17D30A" w14:textId="77777777" w:rsidR="00A12F32" w:rsidRDefault="00A12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768E55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8642C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200F6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5A684B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E0AC9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5C0536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D46DC1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74845A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960703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9DEB1C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35CF8"/>
    <w:rsid w:val="004E29B3"/>
    <w:rsid w:val="00590D07"/>
    <w:rsid w:val="00592F45"/>
    <w:rsid w:val="00784D58"/>
    <w:rsid w:val="008D6863"/>
    <w:rsid w:val="00A12F3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AB98"/>
  <w15:docId w15:val="{7D56AEE5-FA02-4852-8810-0A1AC6F8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FF5"/>
    <w:pPr>
      <w:spacing w:before="120" w:after="240" w:line="480" w:lineRule="auto"/>
    </w:pPr>
    <w:rPr>
      <w:rFonts w:ascii="Times New Roman" w:hAnsi="Times New Roman"/>
    </w:rPr>
  </w:style>
  <w:style w:type="paragraph" w:styleId="1">
    <w:name w:val="heading 1"/>
    <w:basedOn w:val="a"/>
    <w:next w:val="a0"/>
    <w:uiPriority w:val="9"/>
    <w:qFormat/>
    <w:rsid w:val="00572FF5"/>
    <w:pPr>
      <w:keepNext/>
      <w:keepLines/>
      <w:spacing w:before="480" w:after="0"/>
      <w:jc w:val="center"/>
      <w:outlineLvl w:val="0"/>
    </w:pPr>
    <w:rPr>
      <w:rFonts w:eastAsiaTheme="majorEastAsia" w:cstheme="majorBidi"/>
      <w:b/>
      <w:bCs/>
      <w:szCs w:val="32"/>
    </w:rPr>
  </w:style>
  <w:style w:type="paragraph" w:styleId="2">
    <w:name w:val="heading 2"/>
    <w:basedOn w:val="1"/>
    <w:next w:val="a0"/>
    <w:uiPriority w:val="9"/>
    <w:unhideWhenUsed/>
    <w:qFormat/>
    <w:rsid w:val="00AB6A32"/>
    <w:pPr>
      <w:spacing w:before="200"/>
      <w:jc w:val="left"/>
      <w:outlineLvl w:val="1"/>
    </w:pPr>
    <w:rPr>
      <w:bCs w:val="0"/>
    </w:rPr>
  </w:style>
  <w:style w:type="paragraph" w:styleId="3">
    <w:name w:val="heading 3"/>
    <w:basedOn w:val="2"/>
    <w:next w:val="a"/>
    <w:uiPriority w:val="9"/>
    <w:unhideWhenUsed/>
    <w:qFormat/>
    <w:rsid w:val="009210F8"/>
    <w:pPr>
      <w:spacing w:before="0" w:line="240" w:lineRule="auto"/>
      <w:outlineLvl w:val="2"/>
    </w:pPr>
    <w:rPr>
      <w:bCs/>
      <w:szCs w:val="28"/>
    </w:rPr>
  </w:style>
  <w:style w:type="paragraph" w:styleId="4">
    <w:name w:val="heading 4"/>
    <w:basedOn w:val="3"/>
    <w:next w:val="a0"/>
    <w:uiPriority w:val="9"/>
    <w:unhideWhenUsed/>
    <w:qFormat/>
    <w:rsid w:val="00F0724A"/>
    <w:pPr>
      <w:framePr w:wrap="around" w:hAnchor="text"/>
      <w:outlineLvl w:val="3"/>
    </w:pPr>
    <w:rPr>
      <w:bCs w:val="0"/>
      <w:i/>
    </w:rPr>
  </w:style>
  <w:style w:type="paragraph" w:styleId="5">
    <w:name w:val="heading 5"/>
    <w:basedOn w:val="4"/>
    <w:next w:val="a0"/>
    <w:uiPriority w:val="9"/>
    <w:unhideWhenUsed/>
    <w:qFormat/>
    <w:rsid w:val="00F0724A"/>
    <w:pPr>
      <w:framePr w:wrap="around"/>
      <w:outlineLvl w:val="4"/>
    </w:pPr>
    <w:rPr>
      <w:b w:val="0"/>
      <w:iCs/>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5036C4"/>
    <w:pPr>
      <w:spacing w:before="180"/>
      <w:ind w:firstLine="680"/>
    </w:pPr>
  </w:style>
  <w:style w:type="paragraph" w:customStyle="1" w:styleId="FirstParagraph">
    <w:name w:val="First Paragraph"/>
    <w:basedOn w:val="a0"/>
    <w:next w:val="a0"/>
    <w:qFormat/>
  </w:style>
  <w:style w:type="paragraph" w:customStyle="1" w:styleId="Compact">
    <w:name w:val="Compact"/>
    <w:basedOn w:val="a0"/>
    <w:qFormat/>
    <w:rsid w:val="00AF6DE6"/>
    <w:pPr>
      <w:spacing w:after="180" w:line="240" w:lineRule="auto"/>
      <w:ind w:firstLine="0"/>
    </w:pPr>
  </w:style>
  <w:style w:type="paragraph" w:styleId="a4">
    <w:name w:val="Title"/>
    <w:basedOn w:val="a"/>
    <w:next w:val="a0"/>
    <w:qFormat/>
    <w:rsid w:val="00335CF8"/>
    <w:pPr>
      <w:keepNext/>
      <w:keepLines/>
      <w:spacing w:before="2040"/>
      <w:jc w:val="center"/>
    </w:pPr>
    <w:rPr>
      <w:rFonts w:eastAsiaTheme="majorEastAsia" w:cstheme="majorBidi"/>
      <w:b/>
    </w:rPr>
  </w:style>
  <w:style w:type="paragraph" w:styleId="a5">
    <w:name w:val="Subtitle"/>
    <w:basedOn w:val="a4"/>
    <w:next w:val="a0"/>
    <w:qFormat/>
    <w:rsid w:val="00572FF5"/>
    <w:pPr>
      <w:spacing w:before="240"/>
    </w:pPr>
    <w:rPr>
      <w:szCs w:val="30"/>
    </w:rPr>
  </w:style>
  <w:style w:type="paragraph" w:customStyle="1" w:styleId="Author">
    <w:name w:val="Author"/>
    <w:basedOn w:val="a4"/>
    <w:next w:val="a0"/>
    <w:qFormat/>
    <w:rsid w:val="00335CF8"/>
    <w:pPr>
      <w:spacing w:before="0"/>
      <w:jc w:val="left"/>
    </w:pPr>
    <w:rPr>
      <w:b w:val="0"/>
    </w:rPr>
  </w:style>
  <w:style w:type="paragraph" w:styleId="a6">
    <w:name w:val="Date"/>
    <w:next w:val="a0"/>
    <w:qFormat/>
    <w:rsid w:val="00335CF8"/>
    <w:pPr>
      <w:keepNext/>
      <w:keepLines/>
    </w:pPr>
  </w:style>
  <w:style w:type="paragraph" w:customStyle="1" w:styleId="Abstract">
    <w:name w:val="Abstract"/>
    <w:basedOn w:val="a"/>
    <w:next w:val="a0"/>
    <w:qFormat/>
    <w:rsid w:val="00572FF5"/>
    <w:pPr>
      <w:keepNext/>
      <w:keepLines/>
      <w:spacing w:before="300" w:after="300"/>
    </w:pPr>
    <w:rPr>
      <w:szCs w:val="20"/>
    </w:rPr>
  </w:style>
  <w:style w:type="paragraph" w:styleId="a7">
    <w:name w:val="Bibliography"/>
    <w:aliases w:val="refs"/>
    <w:basedOn w:val="a"/>
    <w:qFormat/>
    <w:rsid w:val="00572FF5"/>
    <w:pPr>
      <w:ind w:left="680" w:hanging="680"/>
    </w:pPr>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006D3F"/>
    <w:pPr>
      <w:spacing w:before="0"/>
    </w:pPr>
  </w:style>
  <w:style w:type="table" w:customStyle="1" w:styleId="Table">
    <w:name w:val="Table"/>
    <w:basedOn w:val="a2"/>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006D3F"/>
    <w:pPr>
      <w:keepNext/>
    </w:pPr>
  </w:style>
  <w:style w:type="paragraph" w:customStyle="1" w:styleId="ImageCaption">
    <w:name w:val="Image Caption"/>
    <w:basedOn w:val="aa"/>
    <w:rsid w:val="00421B26"/>
    <w:rPr>
      <w:i w:val="0"/>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0">
    <w:name w:val="캡션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rsid w:val="00006D3F"/>
    <w:pPr>
      <w:spacing w:before="240" w:after="240"/>
      <w:outlineLvl w:val="9"/>
    </w:pPr>
    <w:rPr>
      <w:bCs w:val="0"/>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1"/>
    <w:uiPriority w:val="99"/>
    <w:unhideWhenUsed/>
    <w:rsid w:val="00AF36ED"/>
    <w:pPr>
      <w:tabs>
        <w:tab w:val="center" w:pos="4536"/>
        <w:tab w:val="right" w:pos="9072"/>
      </w:tabs>
      <w:spacing w:after="0"/>
    </w:pPr>
  </w:style>
  <w:style w:type="character" w:customStyle="1" w:styleId="Char1">
    <w:name w:val="머리글 Char"/>
    <w:basedOn w:val="a1"/>
    <w:link w:val="ad"/>
    <w:uiPriority w:val="99"/>
    <w:rsid w:val="00AF36ED"/>
  </w:style>
  <w:style w:type="paragraph" w:styleId="ae">
    <w:name w:val="footer"/>
    <w:basedOn w:val="a"/>
    <w:link w:val="Char2"/>
    <w:unhideWhenUsed/>
    <w:rsid w:val="00AF36ED"/>
    <w:pPr>
      <w:tabs>
        <w:tab w:val="center" w:pos="4536"/>
        <w:tab w:val="right" w:pos="9072"/>
      </w:tabs>
      <w:spacing w:after="0"/>
    </w:pPr>
  </w:style>
  <w:style w:type="character" w:customStyle="1" w:styleId="Char2">
    <w:name w:val="바닥글 Char"/>
    <w:basedOn w:val="a1"/>
    <w:link w:val="ae"/>
    <w:rsid w:val="00AF36ED"/>
  </w:style>
  <w:style w:type="character" w:styleId="af">
    <w:name w:val="page number"/>
    <w:basedOn w:val="a1"/>
    <w:semiHidden/>
    <w:unhideWhenUsed/>
    <w:rsid w:val="00AF36ED"/>
  </w:style>
  <w:style w:type="paragraph" w:customStyle="1" w:styleId="h1-pagebreak">
    <w:name w:val="h1-pagebreak"/>
    <w:basedOn w:val="1"/>
    <w:qFormat/>
    <w:rsid w:val="00DD5581"/>
    <w:pPr>
      <w:pageBreakBefore/>
    </w:pPr>
    <w:rPr>
      <w:b w:val="0"/>
    </w:rPr>
  </w:style>
  <w:style w:type="character" w:customStyle="1" w:styleId="Char">
    <w:name w:val="본문 Char"/>
    <w:basedOn w:val="a1"/>
    <w:link w:val="a0"/>
    <w:rsid w:val="005036C4"/>
    <w:rPr>
      <w:rFonts w:ascii="Times New Roman" w:hAnsi="Times New Roman"/>
    </w:rPr>
  </w:style>
  <w:style w:type="table" w:styleId="af0">
    <w:name w:val="Table Grid"/>
    <w:basedOn w:val="a2"/>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2"/>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0">
    <w:name w:val="Plain Table 2"/>
    <w:basedOn w:val="a2"/>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2"/>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1">
    <w:name w:val="Book Title"/>
    <w:basedOn w:val="a1"/>
    <w:rsid w:val="00F14702"/>
    <w:rPr>
      <w:b/>
      <w:bCs/>
      <w:i/>
      <w:iCs/>
      <w:spacing w:val="5"/>
    </w:rPr>
  </w:style>
  <w:style w:type="paragraph" w:customStyle="1" w:styleId="h1-titlepage">
    <w:name w:val="h1-titlepage"/>
    <w:basedOn w:val="h1-pagebreak"/>
    <w:qFormat/>
    <w:rsid w:val="00A05772"/>
    <w:rPr>
      <w:b/>
    </w:rPr>
  </w:style>
  <w:style w:type="character" w:styleId="af2">
    <w:name w:val="line number"/>
    <w:basedOn w:val="a1"/>
    <w:semiHidden/>
    <w:unhideWhenUsed/>
    <w:rsid w:val="00C4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car-insurance/pandemic-insurance-fraud/" TargetMode="External"/><Relationship Id="rId13" Type="http://schemas.openxmlformats.org/officeDocument/2006/relationships/hyperlink" Target="https://doi.org/10.1016/j.jbi.2019.103140" TargetMode="External"/><Relationship Id="rId18" Type="http://schemas.openxmlformats.org/officeDocument/2006/relationships/hyperlink" Target="https://doi.org/10.1007/s10916-018-0996-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healthit.gov/buzz-blog/21st-century-cures-act/the-cures-final-rule" TargetMode="External"/><Relationship Id="rId7" Type="http://schemas.openxmlformats.org/officeDocument/2006/relationships/hyperlink" Target="https://www.ibisworld.com/industry-statistics/market-size/health-medical-insurance-united-states/" TargetMode="External"/><Relationship Id="rId12" Type="http://schemas.openxmlformats.org/officeDocument/2006/relationships/hyperlink" Target="https://doi.org/10.1016/j.csbj.2018.07.004" TargetMode="External"/><Relationship Id="rId17" Type="http://schemas.openxmlformats.org/officeDocument/2006/relationships/hyperlink" Target="https://doi.org/10.1016/j.procs.2019.12.174"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i.org/10.1038/s41467-019-08874-y" TargetMode="External"/><Relationship Id="rId20" Type="http://schemas.openxmlformats.org/officeDocument/2006/relationships/hyperlink" Target="https://doi.org/10.26845/kjfs.2019.08.48.4.4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it.gov/sites/default/files/1-78-blockchainandhealthitalgorithmsprivacydata_whitepaper.pdf"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2196/19657" TargetMode="External"/><Relationship Id="rId23" Type="http://schemas.openxmlformats.org/officeDocument/2006/relationships/hyperlink" Target="https://doi.org/10.1001/jamainternmed.2019.4771" TargetMode="External"/><Relationship Id="rId10" Type="http://schemas.openxmlformats.org/officeDocument/2006/relationships/hyperlink" Target="https://doi.org/10.1038/s41746-019-0211-0" TargetMode="External"/><Relationship Id="rId19" Type="http://schemas.openxmlformats.org/officeDocument/2006/relationships/hyperlink" Target="https://doi.org/10.1111/j.1468-0440.2004.00290.x" TargetMode="External"/><Relationship Id="rId4" Type="http://schemas.openxmlformats.org/officeDocument/2006/relationships/webSettings" Target="webSettings.xml"/><Relationship Id="rId9" Type="http://schemas.openxmlformats.org/officeDocument/2006/relationships/hyperlink" Target="http://www.kiri.or.kr/pdf/&#51204;&#47928;&#51088;&#47308;/KIRI_20181005_93447.pdf" TargetMode="External"/><Relationship Id="rId14" Type="http://schemas.openxmlformats.org/officeDocument/2006/relationships/hyperlink" Target="https://doi.org/10.1016/j.jbi.2017.05.012" TargetMode="External"/><Relationship Id="rId22" Type="http://schemas.openxmlformats.org/officeDocument/2006/relationships/hyperlink" Target="https://www.eu-patient.eu/globalassets/library/publications/patient-empowerment---toolkit.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3534</Words>
  <Characters>20149</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23636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Health Insurance Claim System with Blockchain in Tertiary Hospitals: Multicenter Prospective study</dc:title>
  <dc:creator>MinDong Sung, M.D. 1; Yu Rang Park, Ph.D. 1</dc:creator>
  <cp:keywords/>
  <cp:lastModifiedBy>Sung Min Dong</cp:lastModifiedBy>
  <cp:revision>2</cp:revision>
  <dcterms:created xsi:type="dcterms:W3CDTF">2021-07-26T16:22:00Z</dcterms:created>
  <dcterms:modified xsi:type="dcterms:W3CDTF">2021-07-26T16:22:00Z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american-medical-association.csl</vt:lpwstr>
  </property>
  <property fmtid="{D5CDD505-2E9C-101B-9397-08002B2CF9AE}" pid="4" name="date">
    <vt:lpwstr>1 Department of Biomedical Systems Informatics, Yonsei University College of Medicine, Seoul, South Korea</vt:lpwstr>
  </property>
  <property fmtid="{D5CDD505-2E9C-101B-9397-08002B2CF9AE}" pid="5" name="output">
    <vt:lpwstr/>
  </property>
</Properties>
</file>