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0"/>
        <w:jc w:val="center"/>
      </w:pPr>
      <w:r>
        <w:rPr>
          <w:rFonts w:ascii="Arial Unicode MS" w:hAnsi="Arial Unicode MS" w:eastAsia="Arial Unicode MS" w:cs="Arial Unicode MS"/>
          <w:b/>
          <w:color w:val="0F4C3A"/>
          <w:sz w:val="36"/>
          <w:lang w:val="ko-KR" w:eastAsia="ko-KR"/>
        </w:rPr>
        <w:t>현대백화점 B2B AI 재고 수익 최적화 플랫폼</w:t>
        <w:br/>
        <w:t>전체 기술 스택 및 아키텍처 종합 명세서</w:t>
      </w:r>
    </w:p>
    <w:p>
      <w:pPr>
        <w:spacing w:after="500"/>
        <w:jc w:val="center"/>
      </w:pPr>
      <w:r>
        <w:rPr>
          <w:rFonts w:ascii="Arial Unicode MS" w:hAnsi="Arial Unicode MS" w:eastAsia="Arial Unicode MS" w:cs="Arial Unicode MS"/>
          <w:color w:val="64748B"/>
          <w:sz w:val="19"/>
          <w:lang w:val="ko-KR" w:eastAsia="ko-KR"/>
        </w:rPr>
        <w:t>문서 버전: v1.1 | 작성일자: 2026-07-27 | 관제 대상: 더현대 서울 직매입 악성재고 관제 &amp; 시뮬레이션 시스템</w:t>
      </w:r>
    </w:p>
    <w:p>
      <w:pPr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0F4C3A"/>
          <w:sz w:val="26"/>
          <w:lang w:val="ko-KR" w:eastAsia="ko-KR"/>
        </w:rPr>
        <w:t>1. 프로젝트 개요 및 목적</w:t>
      </w:r>
    </w:p>
    <w:p>
      <w:pPr>
        <w:spacing w:after="80" w:line="276" w:lineRule="auto"/>
      </w:pPr>
      <w:r>
        <w:rPr>
          <w:rFonts w:ascii="Arial Unicode MS" w:hAnsi="Arial Unicode MS" w:eastAsia="Arial Unicode MS" w:cs="Arial Unicode MS"/>
          <w:lang w:val="ko-KR" w:eastAsia="ko-KR"/>
        </w:rPr>
        <w:t>본 시스템은 현대백화점 B2B 재고 의사결정 및 수익 최적화 운영 플랫폼입니다. 1차 대상을 더현대 서울 직매입 악성재고로 지정하여, 보관비·폐기비·반품률·잠식효과를 종합 고려한 증분 기여현감이익(Incremental Cash Margin)을 극대화합니다.</w:t>
      </w:r>
    </w:p>
    <w:p>
      <w:pPr>
        <w:spacing w:after="80" w:line="276" w:lineRule="auto"/>
      </w:pPr>
      <w:r>
        <w:rPr>
          <w:rFonts w:ascii="Arial Unicode MS" w:hAnsi="Arial Unicode MS" w:eastAsia="Arial Unicode MS" w:cs="Arial Unicode MS"/>
          <w:lang w:val="ko-KR" w:eastAsia="ko-KR"/>
        </w:rPr>
        <w:t>더현대 서울 재고 담당자가 일반 전략을 승인·실행하는 주체이며, 본사는 예외 리스크 및 그룹 공동 프로모션 조정 역할을 담당합니다.</w:t>
      </w:r>
    </w:p>
    <w:p>
      <w:pPr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0F4C3A"/>
          <w:sz w:val="26"/>
          <w:lang w:val="ko-KR" w:eastAsia="ko-KR"/>
        </w:rPr>
        <w:t>2. 영역별 기술 스택 분석 및 비교 (Trade-off Matrix)</w:t>
      </w:r>
    </w:p>
    <w:p>
      <w:pPr>
        <w:keepNext/>
        <w:spacing w:before="240" w:after="80"/>
      </w:pPr>
      <w:r>
        <w:rPr>
          <w:rFonts w:ascii="Arial Unicode MS" w:hAnsi="Arial Unicode MS" w:eastAsia="Arial Unicode MS" w:cs="Arial Unicode MS"/>
          <w:b/>
          <w:color w:val="1E293B"/>
          <w:sz w:val="22"/>
          <w:lang w:val="ko-KR" w:eastAsia="ko-KR"/>
        </w:rPr>
        <w:t>2.1 프론트엔드 (Frontend)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0F4C3A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lang w:val="ko-KR" w:eastAsia="ko-KR"/>
              </w:rPr>
              <w:t>기술 스택</w:t>
            </w:r>
          </w:p>
        </w:tc>
        <w:tc>
          <w:tcPr>
            <w:tcW w:type="dxa" w:w="3312"/>
            <w:shd w:fill="0F4C3A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lang w:val="ko-KR" w:eastAsia="ko-KR"/>
              </w:rPr>
              <w:t>필요성 &amp; 개발 기능</w:t>
            </w:r>
          </w:p>
        </w:tc>
        <w:tc>
          <w:tcPr>
            <w:tcW w:type="dxa" w:w="2592"/>
            <w:shd w:fill="0F4C3A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lang w:val="ko-KR" w:eastAsia="ko-KR"/>
              </w:rPr>
              <w:t>비교 대안 및 선택 이유</w:t>
            </w:r>
          </w:p>
        </w:tc>
        <w:tc>
          <w:tcPr>
            <w:tcW w:type="dxa" w:w="1728"/>
            <w:shd w:fill="0F4C3A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lang w:val="ko-KR" w:eastAsia="ko-KR"/>
              </w:rPr>
              <w:t>트레이드오프 (Trade-off)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React 19 + Vite + TypeScript (신규 개발 확정)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B2B 오퍼레이션 타워 SPA, 빠른 HMR·빌드, 클라이언트 시뮬레이션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vs Next.js / 내부 운영 도구는 SEO보다 API 분리·배포 단순성·반응성이 중요하여 Vite 선택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SSR·서버 액션이 필요해지면 BFF 또는 프레임워크를 재검토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TanStack Query v5 (도입 예정)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재고 API 캐싱, 상세진단 비동기 로딩, 전략생성 폴링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vs fetch 직접 관리 / 캐시·무효화·재시도 정책을 표준화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실 API 계약 확정 후 도입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URL Search Params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층(2F~1F), 카테고리, D-Day 필터링 상태의 URL 연동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vs In-memory state</w:t>
              <w:br/>
              <w:t>새로고침, 뒤로가기, URL 링크 공유 시에도 필터 조건이 100% 유지됨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URL 길이가 다소 길어질 수 있음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Zustand (도입 후보)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시뮬레이션 UI 상태·다중 선택 상태의 화면 간 공유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vs React state / 여러 화면으로 확장될 때 selector 기반 구독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서버 상태와 UI 상태를 먼저 분리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TanStack Table v8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수천 개 직매입 SKU 스티키 헤더, 컬럼 정렬, 다중 선택, 페이징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vs Basic Table / AG Grid</w:t>
              <w:br/>
              <w:t>가볍고 Headless하여 디자인 자유도가 높으며 초고속 가상화 지원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shadcn/ui와 조합하여 직접 스타일링 필요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Recharts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할인율 vs 증분이익 vs 예상 판매량 듀얼 축 차트, 위험도 스태킹 바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vs Chart.js / D3.js</w:t>
              <w:br/>
              <w:t>React 컴포넌트 친화적이며 SVG 기반으로 듀얼 축 및 실시간 데이터 업데이트가 매끄러움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D3 대비 대량 캔버스 연산 제약 존재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Tailwind CSS v4 + shadcn/ui (조건부 확정)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현대백화점 그린 디자인 토큰·접근성 컴포넌트·상태 배지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vs MUI / 필요한 컴포넌트만 소유하여 스타일 일관성 확보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버전 고정·디자인 토큰·접근성 검토 필요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React Hook Form + Zod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시뮬레이션 파라미터 조율 슬라이더 유효성 검증 및 폼 관리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vs Formik / Plain State</w:t>
              <w:br/>
              <w:t>비제어 컴포넌트 기반으로 폼 리렌더링 최소화 및 Zod 스키마 타입 안전성 제공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Zod 스키마 정의 공수 필요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Web Vitals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LCP &lt; 1.2s, INP &lt; 100ms 등 UX 성능 정량 관제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vs 측정 안 함</w:t>
              <w:br/>
              <w:t>슬라이더 조율 및 화면 렌더링 품질을 정량 관제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측정 스크립트 셋업 필요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테스트: Vitest + RTL + Playwright (도입 예정)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수식 회귀·컴포넌트·핵심 승인 흐름 E2E 검증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vs Jest/Cypress / Vite·React와의 CI 유지비를 비교해 최소 조합 선택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도구보다 계산·승인 경로의 테스트 우선</w:t>
            </w:r>
          </w:p>
        </w:tc>
      </w:tr>
    </w:tbl>
    <w:p>
      <w:pPr>
        <w:keepNext/>
        <w:spacing w:before="240" w:after="80"/>
      </w:pPr>
      <w:r>
        <w:rPr>
          <w:rFonts w:ascii="Arial Unicode MS" w:hAnsi="Arial Unicode MS" w:eastAsia="Arial Unicode MS" w:cs="Arial Unicode MS"/>
          <w:b/>
          <w:color w:val="1E293B"/>
          <w:sz w:val="22"/>
          <w:lang w:val="ko-KR" w:eastAsia="ko-KR"/>
        </w:rPr>
        <w:t>2.2 백엔드 (Backend)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0F4C3A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lang w:val="ko-KR" w:eastAsia="ko-KR"/>
              </w:rPr>
              <w:t>기술 스택</w:t>
            </w:r>
          </w:p>
        </w:tc>
        <w:tc>
          <w:tcPr>
            <w:tcW w:type="dxa" w:w="3312"/>
            <w:shd w:fill="0F4C3A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lang w:val="ko-KR" w:eastAsia="ko-KR"/>
              </w:rPr>
              <w:t>필요성 &amp; 개발 기능</w:t>
            </w:r>
          </w:p>
        </w:tc>
        <w:tc>
          <w:tcPr>
            <w:tcW w:type="dxa" w:w="2592"/>
            <w:shd w:fill="0F4C3A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lang w:val="ko-KR" w:eastAsia="ko-KR"/>
              </w:rPr>
              <w:t>비교 대안 및 선택 이유</w:t>
            </w:r>
          </w:p>
        </w:tc>
        <w:tc>
          <w:tcPr>
            <w:tcW w:type="dxa" w:w="1728"/>
            <w:shd w:fill="0F4C3A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lang w:val="ko-KR" w:eastAsia="ko-KR"/>
              </w:rPr>
              <w:t>트레이드오프 (Trade-off)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Java 21 + Spring Boot 3.x (신규 개발 목표)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REST API, 권한·승인·감사·재고 도메인 로직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vs Node.js/Python 단일 백엔드 / 트랜잭션·배치·보안을 한곳에서 관리하고 FastAPI는 계산 서비스로 분리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서비스 간 OpenAPI·timeout·재시도·Trace ID 계약 필요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Spring Data JPA + QueryDSL 5.x (목표)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도메인 CRUD·다중 조건 동적 검색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vs Native SQL/jOOQ / 업무 조회는 QueryDSL, 대용량 집계는 별도 read model·SQL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JPA·SQL 매퍼를 처음부터 동시에 넣지 않음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MyBatis 3.5+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층별/카테고리별 손실 집계 리포트, Window Function/CTE 대용량 통계 SQL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vs JPA 단독 사용</w:t>
              <w:br/>
              <w:t>복잡한 집계 SQL을 XML 원시 쿼리로 자유롭게 최적화하여 실행 계획 제어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XML 매핑 파일 관리 필요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명시적 상태전이 서비스 (MVP)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위험탐지→검토→승인→실행→완료의 허용 전이·감사 이력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vs State Machine / 고정 흐름은 Enum·전이 서비스·낙관적 잠금으로 시작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병렬 승인·동적 전이가 늘어날 때만 State Machine 도입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Spring Security OAuth2/OIDC + RBAC (목표)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점포 담당자·본사 예외 담당자의 최소권한 분리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vs 직접 JWT 발급 / 사내 IdP 토큰을 Resource Server로 검증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IdP·권한 매핑·감사 로그 필요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Spring Batch 5 + 스케줄러 1종 선택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재고 스냅샷·위험도 집계·재시도 가능한 배치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vs @Scheduled/Quartz/Kubernetes CronJob / 단일·다중 인스턴스 요구를 확인해 하나 선택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Batch와 Quartz 동시 사용 금지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JUnit 5 + Mockito + Testcontainers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서비스 로직 및 Docker 기반 실 PostgreSQL/Redis 실전 통합 테스트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vs H2 메모리 DB</w:t>
              <w:br/>
              <w:t>H2와 PostgreSQL 간 JSONB/SQL 차이 오류를 방지하고 실전 환경과 동일 검증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Docker 기반 테스트 실행 시간 증가</w:t>
            </w:r>
          </w:p>
        </w:tc>
      </w:tr>
    </w:tbl>
    <w:p>
      <w:pPr>
        <w:keepNext/>
        <w:spacing w:before="240" w:after="80"/>
      </w:pPr>
      <w:r>
        <w:rPr>
          <w:rFonts w:ascii="Arial Unicode MS" w:hAnsi="Arial Unicode MS" w:eastAsia="Arial Unicode MS" w:cs="Arial Unicode MS"/>
          <w:b/>
          <w:color w:val="1E293B"/>
          <w:sz w:val="22"/>
          <w:lang w:val="ko-KR" w:eastAsia="ko-KR"/>
        </w:rPr>
        <w:t>2.3 데이터베이스 및 캐시 (Database &amp; Cache)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0F4C3A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lang w:val="ko-KR" w:eastAsia="ko-KR"/>
              </w:rPr>
              <w:t>기술 스택</w:t>
            </w:r>
          </w:p>
        </w:tc>
        <w:tc>
          <w:tcPr>
            <w:tcW w:type="dxa" w:w="3312"/>
            <w:shd w:fill="0F4C3A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lang w:val="ko-KR" w:eastAsia="ko-KR"/>
              </w:rPr>
              <w:t>필요성 &amp; 개발 기능</w:t>
            </w:r>
          </w:p>
        </w:tc>
        <w:tc>
          <w:tcPr>
            <w:tcW w:type="dxa" w:w="2592"/>
            <w:shd w:fill="0F4C3A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lang w:val="ko-KR" w:eastAsia="ko-KR"/>
              </w:rPr>
              <w:t>비교 대안 및 선택 이유</w:t>
            </w:r>
          </w:p>
        </w:tc>
        <w:tc>
          <w:tcPr>
            <w:tcW w:type="dxa" w:w="1728"/>
            <w:shd w:fill="0F4C3A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lang w:val="ko-KR" w:eastAsia="ko-KR"/>
              </w:rPr>
              <w:t>트레이드오프 (Trade-off)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PostgreSQL 16+ (신규 개발 목표)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재고·판매·원가·승인 이력 정규화, 실행 파라미터·설명 payload만 JSONB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vs MySQL/Oracle / 관계형 조회·감사와 JSONB 유연성 확보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파티션·인덱스·백업·보존기간을 함께 설계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Redis 7.x (선택적 캐시)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위험재고 집계·LLM 설명의 짧은 TTL 캐시와 작업 상태 공유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vs 애플리케이션 메모리 / 분산 캐시와 TTL 제공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원본 데이터 아님. 캐시 적중은 0초가 아니며 키 버전·무효화·stampede 방지 필요</w:t>
            </w:r>
          </w:p>
        </w:tc>
      </w:tr>
    </w:tbl>
    <w:p>
      <w:pPr>
        <w:keepNext/>
        <w:spacing w:before="240" w:after="80"/>
      </w:pPr>
      <w:r>
        <w:rPr>
          <w:rFonts w:ascii="Arial Unicode MS" w:hAnsi="Arial Unicode MS" w:eastAsia="Arial Unicode MS" w:cs="Arial Unicode MS"/>
          <w:b/>
          <w:color w:val="1E293B"/>
          <w:sz w:val="22"/>
          <w:lang w:val="ko-KR" w:eastAsia="ko-KR"/>
        </w:rPr>
        <w:t>2.4 AI 및 수리 최적화 마이크로서비스 (AI Service)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0F4C3A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lang w:val="ko-KR" w:eastAsia="ko-KR"/>
              </w:rPr>
              <w:t>기술 스택</w:t>
            </w:r>
          </w:p>
        </w:tc>
        <w:tc>
          <w:tcPr>
            <w:tcW w:type="dxa" w:w="3312"/>
            <w:shd w:fill="0F4C3A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lang w:val="ko-KR" w:eastAsia="ko-KR"/>
              </w:rPr>
              <w:t>필요성 &amp; 개발 기능</w:t>
            </w:r>
          </w:p>
        </w:tc>
        <w:tc>
          <w:tcPr>
            <w:tcW w:type="dxa" w:w="2592"/>
            <w:shd w:fill="0F4C3A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lang w:val="ko-KR" w:eastAsia="ko-KR"/>
              </w:rPr>
              <w:t>비교 대안 및 선택 이유</w:t>
            </w:r>
          </w:p>
        </w:tc>
        <w:tc>
          <w:tcPr>
            <w:tcW w:type="dxa" w:w="1728"/>
            <w:shd w:fill="0F4C3A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lang w:val="ko-KR" w:eastAsia="ko-KR"/>
              </w:rPr>
              <w:t>트레이드오프 (Trade-off)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Python 3.11+ + FastAPI (목표)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수리 최적화·ML 예측 전용 독립 서비스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vs Spring AI 단독 / Python 최적화·ML 생태계를 직접 활용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HTTP 계약·timeout·재시도·CPU 작업 격리 필요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OR-Tools/HiGHS 또는 PuLP + 명시적 solver (조건부)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보관·폐기·할인·물류 제약을 포함한 증분 기여현금이익 최적화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vs 직접 작성 / 할인 단계·수량·채널 선택이 정수 제약이면 MILP 사용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‘100% 정확’ 금지. 모델·허용오차·infeasible·solver 로그 기록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scikit-learn / LightGBM + 시계열 검증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판매량·소진율·가격 반응 추정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vs RAG/Vector DB / 정형 숫자는 회귀·시계열 모델 대상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시간순 백테스트·내생성·누수·신뢰구간·드리프트·콜드스타트 필요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LLM Provider Adapter (조건부)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판단 근거·시나리오 배경·실행 가이드 문장 생성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vs 특정 모델 고정 / 공급자·모델명·가격·한도를 설정으로 교체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PII 마스킹·JSON Schema·주입 방어·토큰 예산·fallback·사람 승인</w:t>
            </w:r>
          </w:p>
        </w:tc>
      </w:tr>
    </w:tbl>
    <w:p>
      <w:pPr>
        <w:keepNext/>
        <w:spacing w:before="240" w:after="80"/>
      </w:pPr>
      <w:r>
        <w:rPr>
          <w:rFonts w:ascii="Arial Unicode MS" w:hAnsi="Arial Unicode MS" w:eastAsia="Arial Unicode MS" w:cs="Arial Unicode MS"/>
          <w:b/>
          <w:color w:val="1E293B"/>
          <w:sz w:val="22"/>
          <w:lang w:val="ko-KR" w:eastAsia="ko-KR"/>
        </w:rPr>
        <w:t>2.5 관제, 모니터링, Sentry 및 품질 검증 (Observability &amp; Testing)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0F4C3A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lang w:val="ko-KR" w:eastAsia="ko-KR"/>
              </w:rPr>
              <w:t>기술 스택</w:t>
            </w:r>
          </w:p>
        </w:tc>
        <w:tc>
          <w:tcPr>
            <w:tcW w:type="dxa" w:w="3312"/>
            <w:shd w:fill="0F4C3A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lang w:val="ko-KR" w:eastAsia="ko-KR"/>
              </w:rPr>
              <w:t>필요성 &amp; 개발 기능</w:t>
            </w:r>
          </w:p>
        </w:tc>
        <w:tc>
          <w:tcPr>
            <w:tcW w:type="dxa" w:w="2592"/>
            <w:shd w:fill="0F4C3A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lang w:val="ko-KR" w:eastAsia="ko-KR"/>
              </w:rPr>
              <w:t>비교 대안 및 선택 이유</w:t>
            </w:r>
          </w:p>
        </w:tc>
        <w:tc>
          <w:tcPr>
            <w:tcW w:type="dxa" w:w="1728"/>
            <w:shd w:fill="0F4C3A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lang w:val="ko-KR" w:eastAsia="ko-KR"/>
              </w:rPr>
              <w:t>트레이드오프 (Trade-off)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Sentry (선택)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프론트·백엔드 런타임 오류와 사용자 영향 추적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vs 중앙 로그만 사용 / 오류 집계와 재현 정보를 빠르게 확인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요금·보존·민감정보 전송 정책을 계약 전에 확인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Prometheus + Grafana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서버 CPU, 메모리, DB 커넥션 풀, API RPS/Latency 실시간 시각화 관제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vs CloudWatch 의존</w:t>
              <w:br/>
              <w:t>무료 오픈소스로 가상 스레드 및 커넥션 풀 지표를 정밀 모니터링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프로메테우스 에이전트 셋업 필요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로그 수집기 + Grafana Loki (목표)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구조화 로그의 중앙 수집·검색·보존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vs ELK / 운영 규모와 검색 요구에 따라 수집기 선택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수집기·보존기간·PII 마스킹을 함께 설정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OpenTelemetry + Jaeger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React-&gt;Spring Boot-&gt;FastAPI-&gt;PostgreSQL 구간 분산 트레이싱 추적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vs 로그 분리 관찰</w:t>
              <w:br/>
              <w:t>단일 TraceID로 서비스 간 병목 구간을 한눈에 식별 가능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 w:line="276" w:lineRule="auto"/>
            </w:pPr>
            <w:r>
              <w:rPr>
                <w:rFonts w:ascii="Arial Unicode MS" w:hAnsi="Arial Unicode MS" w:eastAsia="Arial Unicode MS" w:cs="Arial Unicode MS"/>
                <w:sz w:val="17"/>
                <w:lang w:val="ko-KR" w:eastAsia="ko-KR"/>
              </w:rPr>
              <w:t>TraceID 전파 헤더 셋업 필요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k6 (목표)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승인·검색·시뮬레이션 API의 SLA별 P95/P99·오류율·처리량 측정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vs JMeter/Locust / 실제 피크 사용자와 SLO로 시나리오 산정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 w:line="264" w:lineRule="auto"/>
            </w:pPr>
            <w:r>
              <w:rPr>
                <w:rFonts w:ascii="Arial Unicode MS" w:hAnsi="Arial Unicode MS" w:eastAsia="Arial Unicode MS" w:cs="Arial Unicode MS"/>
                <w:sz w:val="18"/>
                <w:lang w:val="ko-KR" w:eastAsia="ko-KR"/>
              </w:rPr>
              <w:t>동시 사용자 500명은 임의 기준이 아니며 운영 데이터로 재산정</w:t>
            </w:r>
          </w:p>
        </w:tc>
      </w:tr>
    </w:tbl>
    <w:p>
      <w:pPr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0F4C3A"/>
          <w:sz w:val="26"/>
          <w:lang w:val="ko-KR" w:eastAsia="ko-KR"/>
        </w:rPr>
        <w:t>3. AI 예측 정확도 &amp; 퀄리티 극대화 4대 최적화 전략</w:t>
      </w:r>
    </w:p>
    <w:p>
      <w:pPr>
        <w:spacing w:after="80" w:line="276" w:lineRule="auto"/>
      </w:pPr>
      <w:r>
        <w:rPr>
          <w:rFonts w:ascii="Arial Unicode MS" w:hAnsi="Arial Unicode MS" w:eastAsia="Arial Unicode MS" w:cs="Arial Unicode MS"/>
          <w:b/>
          <w:lang w:val="ko-KR" w:eastAsia="ko-KR"/>
        </w:rPr>
        <w:t xml:space="preserve">1. ML 특성 공학 (Feature Engineering) &amp; 탄력성 곡선 보정: </w:t>
      </w:r>
      <w:r>
        <w:rPr>
          <w:rFonts w:ascii="Arial Unicode MS" w:hAnsi="Arial Unicode MS" w:eastAsia="Arial Unicode MS" w:cs="Arial Unicode MS"/>
          <w:lang w:val="ko-KR" w:eastAsia="ko-KR"/>
        </w:rPr>
        <w:t>보관일수, 유통기한 D-Day, 과거 30/60/90일 판매 이동평균, 계절성, 할인율을 조합해 LightGBM 모델을 학습시킵니다. 할인율 상승 시 소진율 증가폭이 완만해지는 가격 탄력성 감쇄 곡선을 수학적으로 보정하여 현실적인 소진율을 추정합니다.</w:t>
      </w:r>
    </w:p>
    <w:p>
      <w:pPr>
        <w:spacing w:after="80" w:line="276" w:lineRule="auto"/>
      </w:pPr>
      <w:r>
        <w:rPr>
          <w:rFonts w:ascii="Arial Unicode MS" w:hAnsi="Arial Unicode MS" w:eastAsia="Arial Unicode MS" w:cs="Arial Unicode MS"/>
          <w:b/>
          <w:lang w:val="ko-KR" w:eastAsia="ko-KR"/>
        </w:rPr>
        <w:t xml:space="preserve">2. 신규/비인기 SKU 콜드스타트(Cold-Start) 방지: </w:t>
      </w:r>
      <w:r>
        <w:rPr>
          <w:rFonts w:ascii="Arial Unicode MS" w:hAnsi="Arial Unicode MS" w:eastAsia="Arial Unicode MS" w:cs="Arial Unicode MS"/>
          <w:lang w:val="ko-KR" w:eastAsia="ko-KR"/>
        </w:rPr>
        <w:t>과거 판매 이력이 부족한 신규 상품은 동일 브랜드 -&gt; 동일 카테고리 -&gt; 동일 가격대 유사 상품의 탄력성을 가중 평균하여 예측값을 보완하고, 표본 부족 시 담당자에게 신뢰도 65% 경고를 표시합니다.</w:t>
      </w:r>
    </w:p>
    <w:p>
      <w:pPr>
        <w:spacing w:after="80" w:line="276" w:lineRule="auto"/>
      </w:pPr>
      <w:r>
        <w:rPr>
          <w:rFonts w:ascii="Arial Unicode MS" w:hAnsi="Arial Unicode MS" w:eastAsia="Arial Unicode MS" w:cs="Arial Unicode MS"/>
          <w:b/>
          <w:lang w:val="ko-KR" w:eastAsia="ko-KR"/>
        </w:rPr>
        <w:t xml:space="preserve">3. LLM 구조화 출력(Structured Output) &amp; 버전 캐시: </w:t>
      </w:r>
      <w:r>
        <w:rPr>
          <w:rFonts w:ascii="Arial Unicode MS" w:hAnsi="Arial Unicode MS" w:eastAsia="Arial Unicode MS" w:cs="Arial Unicode MS"/>
          <w:lang w:val="ko-KR" w:eastAsia="ko-KR"/>
        </w:rPr>
        <w:t>LLM 호출 시 지정된 JSON 포맷만 반환하도록 강제하여 파싱 에러를 차단하며, 백화점 오퍼레이션 격식 템플릿을 적용합니다. 동일 재고 조건의 설명 문장은 모델·프롬프트·데이터 버전이 포함된 키로 캐싱하며, TTL·무효화·PII 보호를 적용합니다.</w:t>
      </w:r>
    </w:p>
    <w:p>
      <w:pPr>
        <w:spacing w:after="80" w:line="276" w:lineRule="auto"/>
      </w:pPr>
      <w:r>
        <w:rPr>
          <w:rFonts w:ascii="Arial Unicode MS" w:hAnsi="Arial Unicode MS" w:eastAsia="Arial Unicode MS" w:cs="Arial Unicode MS"/>
          <w:b/>
          <w:lang w:val="ko-KR" w:eastAsia="ko-KR"/>
        </w:rPr>
        <w:t xml:space="preserve">4. 피드백 재학습 루프 (Closed-Loop Feedback System): </w:t>
      </w:r>
      <w:r>
        <w:rPr>
          <w:rFonts w:ascii="Arial Unicode MS" w:hAnsi="Arial Unicode MS" w:eastAsia="Arial Unicode MS" w:cs="Arial Unicode MS"/>
          <w:lang w:val="ko-KR" w:eastAsia="ko-KR"/>
        </w:rPr>
        <w:t>실제 실행된 프로모션 결과(실제 판매량, 증분이익)를 DB로 회수하여 AI 예상치와의 오차(MAPE)를 기록하고, 시간순 백테스트와 승인·롤백 절차를 통과한 모델만 배포합니다. 검증 게이트 없는 자동 재학습은 실행하지 않습니다.</w:t>
      </w:r>
    </w:p>
    <w:p>
      <w:pPr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0F4C3A"/>
          <w:sz w:val="26"/>
          <w:lang w:val="ko-KR" w:eastAsia="ko-KR"/>
        </w:rPr>
        <w:t>4. 종합 시스템 아키텍처 다이어그램</w:t>
      </w:r>
    </w:p>
    <w:p>
      <w:pPr>
        <w:spacing w:after="80" w:line="276" w:lineRule="auto"/>
      </w:pPr>
      <w:r>
        <w:rPr>
          <w:rFonts w:ascii="Arial Unicode MS" w:hAnsi="Arial Unicode MS" w:eastAsia="Arial Unicode MS" w:cs="Arial Unicode MS"/>
          <w:lang w:val="ko-KR" w:eastAsia="ko-KR"/>
        </w:rPr>
        <w:t>전체 시스템은 Frontend (React SPA) -&gt; Reverse Proxy (Nginx) -&gt; Core Backend (Spring Boot) -&gt; AI Microservice (Python FastAPI) -&gt; Database (PostgreSQL/Redis) -&gt; Observability (Prometheus/Loki/Sentry)로 유기적으로 연동됩니다.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F4C3A"/>
          <w:lang w:val="ko-KR" w:eastAsia="ko-KR"/>
        </w:rPr>
        <w:t>5. 세밀 검토 결과 및 1개월 신규 개발 권고</w:t>
      </w:r>
    </w:p>
    <w:p>
      <w:pPr>
        <w:spacing w:after="160"/>
      </w:pPr>
      <w:r>
        <w:t>검토 전제: 기존 저장소의 구현 상태는 판단에서 제외하고, 새로 구축할 React 기반 제품의 목표 스택으로 평가했습니다. 기술 이름만으로 정확도·수익·0원 비용이 보장되지는 않으므로 데이터 계약, 모델 검증, 승인 통제를 함께 구현해야 합니다.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lang w:val="ko-KR" w:eastAsia="ko-KR"/>
        </w:rPr>
        <w:t>프론트엔드 확정안: React 19 + Vite + TypeScript. 운영 도구는 SEO보다 API 분리·배포 단순성·시뮬레이션 반응성이 중요하므로 Vite 선택이 타당합니다.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lang w:val="ko-KR" w:eastAsia="ko-KR"/>
        </w:rPr>
        <w:t>서버 상태는 TanStack Query, 화면 조율 상태는 Zustand로 분리합니다. 두 라이브러리는 실 API 계약과 상태 경계가 확정된 뒤 도입합니다.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lang w:val="ko-KR" w:eastAsia="ko-KR"/>
        </w:rPr>
        <w:t>Spring Boot와 FastAPI를 분리할 경우 OpenAPI 스키마, timeout·재시도·멱등성·회로차단·Trace ID 전파를 먼저 고정합니다.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lang w:val="ko-KR" w:eastAsia="ko-KR"/>
        </w:rPr>
        <w:t>JPA/QueryDSL과 MyBatis를 처음부터 함께 사용하지 않습니다. CRUD·동적 필터는 QueryDSL, 대용량 집계는 검증된 read model 또는 SQL로 제한합니다.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lang w:val="ko-KR" w:eastAsia="ko-KR"/>
        </w:rPr>
        <w:t>상태가 고정된 MVP는 Enum·전이 서비스·낙관적 잠금·감사 로그로 시작하고, 병렬 승인·동적 전이가 늘어날 때 State Machine을 검토합니다.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lang w:val="ko-KR" w:eastAsia="ko-KR"/>
        </w:rPr>
        <w:t>Spring Batch와 Quartz를 중복 사용하지 않습니다. 배치 재시작·중복 방지 요구를 확인해 Quartz, @Scheduled 또는 외부 스케줄러 중 하나를 선택합니다.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lang w:val="ko-KR" w:eastAsia="ko-KR"/>
        </w:rPr>
        <w:t>PostgreSQL은 재고·판매·원가·승인 이력을 정규화하고 실행 파라미터·설명 payload만 JSONB로 저장합니다. Redis는 원본이 아닌 TTL 캐시이며 캐시 적중을 0초로 표현하지 않습니다.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lang w:val="ko-KR" w:eastAsia="ko-KR"/>
        </w:rPr>
        <w:t>할인 단계·수량·채널 선택이 정수 제약이면 OR-Tools/HiGHS 또는 PuLP와 solver를 사용합니다. 최적화 결과는 입력·모델·허용오차에 의존하므로 infeasible·solver 로그·fallback을 남깁니다.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lang w:val="ko-KR" w:eastAsia="ko-KR"/>
        </w:rPr>
        <w:t>LightGBM 예측은 시간순 백테스트, 할인 내생성·데이터 누수 점검, 신뢰구간·드리프트·콜드스타트 보정을 포함해야 합니다. ‘100% 정확’ 표현은 사용하지 않습니다.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lang w:val="ko-KR" w:eastAsia="ko-KR"/>
        </w:rPr>
        <w:t>LLM은 설명문 생성 보조 역할로 제한하고, Provider Adapter·JSON Schema 검증·PII 마스킹·프롬프트 주입 방어·토큰 예산·사람 승인 조건을 둡니다. 무료 한도·가격은 문서에 고정하지 않습니다.</w:t>
      </w:r>
    </w:p>
    <w:p>
      <w:pPr>
        <w:pStyle w:val="Heading2"/>
      </w:pPr>
      <w:r>
        <w:rPr>
          <w:rFonts w:ascii="Arial Unicode MS" w:hAnsi="Arial Unicode MS" w:eastAsia="Arial Unicode MS" w:cs="Arial Unicode MS"/>
          <w:lang w:val="ko-KR" w:eastAsia="ko-KR"/>
        </w:rPr>
        <w:t>5.1 구축 전에 고정할 운영 계약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lang w:val="ko-KR" w:eastAsia="ko-KR"/>
        </w:rPr>
        <w:t>데이터 계약: SKU·점포·소유권·원가·재고 기준시각, 단위, 결측·중복·지연 처리, 입력 버전.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lang w:val="ko-KR" w:eastAsia="ko-KR"/>
        </w:rPr>
        <w:t>보안·권한: 사내 IdP/OIDC, 최소권한 RBAC, 승인 전 가격 변경 금지, 모든 추천·승인·실행 감사 로그.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lang w:val="ko-KR" w:eastAsia="ko-KR"/>
        </w:rPr>
        <w:t>모델 안전: 기준선 대비 증분 기여현금이익, 시간순 백테스트, 신뢰도 임계치, 하드 차단, fallback, 사람 승인.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lang w:val="ko-KR" w:eastAsia="ko-KR"/>
        </w:rPr>
        <w:t>운영 예산: LLM 토큰·배치·DB·캐시를 건당 측정하고, timeout·재시도·멱등성·백업·복구 목표를 정의.</w:t>
      </w:r>
    </w:p>
    <w:p>
      <w:pPr>
        <w:pStyle w:val="Heading2"/>
      </w:pPr>
      <w:r>
        <w:rPr>
          <w:rFonts w:ascii="Arial Unicode MS" w:hAnsi="Arial Unicode MS" w:eastAsia="Arial Unicode MS" w:cs="Arial Unicode MS"/>
          <w:lang w:val="ko-KR" w:eastAsia="ko-KR"/>
        </w:rPr>
        <w:t>5.2 우선순위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lang w:val="ko-KR" w:eastAsia="ko-KR"/>
        </w:rPr>
        <w:t>P0: React/Vite 화면, Spring API 계약, PostgreSQL 스키마, 수식·시뮬레이션 결정 테이블, 승인·감사 로그.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lang w:val="ko-KR" w:eastAsia="ko-KR"/>
        </w:rPr>
        <w:t>P1: FastAPI 최적화 서비스, 배치 스냅샷, 캐시, 모델 백테스트·모니터링, Teams 전달 계약.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lang w:val="ko-KR" w:eastAsia="ko-KR"/>
        </w:rPr>
        <w:t>P2: LLM 설명 자동화, 고급 State Machine, 다른 현대백화점 점포 비교와 점포 간 이동 확장.</w:t>
      </w:r>
    </w:p>
    <w:p>
      <w:pPr>
        <w:pStyle w:val="Heading2"/>
      </w:pPr>
      <w:r>
        <w:rPr>
          <w:rFonts w:ascii="Arial Unicode MS" w:hAnsi="Arial Unicode MS" w:eastAsia="Arial Unicode MS" w:cs="Arial Unicode MS"/>
          <w:lang w:val="ko-KR" w:eastAsia="ko-KR"/>
        </w:rPr>
        <w:t>5.3 범위 경계: 현대백화점 단독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lang w:val="ko-KR" w:eastAsia="ko-KR"/>
        </w:rPr>
        <w:t>현대백화점 외 계열사는 제품·권한·손익 계산에서 제외합니다.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lang w:val="ko-KR" w:eastAsia="ko-KR"/>
        </w:rPr>
        <w:t>1차 실증은 더현대 서울 직매입 재고와 의류·신발 등 1~2개 상품군에 집중합니다.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lang w:val="ko-KR" w:eastAsia="ko-KR"/>
        </w:rPr>
        <w:t>점포 간 재고 이동은 이동비·수신 용량·판매속도·권한을 검증한 뒤 P2로 추가합니다.</w:t>
      </w:r>
    </w:p>
    <w:p>
      <w:pPr>
        <w:pStyle w:val="ListBullet"/>
        <w:spacing w:after="80"/>
      </w:pPr>
      <w:r>
        <w:rPr>
          <w:rFonts w:ascii="Arial Unicode MS" w:hAnsi="Arial Unicode MS" w:eastAsia="Arial Unicode MS" w:cs="Arial Unicode MS"/>
          <w:lang w:val="ko-KR" w:eastAsia="ko-KR"/>
        </w:rPr>
        <w:t>Microsoft Teams는 승인된 실행 내용을 전달하는 알림 채널이며, 최종 승인·변경은 서비스에서 수행합니다.</w:t>
      </w:r>
    </w:p>
    <w:p>
      <w:pPr>
        <w:spacing w:before="200"/>
        <w:jc w:val="right"/>
      </w:pPr>
      <w:r>
        <w:rPr>
          <w:rFonts w:ascii="Arial Unicode MS" w:hAnsi="Arial Unicode MS" w:eastAsia="Arial Unicode MS" w:cs="Arial Unicode MS"/>
          <w:i/>
          <w:lang w:val="ko-KR" w:eastAsia="ko-KR"/>
        </w:rPr>
        <w:t>검토판 v1.1 · 신규 개발 목표 기준 · 2026-07-27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