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66666"/>
          <w:sz w:val="20"/>
          <w:szCs w:val="20"/>
        </w:rPr>
        <w:t xml:space="preserve">Required Assignment 23.1</w:t>
      </w:r>
    </w:p>
    <w:p>
      <w:pPr>
        <w:spacing w:after="60"/>
      </w:pPr>
      <w:r>
        <w:rPr>
          <w:b/>
          <w:bCs/>
          <w:color w:val="1E3A5F"/>
          <w:sz w:val="40"/>
          <w:szCs w:val="40"/>
        </w:rPr>
        <w:t xml:space="preserve">Generating a Prompt Using a Gen AI Platform</w:t>
      </w:r>
    </w:p>
    <w:p>
      <w:pPr>
        <w:pBdr>
          <w:bottom w:val="single" w:color="F5B500" w:sz="6" w:space="8"/>
        </w:pBdr>
        <w:spacing w:after="300"/>
      </w:pPr>
      <w:r>
        <w:rPr>
          <w:color w:val="666666"/>
          <w:sz w:val="20"/>
          <w:szCs w:val="20"/>
        </w:rPr>
        <w:t xml:space="preserve">Platform tested: Claude (Anthropic)</w:t>
      </w:r>
    </w:p>
    <w:p>
      <w:pPr>
        <w:pStyle w:val="Heading2"/>
        <w:spacing w:after="140" w:before="280"/>
      </w:pPr>
      <w:r>
        <w:t xml:space="preserve">1. Instructional Prompt</w:t>
      </w:r>
    </w:p>
    <w:p>
      <w:pPr>
        <w:spacing w:after="160"/>
        <w:jc w:val="both"/>
      </w:pPr>
      <w:r>
        <w:rPr>
          <w:b w:val="false"/>
          <w:bCs w:val="false"/>
          <w:i/>
          <w:iCs/>
        </w:rPr>
        <w:t xml:space="preserve">Subject: Health / Science  |  Complexity: Low  |  Intent: Explain a factual concept clearly for a specific audience</w:t>
      </w:r>
    </w:p>
    <w:p>
      <w:pPr>
        <w:spacing w:after="60" w:before="120"/>
      </w:pPr>
      <w:r>
        <w:rPr>
          <w:b/>
          <w:bCs/>
          <w:color w:val="1E3A5F"/>
          <w:sz w:val="20"/>
          <w:szCs w:val="20"/>
        </w:rPr>
        <w:t xml:space="preserve">Prompt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r>
              <w:rPr>
                <w:i/>
                <w:iCs/>
                <w:sz w:val="22"/>
                <w:szCs w:val="22"/>
              </w:rPr>
              <w:t xml:space="preserve">“Write a brief explanation of how vaccines train the immune system, suitable for a high school student.”</w:t>
            </w:r>
          </w:p>
        </w:tc>
      </w:tr>
    </w:tbl>
    <w:p>
      <w:pPr>
        <w:spacing w:after="80"/>
      </w:pPr>
    </w:p>
    <w:p>
      <w:pPr>
        <w:spacing w:after="60" w:before="120"/>
      </w:pPr>
      <w:r>
        <w:rPr>
          <w:b/>
          <w:bCs/>
          <w:color w:val="1E3A5F"/>
          <w:sz w:val="20"/>
          <w:szCs w:val="20"/>
        </w:rPr>
        <w:t xml:space="preserve">AI Response (excerpt)</w:t>
      </w:r>
    </w:p>
    <w:p>
      <w:pPr>
        <w:spacing w:after="160"/>
        <w:jc w:val="both"/>
      </w:pPr>
      <w:r>
        <w:rPr>
          <w:b w:val="false"/>
          <w:bCs w:val="false"/>
          <w:i w:val="false"/>
          <w:iCs w:val="false"/>
        </w:rPr>
        <w:t xml:space="preserve">Vaccines work by giving your immune system a preview of a threat without the actual danger. They introduce a small, harmless piece of a pathogen — like a weakened virus, an inactivated germ, or just one of its proteins — into your body. Because this piece isn’t a real infection, it doesn’t make you sick, but your immune system still notices it as foreign and responds. Specialized white blood cells called B cells learn to produce antibodies that latch onto and neutralize the pathogen, while T cells learn to recognize and destroy infected cells. Some of these cells stick around afterward as memory cells, sometimes for years. If you’re ever exposed to the real pathogen later, your immune system already recognizes it and can respond fast enough to stop the infection before you get sick.</w:t>
      </w:r>
    </w:p>
    <w:p>
      <w:pPr>
        <w:spacing w:after="60" w:before="120"/>
      </w:pPr>
      <w:r>
        <w:rPr>
          <w:b/>
          <w:bCs/>
          <w:color w:val="1E3A5F"/>
          <w:sz w:val="20"/>
          <w:szCs w:val="20"/>
        </w:rPr>
        <w:t xml:space="preserve">Analysis</w:t>
      </w:r>
    </w:p>
    <w:p>
      <w:pPr>
        <w:spacing w:after="160"/>
        <w:jc w:val="both"/>
      </w:pPr>
      <w:r>
        <w:rPr>
          <w:b w:val="false"/>
          <w:bCs w:val="false"/>
          <w:i w:val="false"/>
          <w:iCs w:val="false"/>
        </w:rPr>
        <w:t xml:space="preserve">Relevance: High — stayed tightly focused on the mechanism and the requested reading level.
Coherence: High — logical progression from introduction → mechanism → outcome.
Accuracy: High — correctly distinguishes B cells/antibodies from T cells and describes memory-cell persistence.
Creativity: Not a priority for this task; the model correctly treated clarity over originality.</w:t>
      </w:r>
    </w:p>
    <w:p>
      <w:pPr>
        <w:pStyle w:val="Heading2"/>
        <w:spacing w:after="140" w:before="280"/>
      </w:pPr>
      <w:r>
        <w:t xml:space="preserve">2. Question Prompt</w:t>
      </w:r>
    </w:p>
    <w:p>
      <w:pPr>
        <w:spacing w:after="160"/>
        <w:jc w:val="both"/>
      </w:pPr>
      <w:r>
        <w:rPr>
          <w:b w:val="false"/>
          <w:bCs w:val="false"/>
          <w:i/>
          <w:iCs/>
        </w:rPr>
        <w:t xml:space="preserve">Subject: Economics / Public Policy  |  Complexity: High  |  Intent: Analyze multi-sided trade-offs on a contested topic</w:t>
      </w:r>
    </w:p>
    <w:p>
      <w:pPr>
        <w:spacing w:after="60" w:before="120"/>
      </w:pPr>
      <w:r>
        <w:rPr>
          <w:b/>
          <w:bCs/>
          <w:color w:val="1E3A5F"/>
          <w:sz w:val="20"/>
          <w:szCs w:val="20"/>
        </w:rPr>
        <w:t xml:space="preserve">Prompt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r>
              <w:rPr>
                <w:i/>
                <w:iCs/>
                <w:sz w:val="22"/>
                <w:szCs w:val="22"/>
              </w:rPr>
              <w:t xml:space="preserve">“What are the economic and social trade-offs of implementing a four-day work week?”</w:t>
            </w:r>
          </w:p>
        </w:tc>
      </w:tr>
    </w:tbl>
    <w:p>
      <w:pPr>
        <w:spacing w:after="80"/>
      </w:pPr>
    </w:p>
    <w:p>
      <w:pPr>
        <w:spacing w:after="60" w:before="120"/>
      </w:pPr>
      <w:r>
        <w:rPr>
          <w:b/>
          <w:bCs/>
          <w:color w:val="1E3A5F"/>
          <w:sz w:val="20"/>
          <w:szCs w:val="20"/>
        </w:rPr>
        <w:t xml:space="preserve">AI Response (excerpt)</w:t>
      </w:r>
    </w:p>
    <w:p>
      <w:pPr>
        <w:spacing w:after="160"/>
        <w:jc w:val="both"/>
      </w:pPr>
      <w:r>
        <w:rPr>
          <w:b w:val="false"/>
          <w:bCs w:val="false"/>
          <w:i w:val="false"/>
          <w:iCs w:val="false"/>
        </w:rPr>
        <w:t xml:space="preserve">A four-day work week offers a mix of benefits and costs that play out differently across industries and income levels. Economically, trial data (such as the UK’s 2022 pilot) suggests productivity can be maintained or improved, since well-rested employees are often more focused and take fewer sick days; companies may also see lower turnover. But not all industries can compress hours easily — hourly and shift-based work (healthcare, manufacturing, retail) is harder to reorganize than salaried office work, risking a widening gap between workers who benefit and those who don’t. Socially, more time off could improve mental health and family time, but if pay is cut proportionally, lower-income workers could be squeezed rather than helped, and the “four-day week” risks becoming a perk mainly available to already-privileged professions.</w:t>
      </w:r>
    </w:p>
    <w:p>
      <w:pPr>
        <w:spacing w:after="60" w:before="120"/>
      </w:pPr>
      <w:r>
        <w:rPr>
          <w:b/>
          <w:bCs/>
          <w:color w:val="1E3A5F"/>
          <w:sz w:val="20"/>
          <w:szCs w:val="20"/>
        </w:rPr>
        <w:t xml:space="preserve">Analysis</w:t>
      </w:r>
    </w:p>
    <w:p>
      <w:pPr>
        <w:spacing w:after="160"/>
        <w:jc w:val="both"/>
      </w:pPr>
      <w:r>
        <w:rPr>
          <w:b w:val="false"/>
          <w:bCs w:val="false"/>
          <w:i w:val="false"/>
          <w:iCs w:val="false"/>
        </w:rPr>
        <w:t xml:space="preserve">Relevance: High — addressed both the economic and social dimensions explicitly requested, not just one side.
Coherence: High — an implicit economic-then-social structure made a dense topic easy to follow.
Accuracy: Reasonable but harder to fully verify — this is a contested, evolving policy area; claims aligned with commonly cited findings, but explicit sourcing would strengthen confidence.
Creativity: Moderate — the model surfaced equity concerns (industry and income disparities) that weren’t explicitly asked for.</w:t>
      </w:r>
    </w:p>
    <w:p>
      <w:pPr>
        <w:pStyle w:val="Heading2"/>
        <w:spacing w:after="140" w:before="280"/>
      </w:pPr>
      <w:r>
        <w:t xml:space="preserve">3. Completion Prompt</w:t>
      </w:r>
    </w:p>
    <w:p>
      <w:pPr>
        <w:spacing w:after="160"/>
        <w:jc w:val="both"/>
      </w:pPr>
      <w:r>
        <w:rPr>
          <w:b w:val="false"/>
          <w:bCs w:val="false"/>
          <w:i/>
          <w:iCs/>
        </w:rPr>
        <w:t xml:space="preserve">Subject: Creative Fiction  |  Complexity: Low structural difficulty, high interpretive freedom  |  Intent: Generate original, evocative narrative content</w:t>
      </w:r>
    </w:p>
    <w:p>
      <w:pPr>
        <w:spacing w:after="60" w:before="120"/>
      </w:pPr>
      <w:r>
        <w:rPr>
          <w:b/>
          <w:bCs/>
          <w:color w:val="1E3A5F"/>
          <w:sz w:val="20"/>
          <w:szCs w:val="20"/>
        </w:rPr>
        <w:t xml:space="preserve">Prompt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r>
              <w:rPr>
                <w:i/>
                <w:iCs/>
                <w:sz w:val="22"/>
                <w:szCs w:val="22"/>
              </w:rPr>
              <w:t xml:space="preserve">“The last library on Earth was…”</w:t>
            </w:r>
          </w:p>
        </w:tc>
      </w:tr>
    </w:tbl>
    <w:p>
      <w:pPr>
        <w:spacing w:after="80"/>
      </w:pPr>
    </w:p>
    <w:p>
      <w:pPr>
        <w:spacing w:after="60" w:before="120"/>
      </w:pPr>
      <w:r>
        <w:rPr>
          <w:b/>
          <w:bCs/>
          <w:color w:val="1E3A5F"/>
          <w:sz w:val="20"/>
          <w:szCs w:val="20"/>
        </w:rPr>
        <w:t xml:space="preserve">AI Response (excerpt)</w:t>
      </w:r>
    </w:p>
    <w:p>
      <w:pPr>
        <w:spacing w:after="160"/>
        <w:jc w:val="both"/>
      </w:pPr>
      <w:r>
        <w:rPr>
          <w:b w:val="false"/>
          <w:bCs w:val="false"/>
          <w:i w:val="false"/>
          <w:iCs w:val="false"/>
        </w:rPr>
        <w:t xml:space="preserve">The last library on Earth was not in a great city, but in a valley where the rivers had long since dried into silver threads. Its shelves ran for kilometers underground, cut into stone that never crumbled, and its keeper was not a person but a slow, patient machine that had forgotten it was ever meant to be temporary. Visitors were rare now — perhaps one every few years, wandering down from the surface with nothing left to lose. The machine welcomed each of them the same way: by lighting a single shelf, always a different one, as if the library itself were choosing what the world most needed remembered that day.</w:t>
      </w:r>
    </w:p>
    <w:p>
      <w:pPr>
        <w:spacing w:after="60" w:before="120"/>
      </w:pPr>
      <w:r>
        <w:rPr>
          <w:b/>
          <w:bCs/>
          <w:color w:val="1E3A5F"/>
          <w:sz w:val="20"/>
          <w:szCs w:val="20"/>
        </w:rPr>
        <w:t xml:space="preserve">Analysis</w:t>
      </w:r>
    </w:p>
    <w:p>
      <w:pPr>
        <w:spacing w:after="160"/>
        <w:jc w:val="both"/>
      </w:pPr>
      <w:r>
        <w:rPr>
          <w:b w:val="false"/>
          <w:bCs w:val="false"/>
          <w:i w:val="false"/>
          <w:iCs w:val="false"/>
        </w:rPr>
        <w:t xml:space="preserve">Relevance: High — stayed anchored to the “last library” premise rather than drifting.
Coherence: High — consistent tone and internal logic despite an abstract premise.
Creativity: High — original imagery (a machine keeper, a chosen shelf) rather than generic library tropes.
Accuracy: Not applicable — fictional content.</w:t>
      </w:r>
    </w:p>
    <w:p>
      <w:pPr>
        <w:pStyle w:val="Heading2"/>
        <w:spacing w:after="140" w:before="280"/>
      </w:pPr>
      <w:r>
        <w:t xml:space="preserve">Summary Report</w:t>
      </w:r>
    </w:p>
    <w:p>
      <w:pPr>
        <w:spacing w:after="160"/>
        <w:jc w:val="both"/>
      </w:pPr>
      <w:r>
        <w:rPr>
          <w:b w:val="false"/>
          <w:bCs w:val="false"/>
          <w:i w:val="false"/>
          <w:iCs w:val="false"/>
        </w:rPr>
        <w:t xml:space="preserve">This assignment tested three prompt types — Instructional, Question, and Completion — on Claude (Anthropic), deliberately varying subject matter, complexity, and intent to see how the model adapts across tasks.</w:t>
      </w:r>
    </w:p>
    <w:p>
      <w:pPr>
        <w:spacing w:after="160"/>
        <w:jc w:val="both"/>
      </w:pPr>
      <w:r>
        <w:rPr>
          <w:b w:val="false"/>
          <w:bCs w:val="false"/>
          <w:i w:val="false"/>
          <w:iCs w:val="false"/>
        </w:rPr>
        <w:t xml:space="preserve">The instructional prompt asked for a simple, audience-targeted explanation of vaccine immunology. The response was highly relevant, staying focused on the requested reading level, and coherent, moving logically from mechanism to outcome. Accuracy checked out against basic immunology, correctly distinguishing antibody-producing B cells from T cells and describing memory-cell persistence. Creativity wasn’t a priority here, and the model correctly treated it as secondary to clarity.</w:t>
      </w:r>
    </w:p>
    <w:p>
      <w:pPr>
        <w:spacing w:after="160"/>
        <w:jc w:val="both"/>
      </w:pPr>
      <w:r>
        <w:rPr>
          <w:b w:val="false"/>
          <w:bCs w:val="false"/>
          <w:i w:val="false"/>
          <w:iCs w:val="false"/>
        </w:rPr>
        <w:t xml:space="preserve">The question prompt raised the complexity bar, asking for a multi-dimensional analysis of a four-day work week’s trade-offs. Relevance was strong, since the response addressed both the economic and social angles the prompt specified rather than defaulting to a one-sided take. Coherence benefited from an implicit economic-then-social structure that made a dense topic easy to follow. Accuracy is harder to verify definitively on a contested, evolving policy question, but the claims aligned with commonly cited findings and referenced a real pilot study. Creativity showed mainly in the model surfacing equity concerns that weren’t explicitly requested.</w:t>
      </w:r>
    </w:p>
    <w:p>
      <w:pPr>
        <w:spacing w:after="160"/>
        <w:jc w:val="both"/>
      </w:pPr>
      <w:r>
        <w:rPr>
          <w:b w:val="false"/>
          <w:bCs w:val="false"/>
          <w:i w:val="false"/>
          <w:iCs w:val="false"/>
        </w:rPr>
        <w:t xml:space="preserve">The completion prompt tested creative capacity with an open-ended, evocative fragment. Creativity was the dominant criterion here, and the response delivered original imagery and a distinct narrative voice rather than repeating the prompt’s phrasing. Coherence held up despite the abstract premise, maintaining a consistent tone and internal logic. Relevance was satisfied by staying anchored to the “last library” concept, and accuracy doesn’t meaningfully apply to fiction.</w:t>
      </w:r>
    </w:p>
    <w:p>
      <w:pPr>
        <w:spacing w:after="160"/>
        <w:jc w:val="both"/>
      </w:pPr>
      <w:r>
        <w:rPr>
          <w:b w:val="false"/>
          <w:bCs w:val="false"/>
          <w:i w:val="false"/>
          <w:iCs w:val="false"/>
        </w:rPr>
        <w:t xml:space="preserve">Across all three prompts, the model convincingly adjusted its register: plain and structured for the instructional prompt, analytical and balanced for the question prompt, and lyrical for the completion prompt. The clearest pattern was that specificity in the prompt (naming an audience, dimensions to cover, or tone) produced more focused output, while the open-ended completion prompt produced the most stylistic risk-taking. The main limitation observed was on the question prompt, where claims about a contested social-policy topic would benefit from explicit sourcing or hedging language to make accuracy fully verifiable.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2026-08-08T17:51:07.787Z</dcterms:created>
  <dcterms:modified xsi:type="dcterms:W3CDTF">2026-08-08T17:51:07.799Z</dcterms:modified>
</cp:coreProperties>
</file>

<file path=docProps/custom.xml><?xml version="1.0" encoding="utf-8"?>
<Properties xmlns="http://schemas.openxmlformats.org/officeDocument/2006/custom-properties" xmlns:vt="http://schemas.openxmlformats.org/officeDocument/2006/docPropsVTypes"/>
</file>