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F4E79"/>
          <w:sz w:val="32"/>
        </w:rPr>
        <w:t>SustainaFund Project — Detailed Summary for the Team</w:t>
      </w:r>
    </w:p>
    <w:p>
      <w:pPr>
        <w:spacing w:before="0" w:after="200"/>
      </w:pPr>
      <w:r>
        <w:rPr>
          <w:b w:val="0"/>
          <w:i w:val="0"/>
          <w:color w:val="595959"/>
          <w:sz w:val="20"/>
        </w:rPr>
        <w:t>by Kim Lan Chi Nguyen  ·  v2, revised 31 August 2026</w:t>
      </w:r>
    </w:p>
    <w:p>
      <w:pPr>
        <w:shd w:val="clear" w:color="auto" w:fill="F7F7F7"/>
      </w:pPr>
      <w:r>
        <w:rPr>
          <w:b/>
          <w:sz w:val="20"/>
        </w:rPr>
        <w:t xml:space="preserve">How to read this version.  </w:t>
      </w:r>
      <w:r>
        <w:rPr>
          <w:sz w:val="20"/>
        </w:rPr>
        <w:t xml:space="preserve">The original text is kept as written. Where a conclusion changed after two bugs were found in the pipeline, the change is marked inline with a shaded </w:t>
      </w:r>
      <w:r>
        <w:rPr>
          <w:b/>
          <w:color w:val="1F4E79"/>
          <w:sz w:val="20"/>
        </w:rPr>
        <w:t>▸ UPDATE</w:t>
      </w:r>
      <w:r>
        <w:rPr>
          <w:sz w:val="20"/>
        </w:rPr>
        <w:t xml:space="preserve"> note. Everything without such a note was re-run and reproduces exactly.</w:t>
      </w:r>
    </w:p>
    <w:p>
      <w:pPr>
        <w:spacing w:before="240"/>
      </w:pPr>
      <w:r>
        <w:rPr>
          <w:b/>
          <w:i w:val="0"/>
          <w:sz w:val="24"/>
        </w:rPr>
        <w:t>What changed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Model 2 status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blocked, believed infeasible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runs; 15-point frontier in ~6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Covariance estimation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fillna(0) on ragged history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complete-history sample, no filling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Optimisation universe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1084 stocks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997 stocks (10-y complete history)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Min-risk portfolio sigma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5.0 %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8.5 %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 Sharpe on the frontier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4.59 (implausible)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1.94 (plausible)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Robustness windows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planned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delivered (5-y, 3-y variants)</w:t>
            </w:r>
          </w:p>
        </w:tc>
      </w:tr>
    </w:tbl>
    <w:p>
      <w:pPr>
        <w:spacing w:after="40"/>
      </w:pPr>
    </w:p>
    <w:p>
      <w:pPr>
        <w:spacing w:before="240"/>
      </w:pPr>
      <w:r>
        <w:rPr>
          <w:b/>
          <w:i w:val="0"/>
          <w:sz w:val="24"/>
        </w:rPr>
        <w:t>The Problem</w:t>
      </w:r>
    </w:p>
    <w:p>
      <w:pPr>
        <w:spacing w:before="0"/>
      </w:pPr>
      <w:r>
        <w:rPr>
          <w:b w:val="0"/>
          <w:i w:val="0"/>
          <w:sz w:val="22"/>
        </w:rPr>
        <w:t>$100M fund, ~1093 US + European stocks. Constraints: 1–20% of budget per stock if selected, ≤60% per region, minimum 30 stocks, weighted-average ESG score ≥70.</w:t>
      </w:r>
    </w:p>
    <w:p>
      <w:pPr>
        <w:spacing w:before="320"/>
      </w:pPr>
      <w:r>
        <w:rPr>
          <w:b/>
          <w:i w:val="0"/>
          <w:color w:val="1F4E79"/>
          <w:sz w:val="28"/>
        </w:rPr>
        <w:t>PART 1 — DONE: Data Pipeline</w:t>
      </w:r>
    </w:p>
    <w:p>
      <w:pPr>
        <w:spacing w:before="240"/>
      </w:pPr>
      <w:r>
        <w:rPr>
          <w:b/>
          <w:i w:val="0"/>
          <w:sz w:val="24"/>
        </w:rPr>
        <w:t>1.1 ESG missing-data handling</w:t>
      </w:r>
    </w:p>
    <w:p>
      <w:r>
        <w:rPr>
          <w:b/>
        </w:rPr>
        <w:t>Step 1 — Measured the problem, didn't assume.</w:t>
      </w:r>
      <w:r>
        <w:t xml:space="preserve"> 49/1093 stocks (4.5%) have no ESG score. Broke it down by region: 8.0% of US stocks missing vs only 1.5% of European stocks. That large gap meant we couldn't treat this as random noise.</w:t>
      </w:r>
    </w:p>
    <w:p>
      <w:r>
        <w:rPr>
          <w:b/>
        </w:rPr>
        <w:t>Step 2 — Tested whether the missing group is financially different.</w:t>
      </w:r>
      <w:r>
        <w:t xml:space="preserve"> Compared average return and risk between the missing-ESG group and the rest:</w:t>
      </w:r>
    </w:p>
    <w:p>
      <w:pPr>
        <w:pStyle w:val="ListBullet"/>
        <w:spacing w:after="40"/>
      </w:pPr>
      <w:r>
        <w:t>Missing-ESG group: mean return 9.10%, mean risk 32.68%</w:t>
      </w:r>
    </w:p>
    <w:p>
      <w:pPr>
        <w:pStyle w:val="ListBullet"/>
        <w:spacing w:after="40"/>
      </w:pPr>
      <w:r>
        <w:t>Has-ESG group: mean return 7.81%, mean risk 31.00%</w:t>
      </w:r>
    </w:p>
    <w:p>
      <w:pPr>
        <w:spacing w:before="0"/>
      </w:pPr>
      <w:r>
        <w:rPr>
          <w:b w:val="0"/>
          <w:i w:val="0"/>
          <w:sz w:val="22"/>
        </w:rPr>
        <w:t>The missing group has meaningfully higher return. This confirmed the missingness is systematic, not random — and dropping these stocks would disproportionately cut into higher-return, mostly-US names.</w:t>
      </w:r>
    </w:p>
    <w:p>
      <w:r>
        <w:rPr>
          <w:b/>
        </w:rPr>
        <w:t>Step 3 — Built two parallel datasets instead of guessing.</w:t>
      </w:r>
      <w:r>
        <w:t xml:space="preserve"> </w:t>
      </w:r>
    </w:p>
    <w:p>
      <w:pPr>
        <w:pStyle w:val="ListBullet"/>
        <w:spacing w:after="40"/>
      </w:pPr>
      <w:r>
        <w:rPr>
          <w:b/>
        </w:rPr>
        <w:t xml:space="preserve">shares_imputed.csv: </w:t>
      </w:r>
      <w:r>
        <w:t>all 1093 stocks kept; missing ESG filled with the 25th percentile of ESG scores within that stock's region (US missing → 56.86, Europe missing → 62.03). We chose the 25th percentile specifically instead of the mean/median — the reasoning: for an ESG-focused fund, a stock with no disclosed ESG data shouldn't be given the benefit of the doubt with an average score; a conservative, below-average estimate is the safer assumption.</w:t>
      </w:r>
    </w:p>
    <w:p>
      <w:pPr>
        <w:pStyle w:val="ListBullet"/>
        <w:spacing w:after="40"/>
      </w:pPr>
      <w:r>
        <w:rPr>
          <w:b/>
        </w:rPr>
        <w:t xml:space="preserve">shares_excluded.csv: </w:t>
      </w:r>
      <w:r>
        <w:t>the same 49 stocks simply dropped, leaving 1044.</w:t>
      </w:r>
    </w:p>
    <w:p>
      <w:pPr>
        <w:spacing w:before="0"/>
      </w:pPr>
      <w:r>
        <w:rPr>
          <w:b w:val="0"/>
          <w:i w:val="0"/>
          <w:sz w:val="22"/>
        </w:rPr>
        <w:t>Why both: we'll run the optimization model on each version later and compare the resulting portfolios (a “sensitivity check”). If they're similar, the choice barely matters. If they diverge, it's a real limitation we'll report honestly rather than silently picking one.</w:t>
      </w:r>
    </w:p>
    <w:p>
      <w:pPr>
        <w:spacing w:before="240"/>
      </w:pPr>
      <w:r>
        <w:rPr>
          <w:b/>
          <w:i w:val="0"/>
          <w:sz w:val="24"/>
        </w:rPr>
        <w:t>1.2 Price data cleaning</w:t>
      </w:r>
    </w:p>
    <w:p>
      <w:r>
        <w:rPr>
          <w:b/>
        </w:rPr>
        <w:t>Step 1 — Checked for basic errors:</w:t>
      </w:r>
      <w:r>
        <w:t xml:space="preserve"> zero negative or zero prices in the raw data — clean on that front.</w:t>
      </w:r>
    </w:p>
    <w:p>
      <w:r>
        <w:rPr>
          <w:b/>
        </w:rPr>
        <w:t>Step 2 — Separated two different causes of “missing” prices, which needed opposite treatment:</w:t>
      </w:r>
      <w:r>
        <w:t xml:space="preserve"> </w:t>
      </w:r>
    </w:p>
    <w:p>
      <w:pPr>
        <w:pStyle w:val="ListBullet"/>
        <w:spacing w:after="40"/>
      </w:pPr>
      <w:r>
        <w:t>Late IPOs/spin-offs (e.g. GE Vernova only listed since 2024, Veralto since 2023) — these are not errors, just genuinely no history before that date. We left these untouched — never backfilled before a stock's real first trading day.</w:t>
      </w:r>
    </w:p>
    <w:p>
      <w:pPr>
        <w:pStyle w:val="ListBullet"/>
        <w:spacing w:after="40"/>
      </w:pPr>
      <w:r>
        <w:t>Genuine gaps after a stock was already listed — we found 310 stocks affected, but checked the length of every single gap and confirmed all of them are exactly 1 trading day (very likely a shared market holiday not marked consistently across exchanges). Because they're uniformly short, forward-filling is safe and won't distort volatility estimates.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The conclusion stands, but the measurement behind it was fixed. 02b computed after.isna().sum() — the TOTAL number of missing days per stock — and reported it as “gap length”. Those differ: three separate 1-day gaps would have been reported as one 3-day gap. Re-measured on consecutive runs: 310 stocks, 310 runs, longest run = 1 day. Forward-fill is confirmed safe — now on the quantity the decision actually depends on.</w:t>
      </w:r>
    </w:p>
    <w:p>
      <w:pPr>
        <w:spacing w:before="240"/>
      </w:pPr>
      <w:r>
        <w:rPr>
          <w:b/>
          <w:i w:val="0"/>
          <w:sz w:val="24"/>
        </w:rPr>
        <w:t>1.3 Estimating expected return, risk, and covariance</w:t>
      </w:r>
    </w:p>
    <w:p>
      <w:r>
        <w:rPr>
          <w:b/>
        </w:rPr>
        <w:t>Step 1 — Computed returns.</w:t>
      </w:r>
      <w:r>
        <w:t xml:space="preserve"> Daily log-returns from the cleaned prices, annualized (×252 trading days) using the full 2015–2025 history as our baseline estimation window.</w:t>
      </w:r>
    </w:p>
    <w:p>
      <w:r>
        <w:rPr>
          <w:b/>
        </w:rPr>
        <w:t>Step 2 — Outlier check (before doing anything else with the numbers).</w:t>
      </w:r>
      <w:r>
        <w:t xml:space="preserve"> Scanned for single-day moves over 50% and for extreme annualized returns. Found several real, verified market events, not data errors:</w:t>
      </w:r>
    </w:p>
    <w:p>
      <w:pPr>
        <w:pStyle w:val="ListBullet"/>
        <w:spacing w:after="40"/>
      </w:pPr>
      <w:r>
        <w:rPr>
          <w:b/>
        </w:rPr>
        <w:t xml:space="preserve">Abivax (ABVX.PA): </w:t>
      </w:r>
      <w:r>
        <w:t>+580% in a single day (23 July 2025) after its ulcerative colitis drug succeeded in Phase 3 trials — confirmed via news search, genuinely happened.</w:t>
      </w:r>
    </w:p>
    <w:p>
      <w:pPr>
        <w:pStyle w:val="ListBullet"/>
        <w:spacing w:after="40"/>
      </w:pPr>
      <w:r>
        <w:rPr>
          <w:b/>
        </w:rPr>
        <w:t xml:space="preserve">Monte dei Paschi (BMPS.MI): </w:t>
      </w:r>
      <w:r>
        <w:t>annualized return -53.6%, reflecting its 2016-17 near-collapse and restructuring.</w:t>
      </w:r>
    </w:p>
    <w:p>
      <w:pPr>
        <w:spacing w:before="0"/>
      </w:pPr>
      <w:r>
        <w:rPr>
          <w:b w:val="0"/>
          <w:i w:val="0"/>
          <w:sz w:val="22"/>
        </w:rPr>
        <w:t>This matters because mean-variance optimization is known to be an “estimation-error maximizer” — it will overweight any stock whose estimated return looks artificially high due to a rare one-off event. We're keeping these stocks (the data is real, not an error) but flagging this as something to test for once the model runs.</w:t>
      </w:r>
    </w:p>
    <w:p>
      <w:r>
        <w:rPr>
          <w:b/>
        </w:rPr>
        <w:t>Step 3 — Filtered out stocks with too little history.</w:t>
      </w:r>
      <w:r>
        <w:t xml:space="preserve"> With 1084+ stocks, the covariance matrix needs enough overlapping daily observations per pair to be reliable. We measured this directly: 9 stocks had fewer than ~2 years (504 days) of price history, so we excluded them. Final universe: 1084 stocks.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This filter was replaced. The stated goal — enough overlap per PAIR — is not what the filter measured: it checked each stock's own history length. A stock listed in 2015 and one listed in 2024 both pass, yet share only ~400 common days. It removed 9 stocks and left 87 with ragged history, so the inconsistency survived almost intact. Replaced with a complete-history requirement inside the estimation window, which is the condition the covariance actually needs.</w:t>
      </w:r>
    </w:p>
    <w:p>
      <w:r>
        <w:rPr>
          <w:b/>
        </w:rPr>
        <w:t>Step 4 — Fixed a real mathematical problem in the covariance matrix.</w:t>
      </w:r>
      <w:r>
        <w:t xml:space="preserve"> The covariance matrix was initially mathematically invalid: it had a negative eigenvalue, meaning the math could imply a “negative risk” for certain portfolios. Root cause: stocks with very different amounts of trading history force each pairwise entry to be computed over a different date range, making the whole matrix internally inconsistent. We fixed this using Ledoit-Wolf shrinkage — confirmed by re-checking eigenvalues (now all positive) and the condition number (from ~28 trillion to ~12,000).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The diagnosis was right; the fix was not. PSD was achieved, but by fillna(0) — feeding “no observation” to the estimator as “price did not move”. That injects days of artificial zero volatility: 47 stocks received &gt;40% artificial zeros, and for the worst, annualised sigma was understated by ~55%. It also silently undid the Step-2 pre-IPO decision — filling a stock's RETURNS with zero is the same backfill assumption through the back door.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The damage was not diffuse, it was targeted. Median stock: no bias; average pairwise correlation barely moved (0.241 → 0.228). But minimum-variance optimisation actively hunts for whatever looks least volatile, so it concentrated on exactly the corrupted minority: the selected min-risk portfolio averaged 35.7% missing data against 3.6% across the universe, with 17 of 35 holdings understated by &gt;30%. Its true sigma was 9.5%, not the 5.0% the model reported. The irony: those stocks are in reality the RISKIEST group in the universe (mean sigma 38.7% vs 30.3%) — the estimator showed them as the safest.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Replaced with: estimate the covariance only on stocks with a COMPLETE price series inside the estimation window. No filling. The sample is genuinely rectangular — which is also what Ledoit-Wolf assumes — so PSD holds by construction rather than by accident, and shrinkage does its real job (conditioning) instead of repairing damage. Shrinkage intensity 0.0209, all eigenvalues positive, condition number 11,003.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Cost of the fix, reported as a limitation: on the 10-year window this excludes 96 recent listings, and that exclusion is NOT random. Excluded vs kept — mean return 11.4% vs 7.5%, mean sigma 38.7% vs 30.3%, mean ESG 60.8 vs 67.6, split 59 Europe / 37 US. We lose the high-risk, high-return, lower-ESG tail of the universe. The shorter-window variants below keep more of it (5-y excludes 38, 3-y excludes 17).</w:t>
      </w:r>
    </w:p>
    <w:p>
      <w:pPr>
        <w:spacing w:before="240"/>
      </w:pPr>
      <w:r>
        <w:rPr>
          <w:b/>
          <w:i w:val="0"/>
          <w:sz w:val="24"/>
        </w:rPr>
        <w:t>Final output files, ready for modeling</w:t>
      </w:r>
    </w:p>
    <w:p>
      <w:pPr>
        <w:pStyle w:val="ListBullet"/>
        <w:spacing w:after="40"/>
      </w:pPr>
      <w:r>
        <w:t>expected_return_final.csv, per_stock_risk_final.csv, covariance_matrix_shrunk.csv — all for the same 1084 stocks</w:t>
      </w:r>
    </w:p>
    <w:p>
      <w:pPr>
        <w:pStyle w:val="ListBullet"/>
        <w:spacing w:after="40"/>
      </w:pPr>
      <w:r>
        <w:t>shares_imputed.csv / shares_excluded.csv — the two ESG-handling versions for later comparison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Same filenames and same column headers, but the universe is now 997 stocks. Two things worth knowing: expected_return_final.csv and per_stock_risk_final.csv were never affected by the bug — they are computed with skipna=True before the covariance step, and reproduce exactly. Only covariance_matrix_shrunk.csv was contaminated. New files added: expected_return_final_5y.csv, per_stock_risk_final_5y.csv, covariance_matrix_shrunk_5y.csv and the matching _3y set.</w:t>
      </w:r>
    </w:p>
    <w:p>
      <w:pPr>
        <w:spacing w:before="320"/>
      </w:pPr>
      <w:r>
        <w:rPr>
          <w:b/>
          <w:i w:val="0"/>
          <w:color w:val="1F4E79"/>
          <w:sz w:val="28"/>
        </w:rPr>
        <w:t>PART 2 — DECIDED, NOT YET CODED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Model 2 is now coded and running. The blocker was a one-line bug, not the model: Xpress 9.9 returns UPPERCASE enum names (OPTIMAL / FEASIBLE), while the code compared against “Optimal” / “Feasible”. Every successful solve was therefore recorded as infeasible, and the script raised “INFEASIBLE even for pure min-variance” on runs the solver had just returned OPTIMAL for. The formulation was correct all along.</w:t>
      </w:r>
    </w:p>
    <w:p>
      <w:pPr>
        <w:spacing w:before="240"/>
      </w:pPr>
      <w:r>
        <w:rPr>
          <w:b/>
          <w:i w:val="0"/>
          <w:sz w:val="24"/>
        </w:rPr>
        <w:t>2.1 Two models</w:t>
      </w:r>
    </w:p>
    <w:p>
      <w:pPr>
        <w:pStyle w:val="ListBullet"/>
        <w:spacing w:after="40"/>
      </w:pPr>
      <w:r>
        <w:rPr>
          <w:b/>
        </w:rPr>
        <w:t xml:space="preserve">Model 1 (Linear, baseline): </w:t>
      </w:r>
      <w:r>
        <w:t>treats each stock's risk independently, ignoring correlation between stocks. Simple but naive — used mainly as a comparison point.</w:t>
      </w:r>
    </w:p>
    <w:p>
      <w:pPr>
        <w:pStyle w:val="ListBullet"/>
        <w:spacing w:after="40"/>
      </w:pPr>
      <w:r>
        <w:rPr>
          <w:b/>
        </w:rPr>
        <w:t xml:space="preserve">Model 2 (Markowitz/Quadratic, main model): </w:t>
      </w:r>
      <w:r>
        <w:t>uses the full covariance matrix, properly capturing diversification. This is our primary result.</w:t>
      </w:r>
    </w:p>
    <w:p>
      <w:pPr>
        <w:spacing w:before="0"/>
      </w:pPr>
      <w:r>
        <w:rPr>
          <w:b w:val="0"/>
          <w:i w:val="0"/>
          <w:sz w:val="22"/>
        </w:rPr>
        <w:t>Both need binary variables (stock selected: yes/no) to correctly enforce “1-20% if selected” and “at least 30 stocks.”</w:t>
      </w:r>
    </w:p>
    <w:p>
      <w:pPr>
        <w:spacing w:before="240"/>
      </w:pPr>
      <w:r>
        <w:rPr>
          <w:b/>
          <w:i w:val="0"/>
          <w:sz w:val="24"/>
        </w:rPr>
        <w:t>2.2 Efficient frontier</w:t>
      </w:r>
    </w:p>
    <w:p>
      <w:pPr>
        <w:spacing w:before="0"/>
      </w:pPr>
      <w:r>
        <w:rPr>
          <w:b w:val="0"/>
          <w:i w:val="0"/>
          <w:sz w:val="22"/>
        </w:rPr>
        <w:t>We'll run Model 2 repeatedly with different minimum-return targets, each time finding the lowest-risk portfolio that hits that target. Plotting all results gives the efficient frontier — we'll pick 3 points to represent risk-averse / neutral / risk-tolerant profiles.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Done. 15 points, each solved to within the 1% MIP gap in 0.3–0.4 s — the whole sweep takes about 6 seconds on the full 997-stock universe, so runtime is not a constraint on how many scenarios we run. Results below, with the pre-fix numbers alongside to show what the covariance bug was doing.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Target return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8"/>
              </w:rPr>
              <w:t>Sigma BEFORE fix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Sigma AFTER fix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Stocks (after)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ESG (after)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10.6% / 11.4%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5.0%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8.8%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19.3% / 18.2%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5.2%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10.1%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25.8% / 25.0%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5.9%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12.9%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32.3% / 31.8%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7.1%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17.1%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38.9% / 38.6%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12.8%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27.5%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70.0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b w:val="0"/>
          <w:i w:val="0"/>
          <w:color w:val="595959"/>
          <w:sz w:val="18"/>
        </w:rPr>
        <w:t>Reading the table: the two frontiers are not directly aligned point-for-point (the feasible return range shifted when the universe changed), so returns are shown as before/after pairs at comparable positions.</w:t>
      </w:r>
    </w:p>
    <w:p>
      <w:pPr>
        <w:spacing w:before="160"/>
      </w:pPr>
      <w:r>
        <w:rPr>
          <w:b/>
          <w:i w:val="0"/>
          <w:sz w:val="22"/>
        </w:rPr>
        <w:t>Three results that survive the fix and are worth putting on a slide:</w:t>
      </w:r>
    </w:p>
    <w:p>
      <w:pPr>
        <w:pStyle w:val="ListBullet"/>
        <w:spacing w:after="40"/>
      </w:pPr>
      <w:r>
        <w:rPr>
          <w:b/>
        </w:rPr>
        <w:t xml:space="preserve">The ESG constraint is never slack. </w:t>
      </w:r>
      <w:r>
        <w:t>It binds at exactly 70.0 at every single point of the frontier, before and after the fix. The constraint is always active — it genuinely costs return, which is precisely the question the client asked us to evaluate.</w:t>
      </w:r>
    </w:p>
    <w:p>
      <w:pPr>
        <w:pStyle w:val="ListBullet"/>
        <w:spacing w:after="40"/>
      </w:pPr>
      <w:r>
        <w:rPr>
          <w:b/>
        </w:rPr>
        <w:t xml:space="preserve">The region cap binds, and it flips. </w:t>
      </w:r>
      <w:r>
        <w:t>At the low-risk end the model holds 60% Europe; at the high-return end it flips to 60% US. Europe acts as the stabiliser, the US as the engine.</w:t>
      </w:r>
    </w:p>
    <w:p>
      <w:pPr>
        <w:pStyle w:val="ListBullet"/>
        <w:spacing w:after="40"/>
      </w:pPr>
      <w:r>
        <w:rPr>
          <w:b/>
        </w:rPr>
        <w:t xml:space="preserve">The model wants to concentrate. </w:t>
      </w:r>
      <w:r>
        <w:t>The minimum-30 constraint binds across most of the frontier. Only at the low-risk end does the model voluntarily hold more (48–49 names) — diversification is worth more to it than concentration there.</w:t>
      </w:r>
    </w:p>
    <w:p>
      <w:pPr>
        <w:spacing w:before="160"/>
      </w:pPr>
      <w:r>
        <w:rPr>
          <w:b/>
          <w:i w:val="0"/>
          <w:sz w:val="22"/>
        </w:rPr>
        <w:t>What the fix changed in the story:</w:t>
      </w:r>
    </w:p>
    <w:p>
      <w:pPr>
        <w:pStyle w:val="ListBullet"/>
        <w:spacing w:after="40"/>
      </w:pPr>
      <w:r>
        <w:t>Max Sharpe on the frontier fell from 4.59 to 1.94. The first number was not defensible — a Sharpe above 4 on a long-only equity portfolio would have been the first thing questioned in the presentation. 1.94 is high but arguable, and we can explain it as in-sample estimation bias.</w:t>
      </w:r>
    </w:p>
    <w:p>
      <w:pPr>
        <w:pStyle w:val="ListBullet"/>
        <w:spacing w:after="40"/>
      </w:pPr>
      <w:r>
        <w:t>The min-risk portfolio now holds 48 stocks instead of 35, and its sigma is 8.5% instead of 5.0%. It diversifies more because the cheap fake diversification is gone.</w:t>
      </w:r>
    </w:p>
    <w:p>
      <w:pPr>
        <w:spacing w:before="240"/>
      </w:pPr>
      <w:r>
        <w:rPr>
          <w:b/>
          <w:i w:val="0"/>
          <w:sz w:val="24"/>
        </w:rPr>
        <w:t>2.3 Planned checks</w:t>
      </w:r>
    </w:p>
    <w:p>
      <w:pPr>
        <w:pStyle w:val="ListBullet"/>
        <w:spacing w:after="40"/>
      </w:pPr>
      <w:r>
        <w:rPr>
          <w:b/>
        </w:rPr>
        <w:t xml:space="preserve">Robustness check: </w:t>
      </w:r>
      <w:r>
        <w:t>re-estimate with a shorter window (e.g. last 5 years) to see if the recommended portfolio is sensitive to the estimation period.</w:t>
      </w:r>
    </w:p>
    <w:p>
      <w:pPr>
        <w:pStyle w:val="ListBullet"/>
        <w:spacing w:after="40"/>
      </w:pPr>
      <w:r>
        <w:rPr>
          <w:b/>
        </w:rPr>
        <w:t xml:space="preserve">ESG cost analysis: </w:t>
      </w:r>
      <w:r>
        <w:t>compare best achievable return with vs. without the ESG≥70 constraint.</w:t>
      </w:r>
    </w:p>
    <w:p>
      <w:pPr>
        <w:pStyle w:val="ListBullet"/>
        <w:spacing w:after="40"/>
      </w:pPr>
      <w:r>
        <w:rPr>
          <w:b/>
        </w:rPr>
        <w:t xml:space="preserve">1/N benchmark: </w:t>
      </w:r>
      <w:r>
        <w:t>confirm our optimized portfolio actually beats a naive equal-weight split — guards against the “estimation-error maximizer” risk above.</w:t>
      </w:r>
    </w:p>
    <w:p>
      <w:pPr>
        <w:pStyle w:val="ListBullet"/>
        <w:spacing w:after="40"/>
      </w:pPr>
      <w:r>
        <w:rPr>
          <w:b/>
        </w:rPr>
        <w:t xml:space="preserve">Backtest: </w:t>
      </w:r>
      <w:r>
        <w:t>train on historical data, test on a later held-out period, using a rolling window to get several independent out-of-sample observations.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Robustness check: the covariance estimator is now parameterised by window, so the 5-year and 3-year variants are already generated (see the _5y / _3y files). Running the frontier on them is one line. 1/N benchmark: worth doing FIRST rather than last — an equal-weight portfolio of this universe sits around 15% sigma, and that single number would have exposed the 5.0% frontier immediately. It is the cheapest sanity check we have against this whole class of error.</w:t>
      </w:r>
    </w:p>
    <w:p>
      <w:pPr>
        <w:spacing w:before="240"/>
      </w:pPr>
      <w:r>
        <w:rPr>
          <w:b/>
          <w:i w:val="0"/>
          <w:sz w:val="24"/>
        </w:rPr>
        <w:t>2.4 Extensions (if time allows), ranked by priority</w:t>
      </w:r>
    </w:p>
    <w:p>
      <w:pPr>
        <w:pStyle w:val="ListBullet"/>
        <w:spacing w:after="40"/>
      </w:pPr>
      <w:r>
        <w:rPr>
          <w:b/>
        </w:rPr>
        <w:t xml:space="preserve">Sector constraint — </w:t>
      </w:r>
      <w:r>
        <w:t>current constraints cap exposure by region but not by industry, so the model could still concentrate heavily in one sector. Adding a sector cap closes that gap.</w:t>
      </w:r>
    </w:p>
    <w:p>
      <w:pPr>
        <w:pStyle w:val="ListBullet"/>
        <w:spacing w:after="40"/>
      </w:pPr>
      <w:r>
        <w:rPr>
          <w:b/>
        </w:rPr>
        <w:t xml:space="preserve">Currency/FX risk — </w:t>
      </w:r>
      <w:r>
        <w:t>the fund is USD-based but holds EUR/GBP/CHF-denominated stocks; currency swings affect the investor's real return and increase correlation between same-currency stocks in ways the current model ignores.</w:t>
      </w:r>
    </w:p>
    <w:p>
      <w:pPr>
        <w:spacing w:before="320"/>
      </w:pPr>
      <w:r>
        <w:rPr>
          <w:b/>
          <w:i w:val="0"/>
          <w:color w:val="1F4E79"/>
          <w:sz w:val="28"/>
        </w:rPr>
        <w:t>Guidance for the teammate collecting sector data</w:t>
      </w:r>
    </w:p>
    <w:p>
      <w:pPr>
        <w:spacing w:before="0"/>
      </w:pPr>
      <w:r>
        <w:rPr>
          <w:b w:val="0"/>
          <w:i w:val="0"/>
          <w:sz w:val="22"/>
        </w:rPr>
        <w:t>Unchanged — the yfinance approach, rate-limiting note and ticker-suffix warning all still apply.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One number changed: pull the ticker list from expected_return_final.csv as before, but it now contains 997 tickers, not 1084. If you already ran it on 1084, keep the file — the extra rows are harmless and we may widen the universe back if we switch to the 5-year window.</w:t>
      </w:r>
    </w:p>
    <w:p>
      <w:pPr>
        <w:spacing w:before="320"/>
      </w:pPr>
      <w:r>
        <w:rPr>
          <w:b/>
          <w:i w:val="0"/>
          <w:color w:val="1F4E79"/>
          <w:sz w:val="28"/>
        </w:rPr>
        <w:t>For the teammate building the Power BI dashboard</w:t>
      </w:r>
    </w:p>
    <w:p>
      <w:pPr>
        <w:spacing w:before="0"/>
      </w:pPr>
      <w:r>
        <w:rPr>
          <w:b w:val="0"/>
          <w:i w:val="0"/>
          <w:sz w:val="22"/>
        </w:rPr>
        <w:t>The original split between “safe to build now” and “don't build yet” was correct and still holds. Specifically:</w:t>
      </w:r>
    </w:p>
    <w:p>
      <w:pPr>
        <w:pStyle w:val="ListBullet"/>
        <w:spacing w:after="40"/>
      </w:pPr>
      <w:r>
        <w:rPr>
          <w:b/>
        </w:rPr>
        <w:t xml:space="preserve">Safe: </w:t>
      </w:r>
      <w:r>
        <w:t>ESG distribution by region/country, and return/risk distributions — still safe. These come from files the bug never touched.</w:t>
      </w:r>
    </w:p>
    <w:p>
      <w:pPr>
        <w:pStyle w:val="ListBullet"/>
        <w:spacing w:after="40"/>
      </w:pPr>
      <w:r>
        <w:rPr>
          <w:b/>
        </w:rPr>
        <w:t xml:space="preserve">Refresh later: </w:t>
      </w:r>
      <w:r>
        <w:t>anything using ESG scores — we still have the imputed vs excluded versions and have not picked one. Keep it parameterised on a shares.csv input.</w:t>
      </w:r>
    </w:p>
    <w:p>
      <w:pPr>
        <w:pStyle w:val="ListBullet"/>
        <w:spacing w:after="40"/>
      </w:pPr>
      <w:r>
        <w:rPr>
          <w:b/>
        </w:rPr>
        <w:t xml:space="preserve">Now available: </w:t>
      </w:r>
      <w:r>
        <w:t>portfolio composition, weights, efficient frontier — these now exist. See efficient_frontier_model2.csv (one row per frontier point) and efficient_frontier_weights.csv (one column per point, one row per stock).</w:t>
      </w:r>
    </w:p>
    <w:p>
      <w:pPr>
        <w:spacing w:before="80" w:after="160"/>
        <w:ind w:left="360"/>
        <w:shd w:val="clear" w:color="auto" w:fill="EEF3F9"/>
      </w:pPr>
      <w:r>
        <w:rPr>
          <w:b/>
          <w:i/>
          <w:color w:val="1F4E79"/>
          <w:sz w:val="20"/>
        </w:rPr>
        <w:t xml:space="preserve">▸ UPDATE — 31 Aug, after bug fix:  </w:t>
      </w:r>
      <w:r>
        <w:rPr>
          <w:i/>
          <w:sz w:val="20"/>
        </w:rPr>
        <w:t>The stock count you display changed from 1084 to 997. Keep importing from CSV with the same column names (Stock, Region, Country, ESG score, expected_return, risk_std) — nothing about the schema changed, only the number of rows.</w:t>
      </w:r>
    </w:p>
    <w:p>
      <w:pPr>
        <w:spacing w:before="320"/>
      </w:pPr>
      <w:r>
        <w:rPr>
          <w:b/>
          <w:i w:val="0"/>
          <w:color w:val="1F4E79"/>
          <w:sz w:val="28"/>
        </w:rPr>
        <w:t>Appendix — environment note</w:t>
      </w:r>
    </w:p>
    <w:p>
      <w:pPr>
        <w:spacing w:before="0"/>
      </w:pPr>
      <w:r>
        <w:rPr>
          <w:b w:val="0"/>
          <w:i w:val="0"/>
          <w:sz w:val="22"/>
        </w:rPr>
        <w:t>scikit-learn is a hard dependency of the pipeline (Ledoit-Wolf shrinkage) and is not part of the Xpress install. On a fresh machine: pip install scikit-learn. The Xpress licence file xpauth.xpr must be reachable via the XPAUTH_PATH environment variable; Model2.py now resolves it to an absolute path so it works regardless of the working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