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0"/>
          <w:szCs w:val="40"/>
        </w:rPr>
        <w:t xml:space="preserve">SustainaFund — Portfolio Selection</w:t>
      </w:r>
    </w:p>
    <w:p>
      <w:pPr>
        <w:spacing w:after="60"/>
      </w:pPr>
      <w:r>
        <w:rPr>
          <w:color w:val="555555"/>
          <w:sz w:val="26"/>
          <w:szCs w:val="26"/>
        </w:rPr>
        <w:t xml:space="preserve">Package v3 — what changed since v2, and what we learned</w:t>
      </w:r>
    </w:p>
    <w:p>
      <w:pPr>
        <w:spacing w:after="240"/>
      </w:pPr>
      <w:r>
        <w:rPr>
          <w:color w:val="777777"/>
          <w:sz w:val="19"/>
          <w:szCs w:val="19"/>
        </w:rPr>
        <w:t xml:space="preserve">HTW Berlin summer school 2026  ·  FICO case study  ·  1 September 2026</w:t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pPr>
        <w:spacing w:after="120"/>
        <w:jc w:val="both"/>
      </w:pPr>
      <w:r>
        <w:t xml:space="preserve">This accompanies HTWSS_v3.zip. It covers only what changed since the v2 package of 31 August. The optimisation model was deliberately left intact so that every measured difference could be attributed to one specific change: six changes moved the result, three attempts did not, and three limitations belong on the slides. Every number here is reproducible from the script named beside it.</w:t>
      </w:r>
    </w:p>
    <w:p>
      <w:pPr>
        <w:spacing w:after="200"/>
        <w:jc w:val="both"/>
      </w:pPr>
      <w:r>
        <w:rPr>
          <w:b/>
          <w:bCs/>
        </w:rPr>
        <w:t xml:space="preserve">Bottom line: </w:t>
      </w:r>
      <w:r>
        <w:t xml:space="preserve">the v2 portfolio was measuring risk in the wrong currency and could not reach 96 of the 1,093 stocks. Correcting both changes which portfolio is optimal — at the same true risk the corrected model offers 12.78% against 7.07%. The v2 headline of 38.6% expected return was estimation error and is now 16.3%. Both risk models the case study suggests are now built and compared.</w:t>
      </w:r>
    </w:p>
    <w:p>
      <w:pPr>
        <w:pStyle w:val="Heading1"/>
        <w:spacing w:after="160" w:before="320"/>
      </w:pPr>
      <w:r>
        <w:t xml:space="preserve">1. The frozen portfolios</w:t>
      </w:r>
    </w:p>
    <w:p>
      <w:pPr>
        <w:spacing w:after="120"/>
        <w:jc w:val="both"/>
      </w:pPr>
      <w:r>
        <w:t xml:space="preserve">Three risk profiles. Selection is by rule, not by hand: minimum predicted risk; maximum return/risk ratio; and the highest-return point that is not a degenerate corner solution. All seven constraints are re-verified independently of the solver.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risk-averse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neutral</w:t>
            </w:r>
          </w:p>
        </w:tc>
        <w:tc>
          <w:tcPr>
            <w:tcW w:type="dxa" w:w="22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risk-prone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Expected return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7.17%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13.02%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14.32%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Predicted risk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9.36%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11.32%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13.02%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Return / risk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0.77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1.15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1.10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Holdings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46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Largest position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7.69%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14.51%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15.18%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ESG (weighted)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70.00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70.00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70.00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Europe / US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48.7 / 51.3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44.7 / 55.3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42.8 / 57.2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Switzerland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25.00%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25.00%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20.13%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Positions on the 1% floor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t xml:space="preserve">The neutral book has the best risk-adjusted profile and is our recommendation. Full holdings with dollar amounts are in results/frozen/.</w:t>
      </w:r>
    </w:p>
    <w:p>
      <w:pPr>
        <w:pStyle w:val="Heading1"/>
        <w:spacing w:after="160" w:before="320"/>
      </w:pPr>
      <w:r>
        <w:t xml:space="preserve">2. Model specification: v2 → v3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2400"/>
        <w:gridCol w:w="2326"/>
      </w:tblGrid>
      <w:tr>
        <w:trPr>
          <w:tblHeader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Component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v2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v3</w:t>
            </w:r>
          </w:p>
        </w:tc>
        <w:tc>
          <w:tcPr>
            <w:tcW w:type="dxa" w:w="23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Prices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local currency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USD, ECB rates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fund reports in USD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Window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 years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 years (unchanged)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judgement, see §7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Expected return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raw historical mean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James-Stein shrinkage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raw mean gave 88% p.a. on 460 observations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Covariance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complete-case + Ledoit-Wolf, 997 stocks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20-factor PCA, all stocks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997 → 1,093 eligible; PSD by construction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Universe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997 of 1,093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1,093 of 1,093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96 recovered; 2 stocks truncated at discontinuities, none dropped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Optimiser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Model2.py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Model3.py = Model2 + 25% country cap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region cap did not stop 45% in Switzerland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Linear alternative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built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 1 built and compared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case study asks for both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t xml:space="preserve">Model2.py is byte-identical to v2 and ships unchanged in code/00_baseline_v2/. Model3.py differs from it by the country-cap constraint alone, and 08_country_cap.py asserts that Model 3 with the cap disabled reproduces Model 2 exactly — it does, to 0.00e+00 in return, risk and every weight. Likewise 03b reproduces v2's 01c output to 9.7e-17, 14 reproduces 04a byte-for-byte, and 15 asserts that Model 1 shares Model 3's constraint set exactly. These controls are the reason the attributions below can be stated at all.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3. The six changes that moved the result</w:t>
      </w:r>
    </w:p>
    <w:p>
      <w:pPr>
        <w:pStyle w:val="Heading2"/>
        <w:spacing w:after="120" w:before="240"/>
      </w:pPr>
      <w:r>
        <w:t xml:space="preserve">3.1  Prices converted to USD  (03a–03c, 12)</w:t>
      </w:r>
    </w:p>
    <w:p>
      <w:pPr>
        <w:spacing w:after="120"/>
        <w:jc w:val="both"/>
      </w:pPr>
      <w:r>
        <w:t xml:space="preserve">Returns are ratios, so price levels cancel and the v2 pipeline was not broken by quoting Unilever in pence. But d·ln(P_usd) = d·ln(P_local) + d·ln(fx): the FX return is an additive term that survives the move to returns. A local-currency return is what a domestic investor earns; the fund holds USD.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Effect on risk: </w:t>
      </w:r>
      <w:r>
        <w:t xml:space="preserve">the v2 minimum-variance book believed its risk was 8.46%; in USD terms it was 10.13% — understated by 19.7%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Effect on return: </w:t>
      </w:r>
      <w:r>
        <w:t xml:space="preserve">under ±0.3pp. European currencies moved in opposite directions over the window (CHF +25.6%, GBP −9.2%) and largely cancel, which is why the omission was invisible in the headline numbers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Effect on the decision: </w:t>
      </w:r>
      <w:r>
        <w:t xml:space="preserve">at the same true risk of 10.13% the corrected model returns 12.78% against the old book's 7.07%. The 60% region cap, binding in 13 of 15 v2 frontier points, stops binding entirely — the optimiser settles near 50/50 once it can see that European stocks share an FX factor</w:t>
      </w:r>
    </w:p>
    <w:p>
      <w:pPr>
        <w:spacing w:after="120"/>
        <w:jc w:val="both"/>
      </w:pPr>
      <w:r>
        <w:t xml:space="preserve">Verified model-free in 12_fx_model_free.py with no covariance model involved: the same frozen holdings realised 8.04% risk measured in local currency and 8.99% in USD. The identity var(local) + 2·cov + var(fx) = var(USD) holds to 2.4e-17, and var(fx) is 17.6% of total USD variance in the risk-averse book.</w:t>
      </w:r>
    </w:p>
    <w:p>
      <w:pPr>
        <w:pStyle w:val="Heading2"/>
        <w:spacing w:after="120" w:before="240"/>
      </w:pPr>
      <w:r>
        <w:t xml:space="preserve">3.2  Expected return shrunk  (04a)</w:t>
      </w:r>
    </w:p>
    <w:p>
      <w:pPr>
        <w:spacing w:after="120"/>
        <w:jc w:val="both"/>
      </w:pPr>
      <w:r>
        <w:t xml:space="preserve">A stock's own sample mean is a noisy estimate and a mean-variance optimiser preferentially selects whatever that noise flattered. James-Stein shrinkage with intensity set by sample size pulls a 460-observation stock hard toward the cross-sectional mean and a 2,607-observation one barely at all.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0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before</w:t>
            </w:r>
          </w:p>
        </w:tc>
        <w:tc>
          <w:tcPr>
            <w:tcW w:type="dxa" w:w="30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after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Frontier maximum return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38.8%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16.3%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GEV.N expected return (460 obs.)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87.9%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11.3%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Stocks with negative expected return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175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t xml:space="preserve">This changed what we can honestly claim more than it changed the holdings — correlation with the raw estimate is 0.945, so the ranking largely survives. But 38.8% p.a. would not have withstood one question.</w:t>
      </w:r>
    </w:p>
    <w:p>
      <w:pPr>
        <w:pStyle w:val="Heading2"/>
        <w:spacing w:after="120" w:before="240"/>
      </w:pPr>
      <w:r>
        <w:t xml:space="preserve">3.3  Covariance rebuilt as a factor model  (04a, 05d)</w:t>
      </w:r>
    </w:p>
    <w:p>
      <w:pPr>
        <w:spacing w:after="120"/>
        <w:jc w:val="both"/>
      </w:pPr>
      <w:r>
        <w:t xml:space="preserve">The complete-case rule required a common ten-year history for every pair, which excluded every stock listed after 2015 — 96 of 1,093, and not at random. A factor model fits each stock's betas on whatever days it has, so no pair needs a shared history and Sigma is PSD by construction.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997 → 1,093 stocks eligible; the recovered names take 11.2% of capital at the min-risk 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validates against the v2 matrix where they overlap: off-diagonal correlation 0.982, per-stock sigma correlation 1.000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condition number 3,621 against 13,245 for the v2 complete-case matrix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in-sample portfolio risk error moves from −33.6% with one factor to +1.5% with twenty, at the min-risk end</w:t>
      </w:r>
    </w:p>
    <w:p>
      <w:pPr>
        <w:pStyle w:val="Heading2"/>
        <w:spacing w:after="120" w:before="240"/>
      </w:pPr>
      <w:r>
        <w:t xml:space="preserve">3.4  Country concentration cap  (08)</w:t>
      </w:r>
    </w:p>
    <w:p>
      <w:pPr>
        <w:spacing w:after="120"/>
        <w:jc w:val="both"/>
      </w:pPr>
      <w:r>
        <w:t xml:space="preserve">The v2 diversification constraint was on region only, and the region "United States" is the same set as the country "United States". Its minimum-variance solution therefore held 45.4% in Switzerland — cantonal banks and real estate, two highly correlated sectors in one small market — while passing every constraint.</w:t>
      </w:r>
    </w:p>
    <w:p>
      <w:pPr>
        <w:spacing w:after="120"/>
        <w:jc w:val="both"/>
      </w:pPr>
      <w:r>
        <w:t xml:space="preserve">A 25% per-country cap brings that to 25.0% and costs 0.06pp of return on average, 0.41pp at the min-risk corner. The US is exempt, and that is forced rather than chosen: the 60% region cap over two regions implies US ≥ 40%, so any lower country cap on the US is infeasible. The US is also the one country that is itself a diversified market, with 500 constituents.</w:t>
      </w:r>
    </w:p>
    <w:p>
      <w:pPr>
        <w:spacing w:after="120"/>
        <w:jc w:val="both"/>
      </w:pPr>
      <w:r>
        <w:rPr>
          <w:b/>
          <w:bCs/>
        </w:rPr>
        <w:t xml:space="preserve">The cap does not solve the concentration, it assigns it. </w:t>
      </w:r>
      <w:r>
        <w:t xml:space="preserve">Switzerland sits at exactly 25.00% in two of the three books — the model wants more and the cap decides how much it gets. The level is a policy judgement; 20% would cost 1.02pp at the min-risk corner.</w:t>
      </w:r>
    </w:p>
    <w:p>
      <w:pPr>
        <w:pStyle w:val="Heading2"/>
        <w:spacing w:after="120" w:before="240"/>
      </w:pPr>
      <w:r>
        <w:t xml:space="preserve">3.5  Two price histories truncated at discontinuities  (10, 13, 14)</w:t>
      </w:r>
    </w:p>
    <w:p>
      <w:pPr>
        <w:spacing w:after="120"/>
        <w:jc w:val="both"/>
      </w:pPr>
      <w:r>
        <w:t xml:space="preserve">Two stocks contain a boundary across which a return is not a return, because the security before and after is not the same claim.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500"/>
        <w:gridCol w:w="4326"/>
      </w:tblGrid>
      <w:tr>
        <w:trPr>
          <w:tblHeader/>
        </w:trPr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Stock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Frozen closes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Jump after</w:t>
            </w:r>
          </w:p>
        </w:tc>
        <w:tc>
          <w:tcPr>
            <w:tcW w:type="dxa" w:w="43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What happened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ZEG.L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+352%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reverse takeover of Vodafone Spain; listing cancelled and re-admitted, equity massively diluted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BMPS.MI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219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−69.8%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2016-17 Monte dei Paschi recapitalisation with burden-sharing and state aid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b/>
          <w:bCs/>
        </w:rPr>
        <w:t xml:space="preserve">Neither is a bad price. </w:t>
      </w:r>
      <w:r>
        <w:t xml:space="preserve">The quoted levels are correct on both sides. What is wrong is computing a log-return across the boundary: a holder of ZEG.L did not gain 352% — the share count changed, so the price ratio is not a return. Treating it as one added 14.61pp to that stock's annualised mean. BMPS.MI carries a second defect on top: 219 consecutive days of zero return understate its sigma, which is the failure mode 01c's own comments warn about.</w:t>
      </w:r>
    </w:p>
    <w:p>
      <w:pPr>
        <w:spacing w:after="120"/>
        <w:jc w:val="both"/>
      </w:pPr>
      <w:r>
        <w:t xml:space="preserve">Both are handled by one rule applied uniformly and not conditioned on whether a stock is held: history begins after the last discontinuity. Neither stock is dropped — ZEG.L keeps 557 usable days and re-enters as a recent listing, which the factor model handles natively. Impact on the portfolios is small: Jaccard 0.94–0.97 against v2, active share 2.7–2.9%.</w:t>
      </w:r>
    </w:p>
    <w:p>
      <w:pPr>
        <w:spacing w:after="120"/>
        <w:jc w:val="both"/>
      </w:pPr>
      <w:r>
        <w:t xml:space="preserve">The detector matters as much as the finding. A fixed 50% move threshold and a 5-sigma relative threshold both flag overwhelmingly genuine market events — the 2020 oil crash, Abivax's Phase 3 result, Globe Life's short-seller report. What separates a corporate action from a market move is a run of identical closing prices, meaning trading was suspended, followed by a large jump. That fires on exactly 2 of 1,093 stocks. It must be run on local-currency prices: in USD the daily FX rate un-freezes a frozen local price and the signature disappears.</w:t>
      </w:r>
    </w:p>
    <w:p>
      <w:r>
        <w:br w:type="page"/>
      </w:r>
    </w:p>
    <w:p>
      <w:pPr>
        <w:pStyle w:val="Heading2"/>
        <w:spacing w:after="120" w:before="240"/>
      </w:pPr>
      <w:r>
        <w:t xml:space="preserve">3.6  Model 1 built, and the comparison the case study asks for  (15)</w:t>
      </w:r>
    </w:p>
    <w:p>
      <w:pPr>
        <w:spacing w:after="120"/>
        <w:jc w:val="both"/>
      </w:pPr>
      <w:r>
        <w:t xml:space="preserve">The case study offers two routes to portfolio risk and encourages comparing them. Model 3 takes the covariance route. Model 1 is the other one: minimise the weighted sum of per-stock volatilities, which is a MILP. Constraints are identical — asserted, not assumed: the same problem builder given the quadratic objective reproduces Model 3's solution to max|dw| = 0.00e+00.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2200"/>
        <w:gridCol w:w="2326"/>
      </w:tblGrid>
      <w:tr>
        <w:trPr>
          <w:tblHeader/>
        </w:trPr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Model 1 (MILP)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Model 3 (MIQP)</w:t>
            </w:r>
          </w:p>
        </w:tc>
        <w:tc>
          <w:tcPr>
            <w:tcW w:type="dxa" w:w="23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Comment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Objective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min Σ wᵢ·σᵢ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min wᵀΣw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Sees correlation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True risk at matched return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+19.2% higher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baseline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range +9.7% .. +23.1%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Holdings chosen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always 30–31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30–47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 1 sits at the floor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t xml:space="preserve">Two points to make explicitly to anyone comparing the reported figures. First, the two risk numbers are not on the same scale: Σ wᵢσᵢ is the risk you would bear if every pair moved together, so it is an upper bound. For Model 1's own portfolio at a 13% return target its objective reads 21.95% while the portfolio's actual standard deviation is 13.42% — a ratio of 1.64×. That gap is the diversification the linear model cannot see, and therefore cannot optimise for.</w:t>
      </w:r>
    </w:p>
    <w:p>
      <w:pPr>
        <w:spacing w:after="120"/>
        <w:jc w:val="both"/>
      </w:pPr>
      <w:r>
        <w:t xml:space="preserve">Second, Model 1 always holds the minimum 30 stocks. Adding a 31st cannot lower Σ wᵢσᵢ, so it has no reason to diversify beyond the constraint, while Model 3 voluntarily holds up to 47. The two models also overlap in only 5 to 28 names out of roughly 38, so this is not a small perturbation of the same answer.</w:t>
      </w:r>
    </w:p>
    <w:p>
      <w:pPr>
        <w:spacing w:after="120"/>
        <w:jc w:val="both"/>
      </w:pPr>
      <w:r>
        <w:t xml:space="preserve">Model 1 is not useless: it solves faster and needs only per-stock volatilities rather than a full covariance matrix, which makes it the right tool when a covariance estimate cannot be trusted. Here the covariance can be trusted, and 19.2% of extra risk is what choosing the linear route would have cost.</w:t>
      </w:r>
    </w:p>
    <w:p>
      <w:pPr>
        <w:pStyle w:val="Heading1"/>
        <w:spacing w:after="160" w:before="320"/>
      </w:pPr>
      <w:r>
        <w:t xml:space="preserve">4. Three things that did not work</w:t>
      </w:r>
    </w:p>
    <w:p>
      <w:pPr>
        <w:spacing w:after="120"/>
        <w:jc w:val="both"/>
      </w:pPr>
      <w:r>
        <w:t xml:space="preserve">Reported because the negative results are what identified the real limitation, and because two of them are the obvious things a reviewer will ask why we did not 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026"/>
      </w:tblGrid>
      <w:tr>
        <w:trPr>
          <w:tblHeader/>
        </w:trP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Attempt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Intended to fix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Result</w:t>
            </w:r>
          </w:p>
        </w:tc>
        <w:tc>
          <w:tcPr>
            <w:tcW w:type="dxa" w:w="20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rPr>
          <w:tblHeader w:val="false"/>
        </w:trPr>
        <w:tc>
          <w:tcPr>
            <w:tcW w:type="dxa" w:w="2600"/>
            <w:shd w:fill="FB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Bootstrap resampling of weights (06a)</w:t>
            </w:r>
          </w:p>
        </w:tc>
        <w:tc>
          <w:tcPr>
            <w:tcW w:type="dxa" w:w="2200"/>
            <w:shd w:fill="FB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composition instability</w:t>
            </w:r>
          </w:p>
        </w:tc>
        <w:tc>
          <w:tcPr>
            <w:tcW w:type="dxa" w:w="2200"/>
            <w:shd w:fill="FB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Jaccard 0.29 → 0.31</w:t>
            </w:r>
          </w:p>
        </w:tc>
        <w:tc>
          <w:tcPr>
            <w:tcW w:type="dxa" w:w="2026"/>
            <w:shd w:fill="FB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 effect</w:t>
            </w:r>
          </w:p>
        </w:tc>
      </w:tr>
      <w:tr>
        <w:trPr>
          <w:tblHeader w:val="false"/>
        </w:trPr>
        <w:tc>
          <w:tcPr>
            <w:tcW w:type="dxa" w:w="2600"/>
            <w:shd w:fill="FB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Market + region factor model (05c)</w:t>
            </w:r>
          </w:p>
        </w:tc>
        <w:tc>
          <w:tcPr>
            <w:tcW w:type="dxa" w:w="2200"/>
            <w:shd w:fill="FB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portfolio risk understatement</w:t>
            </w:r>
          </w:p>
        </w:tc>
        <w:tc>
          <w:tcPr>
            <w:tcW w:type="dxa" w:w="2200"/>
            <w:shd w:fill="FB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−13.6% → −13.1%</w:t>
            </w:r>
          </w:p>
        </w:tc>
        <w:tc>
          <w:tcPr>
            <w:tcW w:type="dxa" w:w="2026"/>
            <w:shd w:fill="FB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 effect</w:t>
            </w:r>
          </w:p>
        </w:tc>
      </w:tr>
      <w:tr>
        <w:trPr>
          <w:tblHeader w:val="false"/>
        </w:trPr>
        <w:tc>
          <w:tcPr>
            <w:tcW w:type="dxa" w:w="2600"/>
            <w:shd w:fill="FB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Ledoit-Wolf on the factor Sigma (09)</w:t>
            </w:r>
          </w:p>
        </w:tc>
        <w:tc>
          <w:tcPr>
            <w:tcW w:type="dxa" w:w="2200"/>
            <w:shd w:fill="FB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covariance quality</w:t>
            </w:r>
          </w:p>
        </w:tc>
        <w:tc>
          <w:tcPr>
            <w:tcW w:type="dxa" w:w="2200"/>
            <w:shd w:fill="FB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delta within 0.56pp out of sample</w:t>
            </w:r>
          </w:p>
        </w:tc>
        <w:tc>
          <w:tcPr>
            <w:tcW w:type="dxa" w:w="2026"/>
            <w:shd w:fill="FBEA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 improvement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t xml:space="preserve">The region factor is the instructive one. It absorbed the structure it targeted completely — the residual correlation spread between same-region and cross-region pairs collapsed from +0.2237 to −0.0010, and the region betas split cleanly at +0.465 for Europe and −0.533 for the US — and the risk understatement did not move. The reason is visible in the same numbers: the structure was +0.11 within region and −0.11 across, so it averages to roughly zero and cancels at the portfolio level in a balanced book.</w:t>
      </w:r>
    </w:p>
    <w:p>
      <w:pPr>
        <w:spacing w:after="120"/>
        <w:jc w:val="both"/>
      </w:pPr>
      <w:r>
        <w:t xml:space="preserve">What worked was not naming a better factor but using more of them. The sweep in 05d shows a cliff rather than a gradient: one or two factors understate portfolio risk by about 18%, five understate by none, and twenty is the smallest count with no understatement anywhere on the frontier.</w:t>
      </w:r>
    </w:p>
    <w:p>
      <w:pPr>
        <w:spacing w:after="120"/>
        <w:jc w:val="both"/>
      </w:pPr>
      <w:r>
        <w:t xml:space="preserve">The bootstrap result reframed the stability question entirely. Within a single estimation window resampling converges reliably — the top selection frequency is 1.00 and ten names appear in at least 90% of resamples. Across windows, even those cores overlap at Jaccard 0.28. That is regime change, not sampling noise, and resampling cannot bridge it by construction.</w:t>
      </w:r>
    </w:p>
    <w:p>
      <w:pPr>
        <w:pStyle w:val="Heading1"/>
        <w:spacing w:after="160" w:before="320"/>
      </w:pPr>
      <w:r>
        <w:t xml:space="preserve">5. Team feedback — how each item was handled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4626"/>
      </w:tblGrid>
      <w:tr>
        <w:trPr>
          <w:tblHeader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Raised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46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Outcome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Complete-case covariance excludes late listings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closed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1,093 of 1,093 eligible; factor model, PSD by construction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It affects the optimisation result, not just the return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confirmed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measured: Jaccard 0.86, active share 7.6%; 1 of ~3 extra names is a substitution among incumbents, not a newcomer — the mechanism as described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P1 — single-index covariance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built, not adopted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delivers what was asked (PSD, condition 1,880, all stocks) but understates portfolio risk by 13.6% on average and 39.9% at the min-risk end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P2 — add a region factor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built, not adopted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absorbs the region structure fully; leaves the risk error at −13.1%. Led to the factor-count finding that is in the frozen model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P3 — Ledoit-Wolf on the factor covariance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built, no change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delta chosen out of sample; no delta beats the frozen delta = 1.0. Validates the freeze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The 5-year proxy cannot test the 10-year model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accepted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direct answer: on the 10-year window the recovered stocks take 11.2% of capital at the min-risk end, so the proxy understated the effect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Outlier threshold should be per-stock, not fixed 50%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implemented, recalibrated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relative rule strictly dominates the fixed one, but 5 sigma fires on 0.31% of all observations — too loose for error detection. The real gap was that nothing acted on the diagnostic: ZEG.L was in the v2 output all along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We work on returns, so currency should not matter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tested, kept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correct about price levels, which cancel exactly. The FX return is a separate additive term and lives in the covariance: the same holdings realised 8.04% local vs 8.99% USD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Linear risk measure as an alternative model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built, compared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 1 carries +19.2% more true risk at matched return and always sits at the 30-stock floor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6. Three limitations for the slides</w:t>
      </w:r>
    </w:p>
    <w:p>
      <w:pPr>
        <w:pStyle w:val="Heading2"/>
        <w:spacing w:after="120" w:before="240"/>
      </w:pPr>
      <w:r>
        <w:t xml:space="preserve">6.1  The estimation window is a judgement, and it matters</w:t>
      </w:r>
    </w:p>
    <w:p>
      <w:pPr>
        <w:spacing w:after="120"/>
        <w:jc w:val="both"/>
      </w:pPr>
      <w:r>
        <w:t xml:space="preserve">We use ten years because the mandate is mid-term and the estimate should span a full cycle including the 2018 correction and the 2020 drawdown, rather than only the post-2020 regime. That is a judgement and should be presented as one, with its cost measured rather than hidden.</w:t>
      </w:r>
    </w:p>
    <w:p>
      <w:pPr>
        <w:spacing w:after="120"/>
        <w:jc w:val="both"/>
      </w:pPr>
      <w:r>
        <w:t xml:space="preserve">The clearest illustration is defence. Lockheed Martin is selected in 100% of five-year bootstrap resamples and 50% of ten-year ones; Northrop Grumman, 92% against 55%. Defence became a low-volatility holding only after 2022. A five-year window treats that as a permanent feature of the market; a ten-year window does not.</w:t>
      </w:r>
    </w:p>
    <w:p>
      <w:pPr>
        <w:pStyle w:val="Heading2"/>
        <w:spacing w:after="120" w:before="240"/>
      </w:pPr>
      <w:r>
        <w:t xml:space="preserve">6.2  In-sample risk validation is not risk validation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Portfolio risk error</w:t>
            </w:r>
          </w:p>
        </w:tc>
        <w:tc>
          <w:tcPr>
            <w:tcW w:type="dxa" w:w="30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in sample</w:t>
            </w:r>
          </w:p>
        </w:tc>
        <w:tc>
          <w:tcPr>
            <w:tcW w:type="dxa" w:w="30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out of sample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Mean across the frontier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+7.7% (conservative)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−13.2% (understates)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At the min-risk end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+1.5%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−23.9%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t xml:space="preserve">Fit on 2016–2020 and scored on 2021–2025, a structurally identical estimator understates risk, and no shrinkage intensity changes this. The frozen model itself cannot be tested out of sample — it uses ten years and the dataset is ten years long, which is a property of the data rather than an oversight. The defensible phrasing is that the model is consistent with its estimation period, not that it is conservative.</w:t>
      </w:r>
    </w:p>
    <w:p>
      <w:pPr>
        <w:pStyle w:val="Heading2"/>
        <w:spacing w:after="120" w:before="240"/>
      </w:pPr>
      <w:r>
        <w:t xml:space="preserve">6.3  The 30-stock floor pads the portfolio</w:t>
      </w:r>
    </w:p>
    <w:p>
      <w:pPr>
        <w:spacing w:after="120"/>
        <w:jc w:val="both"/>
      </w:pPr>
      <w:r>
        <w:t xml:space="preserve">Eleven of the neutral book's 33 positions sit exactly on the 1% minimum weight. They exist to satisfy the client's diversification constraint rather than because they earn a place. A lower stock floor, or a higher minimum weight of 3–5%, would produce a cleaner book — worth raising with the client rather than waiting to be asked. Model 1 shows the same effect in a sharper form: it never holds more than the minimum at all.</w:t>
      </w:r>
    </w:p>
    <w:p>
      <w:pPr>
        <w:pStyle w:val="Heading1"/>
        <w:spacing w:after="160" w:before="320"/>
      </w:pPr>
      <w:r>
        <w:t xml:space="preserve">7. Still open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Dashboard. </w:t>
      </w:r>
      <w:r>
        <w:t xml:space="preserve">no dashboard exists yet; it is a separate deliverable in the case study description and the largest remaining piece of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Slides. </w:t>
      </w:r>
      <w:r>
        <w:t xml:space="preserve">the three limitations above are the substance of the limitations slide; the bootstrap selection frequencies in results/diagnostics/ are usable directly, as a view of how confidently the model holds each position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Optional extensions. </w:t>
      </w:r>
      <w:r>
        <w:t xml:space="preserve">sector or industry classifications, transaction costs, and an explicit FX hedge would each be defensible extensions; none is required</w:t>
      </w:r>
    </w:p>
    <w:p>
      <w:pPr>
        <w:spacing w:after="120"/>
      </w:pPr>
      <w:r>
        <w:t xml:space="preserve"/>
      </w:r>
    </w:p>
    <w:p>
      <w:pPr>
        <w:pBdr>
          <w:bottom w:val="single" w:color="BFBFBF" w:sz="6" w:space="1"/>
        </w:pBdr>
        <w:spacing w:after="200"/>
      </w:pPr>
      <w:r>
        <w:t xml:space="preserve"/>
      </w:r>
    </w:p>
    <w:p>
      <w:r>
        <w:rPr>
          <w:i/>
          <w:iCs/>
          <w:color w:val="777777"/>
          <w:sz w:val="17"/>
          <w:szCs w:val="17"/>
        </w:rPr>
        <w:t xml:space="preserve">Educational exercise for the HTW Berlin summer school 2026. Not investment advice. Past performance does not guarantee future results.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2026-09-01T15:18:12.473Z</dcterms:created>
  <dcterms:modified xsi:type="dcterms:W3CDTF">2026-09-01T15:18:12.479Z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