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인물별 순차 1경로,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6명에게 세 번씩 적용한 18쌍에서 평균 얼굴 LPIPS는 일괄 0.087120, 순차 0.108710이었으며, 일괄 방식이 18쌍 모두 낮았다. 원본 대비 ArcFace 코사인 유사도는 일괄 0.922054, 순차 0.713703이며 18쌍 모두 일괄 방식이 높았다.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website-path comparison with three repetitions per identity, mean facial LPIPS was 0.087120 for batch and 0.108710 for sequential editing across 18 pairs. Mean ArcFace cosine similarity to the original was 0.922054 for regeneration and 0.713703 for sequential editing, with higher similarity for regeneration in all 18 pairs.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jc w:val="both"/>
      </w:pPr>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III. 연구 설계</w:t>
      </w:r>
    </w:p>
    <w:p>
      <w:pPr>
        <w:pStyle w:val="Heading2"/>
      </w:pPr>
      <w:r>
        <w:t>1. 자료 범위와 분석 단위</w:t>
      </w:r>
    </w:p>
    <w:p>
      <w:pPr>
        <w:jc w:val="both"/>
      </w:pPr>
      <w:r>
        <w:t>인물 P01–P06은 합성 이미지다. 초기 순차 편집은 6명에 대해 인물별 한 번씩 총 6경로를 구성한다. 정책 비교는 18경로의 178단계 출력을 포함한다. 경로 간 공유 출력을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6경로; 수치 분석 고유 103개</w:t>
            </w:r>
          </w:p>
        </w:tc>
        <w:tc>
          <w:tcPr>
            <w:tcW w:type="dxa" w:w="3213"/>
          </w:tcPr>
          <w:p>
            <w:pPr>
              <w:spacing w:after="60" w:before="60" w:line="240" w:lineRule="auto"/>
              <w:ind w:firstLine="0"/>
            </w:pPr>
            <w:r>
              <w:rPr>
                <w:b w:val="0"/>
                <w:sz w:val="16"/>
              </w:rPr>
              <w:t>AI 고유 101개·두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인물당 3회·72개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101개와 개입 전 후보 2개를 포함하며, AI 평가는 확정 출력을 대상으로 하였다. 후속 AI 평가에는 98개 중 최종 출력 12개를 선정하였다. 원본 대조와 개발용 이미지는 검증용 자료로 별도 관리하였다. 초기 도구 기반 생성기의 재현 범위는 보존된 입력·출력·프롬프트·분석 기록이다.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동일한 요청으로 생성을 반복할 때의 변화를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웹 생성 경로의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101개 출력을 평가한 것이다. 원본 대조 10개와 숨은 반복 10개를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여섯 대응 최종 비교에서 고정 영역 지표는 각 지표별 5/6이 원본 기반에 유리했고 위치 보정 후에는 6/6이었다.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분석으로 색 이동과 세부 구조 변화를 구분했다. P04 단일 배경 편집의 피부 MAE는 0.049207로 셔츠 0.015323과 핀 0.014845보다 컸다.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90.10%, 선형 가중 κ는 0.908이었다.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pPr>
        <w:jc w:val="both"/>
      </w:pPr>
      <w:r>
        <w:t>같은 웹 생성 경로를 P01–P06의 합성 인물 6명에게 세 번씩 적용하였다. 각 반복에서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회는 인물 내 반복 관측이다.</w:t>
      </w:r>
    </w:p>
    <w:p>
      <w:pPr>
        <w:pStyle w:val="Heading1"/>
      </w:pPr>
      <w:r>
        <w:t>VI. 논의와 한계</w:t>
      </w:r>
    </w:p>
    <w:p>
      <w:pPr>
        <w:jc w:val="both"/>
      </w:pPr>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p>
      <w:pPr>
        <w:keepLines/>
        <w:ind w:firstLine="0"/>
        <w:jc w:val="both"/>
      </w:pPr>
      <w:r>
        <w:t>[9] J. Deng, J. Guo, N. Xue, and S. Zafeiriou. ArcFace: Additive Angular Margin Loss for Deep Face Recognition. CVPR, 2019. https://openaccess.thecvf.com/content_CVPR_2019/html/Deng_ArcFace_Additive_Angular_Margin_Loss_for_Deep_Face_Recognition_CVPR_2019_paper.html</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KoPubWorldBatang"/>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KoPubWorldDotum" w:hAnsi="KoPubWorldDotum" w:eastAsia="KoPubWorldDotum"/>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KoPubWorldDotum" w:hAnsi="KoPubWorldDotum" w:eastAsia="KoPubWorldDotum"/>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KoPubWorldDotum"/>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KoPubWorldBatang"/>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KoPubWorldBatang"/>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