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앞선 생성물을 다음 입력으로 사용하면 요청하지 않은 얼굴 변화가 누적될 수 있다. 본 연구는 순차 편집과 최초 원본에 누적 요구사항을 적용하는 재생성을 비교한다. 초기 실험은 합성 인물 6명과 순차 7경로, 후속 통제 실험은 기존 3인물의 98개 출력을 포함한다. 얼굴 MAE·SSIM·LPIPS, 피부 내부 영역 및 별도 AI 등급으로 분석하였다. 세 인물의 후속 비교에서 일괄 편집의 평균 얼굴 LPIPS가 순차보다 낮았다. 별도 FLUX.2 Klein 4B 실험의 두 시드 평균 LPIPS는 일괄 0.091313, 순차 0.124455였으나 피부 원시 MAE는 일부 설정에서 반대 방향이었다. 최초 원본과 누적 요구를 분리하는 웹 편집기를 구현하였다. 웹 생성 경로를 합성 인물 6명·3시드로 확장한 18쌍에서 평균 얼굴 LPIPS는 일괄 0.087120, 순차 0.108710이었으며, 일괄 방식이 18쌍 모두 낮았다. 실험 결과는 원본 기반 입력 정책의 효과가 측정 영역과 지표에 따라 달라짐을 보여주며, 누적 요구사항을 관리하는 편집기의 구현 근거를 제공한다.</w:t>
      </w:r>
    </w:p>
    <w:p>
      <w:pPr>
        <w:ind w:firstLine="0"/>
      </w:pPr>
      <w:r>
        <w:rPr>
          <w:b/>
        </w:rPr>
        <w:t xml:space="preserve">Abstract: </w:t>
      </w:r>
      <w:r>
        <w:t>We compare sequential image editing with regeneration from the original image and accumulated requirements. Experiments include six synthetic identities, 98 follow-up outputs from three identities, automatic image metrics and separate AI ratings. Batch editing produced lower mean facial LPIPS in the tested follow-up comparisons. A local FLUX.2 Klein 4B comparison yielded mean LPIPS of 0.091313 for batch and 0.124455 for sequential editing, while raw skin MAE reversed the ranking in some settings. A web editor implemented the workflow. In a six-identity, three-seed website-path comparison, mean facial LPIPS was 0.087120 for batch and 0.108710 for sequential editing across 18 pairs. The findings characterize the dependence of input-policy effects on measurement regions and support an editor that maintains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인물 이미지 편집에서는 셔츠, 배경, 장신구를 변경하면서 얼굴을 유지하는 것이 주요 요구사항이다. 생성형 편집 과정에서 얼굴의 색조, 질감, 윤곽과 세부가 함께 변할 수 있으므로 요청한 요소의 변경과 얼굴 보존을 각각 평가할 필요가 있다.</w:t>
      </w:r>
    </w:p>
    <w:p>
      <w:pPr>
        <w:jc w:val="both"/>
      </w:pPr>
      <w:r>
        <w:t>다중 턴 이미지 편집과 내용 보존은 기존 연구에서도 다뤄진 문제다[1–3]. 본 연구는 생성기에 전달하는 입력 정책을 중심으로 입력 전달 방식, 측정 영역, 자동 지표, 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얼굴 전체 거리와 피부 내부 지표의 비교 방향은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영역의 민감도 분석을 제공한다. 표본 규모와 생성 조건에는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사용 가능한 생성기에서 직전 출력과 최초 원본을 참조하는 두 입력 정책을 비교한다.</w:t>
      </w:r>
    </w:p>
    <w:p>
      <w:pPr>
        <w:jc w:val="both"/>
      </w:pPr>
      <w:r>
        <w:t>GIE-Bench는 지시 이행과 보존 평가를 구분하며[4], EdiVal-Agent는 지시 이행, 내용 일관성, 시각 품질을 다차원으로 평가한다[3]. 본 연구도 원본과의 수치적 거리, AI 열화 등급, 편집 요구의 이행을 별도 항목으로 다룬다.</w:t>
      </w:r>
    </w:p>
    <w:p>
      <w:pPr>
        <w:jc w:val="both"/>
      </w:pPr>
      <w:r>
        <w:t>SSIM은 구조적 유사도를, LPIPS는 학습된 특징 공간의 지각적 거리를 측정한다[5,6]. 본 연구에서는 이들을 원본과 출력의 차이를 정량화하는 지표로 사용한다.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비교는 20경로의 198단계 출력을 포함한다. 경로 간 공유 출력과 동일 인물의 반복 관측을 구분하고, 미완료 단계는 결측으로 처리하였다. 분석별 자료 범위는 표 1에 제시하였다.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분석</w:t>
            </w:r>
          </w:p>
        </w:tc>
      </w:tr>
      <w:tr>
        <w:trPr>
          <w:cantSplit/>
        </w:trPr>
        <w:tc>
          <w:tcPr>
            <w:tcW w:type="dxa" w:w="3213"/>
          </w:tcPr>
          <w:p>
            <w:pPr>
              <w:spacing w:after="60" w:before="60" w:line="240" w:lineRule="auto"/>
              <w:ind w:firstLine="0"/>
            </w:pPr>
            <w:r>
              <w:rPr>
                <w:b w:val="0"/>
                <w:sz w:val="16"/>
              </w:rPr>
              <w:t>로컬 ROI 민감도 분석</w:t>
            </w:r>
          </w:p>
        </w:tc>
        <w:tc>
          <w:tcPr>
            <w:tcW w:type="dxa" w:w="3213"/>
          </w:tcPr>
          <w:p>
            <w:pPr>
              <w:spacing w:after="60" w:before="60" w:line="240" w:lineRule="auto"/>
              <w:ind w:firstLine="0"/>
            </w:pPr>
            <w:r>
              <w:rPr>
                <w:b w:val="0"/>
                <w:sz w:val="16"/>
              </w:rPr>
              <w:t>위 8개 재분석, 최종 4개 별도 집계</w:t>
            </w:r>
          </w:p>
        </w:tc>
        <w:tc>
          <w:tcPr>
            <w:tcW w:type="dxa" w:w="3213"/>
          </w:tcPr>
          <w:p>
            <w:pPr>
              <w:spacing w:after="60" w:before="60" w:line="240" w:lineRule="auto"/>
              <w:ind w:firstLine="0"/>
            </w:pPr>
            <w:r>
              <w:rPr>
                <w:b w:val="0"/>
                <w:sz w:val="16"/>
              </w:rPr>
              <w:t>기존 출력의 지표 재분석</w:t>
            </w:r>
          </w:p>
        </w:tc>
      </w:tr>
      <w:tr>
        <w:trPr>
          <w:cantSplit/>
        </w:trPr>
        <w:tc>
          <w:tcPr>
            <w:tcW w:type="dxa" w:w="3213"/>
            <w:tcBorders>
              <w:bottom w:val="single" w:sz="5"/>
            </w:tcBorders>
          </w:tcPr>
          <w:p>
            <w:pPr>
              <w:spacing w:after="60" w:before="60" w:line="240" w:lineRule="auto"/>
              <w:ind w:firstLine="0"/>
            </w:pPr>
            <w:r>
              <w:rPr>
                <w:b w:val="0"/>
                <w:sz w:val="16"/>
              </w:rPr>
              <w:t>웹 편집기 정책 비교</w:t>
            </w:r>
          </w:p>
        </w:tc>
        <w:tc>
          <w:tcPr>
            <w:tcW w:type="dxa" w:w="3213"/>
            <w:tcBorders>
              <w:bottom w:val="single" w:sz="5"/>
            </w:tcBorders>
          </w:tcPr>
          <w:p>
            <w:pPr>
              <w:spacing w:after="60" w:before="60" w:line="240" w:lineRule="auto"/>
              <w:ind w:firstLine="0"/>
            </w:pPr>
            <w:r>
              <w:rPr>
                <w:b w:val="0"/>
                <w:sz w:val="16"/>
              </w:rPr>
              <w:t>P04 예비 2시드·8개 출력; 6인물 확장 3시드·72개 출력</w:t>
            </w:r>
          </w:p>
        </w:tc>
        <w:tc>
          <w:tcPr>
            <w:tcW w:type="dxa" w:w="3213"/>
            <w:tcBorders>
              <w:bottom w:val="single" w:sz="5"/>
            </w:tcBorders>
          </w:tcPr>
          <w:p>
            <w:pPr>
              <w:spacing w:after="60" w:before="60" w:line="240" w:lineRule="auto"/>
              <w:ind w:firstLine="0"/>
            </w:pPr>
            <w:r>
              <w:rPr>
                <w:b w:val="0"/>
                <w:sz w:val="16"/>
              </w:rPr>
              <w:t>자동 지표 분석</w:t>
            </w:r>
          </w:p>
        </w:tc>
      </w:tr>
    </w:tbl>
    <w:p>
      <w:pPr>
        <w:sectPr>
          <w:type w:val="continuous"/>
          <w:pgSz w:w="11906" w:h="16838"/>
          <w:pgMar w:top="1134" w:right="1134" w:bottom="1134" w:left="1134" w:header="720" w:footer="720" w:gutter="0"/>
          <w:cols w:space="500" w:num="1"/>
          <w:docGrid w:linePitch="360"/>
        </w:sectPr>
      </w:pPr>
    </w:p>
    <w:p>
      <w:pPr>
        <w:jc w:val="both"/>
      </w:pPr>
      <w:r>
        <w:t>초기 수치 분석은 확정 출력 111개와 개입 전 후보 2개를 포함하며, AI 평가는 확정 출력을 대상으로 하였다. 후속 AI 평가에는 98개 중 최종 출력 12개를 선정하였다. 원본 대조와 개발용 이미지는 검증용 자료로 별도 관리하였다.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정책은 입력 경로와 호출 수를 비교하였다.</w:t>
      </w:r>
    </w:p>
    <w:p>
      <w:pPr>
        <w:jc w:val="both"/>
      </w:pPr>
      <w:r>
        <w:t>후속 실험에서는 셔츠, 배경, 핀의 최종 요구를 한 번에 적용하는 일괄 방식과 세 단계로 적용하는 순차 방식을 비교하였다. 동일한 최종 요구를 기준으로 최종 이미지의 지표와 각 작업 흐름의 호출 수를 비교하였다.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각 지표의 연속값과 방법 간 차이를 분석한다.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원래 픽셀을 유지한 채 대응 위치의 영역을 잘라 비교하며, 보정 범위는 평행이동으로 한정한다.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이 분해는 MSE에 적용하며, 평균 색 차이와 그 외 잔차의 크기를 정량화한다.</w:t>
      </w:r>
    </w:p>
    <w:p>
      <w:pPr>
        <w:pStyle w:val="Heading2"/>
      </w:pPr>
      <w:r>
        <w:t>4. AI 평가</w:t>
      </w:r>
    </w:p>
    <w:p>
      <w:pPr>
        <w:jc w:val="both"/>
      </w:pPr>
      <w:r>
        <w:t>AI 열화 등급은 없음(0), 약함(1), 뚜렷함(2), 심함(3)이다. 초기 AI 평가는 같은 기반 모델의 두 세션이 고유 111개 출력을 평가한 것이다. 원본 대조 10개와 숨은 반복 12개를 세션별로 추가하였다. 후속 평가는 별도 세션에서 익명 최종 후보 12개와 원본 대조 3개를 평가하였다.  세션 간 일치율로 동일 모델의 평가 일관성을 분석하였다.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각 호출의 첫 출력을 분석에 사용하였다.</w:t>
      </w:r>
    </w:p>
    <w:p>
      <w:pPr>
        <w:jc w:val="both"/>
      </w:pPr>
      <w:r>
        <w:t>로컬 영역 민감도 분석은 고정 얼굴 결과를 확인한 후 설계한 사후 분석이다. 모든 보정 설정을 인물과 시드별 기술 통계로 비교하였다.</w:t>
      </w:r>
    </w:p>
    <w:p>
      <w:pPr>
        <w:pStyle w:val="Heading1"/>
      </w:pPr>
      <w:r>
        <w:t>IV. 결과</w:t>
      </w:r>
    </w:p>
    <w:p>
      <w:pPr>
        <w:pStyle w:val="Heading2"/>
      </w:pPr>
      <w:r>
        <w:t>1. 초기 순차 경로와 원본 기반 정책</w:t>
      </w:r>
    </w:p>
    <w:p>
      <w:pPr>
        <w:jc w:val="both"/>
      </w:pPr>
      <w:r>
        <w:t>P04의 10단계 경로 평균 LPIPS와 논리적 생성 호출 수를 표 2에 정리하였다. 호출 수는 각 정책에 필요한 이미지 생성 횟수이다. 알람 방식은 원본 기반 방식과 확인된 출력 8개를 공유한다. 알람 조건에는 초기 실험에서 정한 탐색적 규칙을 사용하였다.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원본 기반 방식의 이득은 인물과 위치 보정 조건에 따라 차이를 보였다.</w:t>
      </w:r>
    </w:p>
    <w:p>
      <w:pPr>
        <w:pStyle w:val="Heading2"/>
      </w:pPr>
      <w:r>
        <w:t>2. 후속 통제 실험</w:t>
      </w:r>
    </w:p>
    <w:p>
      <w:pPr>
        <w:jc w:val="both"/>
      </w:pPr>
      <w:r>
        <w:t>세 인물의 후속 비교에서 일괄 방식의 평균 얼굴 LPIPS가 순차 방식보다 낮았다. P04 값은 편집 순서 실험의 일괄 및 셔츠→배경→핀 경로를 기준으로 하였다.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왼쪽은 초기 생성기의 세 인물별 평균, 오른쪽은 로컬 모델의 두 시드별 결과이다.</w:t>
      </w:r>
    </w:p>
    <w:p>
      <w:pPr>
        <w:sectPr>
          <w:type w:val="continuous"/>
          <w:pgSz w:w="11906" w:h="16838"/>
          <w:pgMar w:top="1134" w:right="1134" w:bottom="1134" w:left="1134" w:header="720" w:footer="720" w:gutter="0"/>
          <w:cols w:space="500" w:num="1"/>
          <w:docGrid w:linePitch="360"/>
        </w:sectPr>
      </w:pPr>
    </w:p>
    <w:p>
      <w:pPr>
        <w:jc w:val="both"/>
      </w:pPr>
      <w:r>
        <w:t>편집 순서의 상대적 성능은 지표와 반복에 따라 달랐으며, 색·재질 조건에 따른 얼굴 변화도 비단조적인 양상을 보였다.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두 경로 모두에서 단조 증가하였다.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이는 피부 원시 오차에 평균 색 이동이 크게 반영됨을 보여준다.</w:t>
      </w:r>
    </w:p>
    <w:p>
      <w:pPr>
        <w:pStyle w:val="Heading2"/>
      </w:pPr>
      <w:r>
        <w:t>3. AI 등급</w:t>
      </w:r>
    </w:p>
    <w:p>
      <w:pPr>
        <w:jc w:val="both"/>
      </w:pPr>
      <w:r>
        <w:t>후속 12개 이미지의 별도 AI 평가는 일괄 결과에서 약함 6개, 순차 결과에서 뚜렷함 2개와 심함 4개였다. 원본 대조 3개는 모두 0점이었다. 평가 대상은 세 인물에 대해 방법별로 두 번 생성한 최종 출력이다.</w:t>
      </w:r>
    </w:p>
    <w:p>
      <w:pPr>
        <w:pStyle w:val="Caption"/>
        <w:keepNext/>
        <w:ind w:firstLine="0"/>
        <w:jc w:val="center"/>
      </w:pPr>
      <w:r>
        <w:t>표 4. 후속 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초기 AI 두 세션의 정확 일치율은 89.19%, 선형 가중 κ는 0.897이었다.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 점검에서 네 결과 모두에 주요 편집 요소가 관찰되었다.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두 시드의 평균 총 생성 시간은 일괄 92.8초, 순차 261.2초였다. 각 값은 동일한 최종 요구를 일괄 1회 또는 순차 3회의 호출로 처리한 작업 시간이다.</w:t>
      </w:r>
    </w:p>
    <w:p>
      <w:pPr>
        <w:pStyle w:val="Heading2"/>
      </w:pPr>
      <w:r>
        <w:t>5. 영역과 위치 보정에 따른 차이</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피부 색 차이와 세부 구조 지표에서 비교 방향이 달라, 두 특성을 함께 고려할 필요가 있다.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방식은 일괄 재생성과 순차 생성 중 선택한다. 일괄 재생성은 최초 원본과 갱신된 전체 요구를 사용하고, 순차 생성은 현재 선택한 버전과 전체 요구를 사용한다.  첫 순차 생성은 최초 원본에서 시작한다. 이전 출력은 버전 이력으로 관리하며, 과거 버전을 선택한 후 순차 생성하면 선택한 이미지에서 새 경로를 시작한다.</w:t>
      </w:r>
    </w:p>
    <w:p>
      <w:pPr>
        <w:jc w:val="both"/>
      </w:pPr>
      <w:r>
        <w:t>지원 범위는 셔츠 색, 배경, 원형 핀이다. 상태와 이미지 버전을 함께 보존하여 되돌리기를 지원한다. 요청 해석은 정해진 동작 처리와 Qwen3 4B의 구조화 출력 보조로 구성하고, 모호한 취소·이전 시점 요청에는 버전 선택을 안내한다. 메모리 사용량을 줄이기 위해 언어 모델과 이미지 모델을 순차 실행한다.</w:t>
      </w:r>
    </w:p>
    <w:p>
      <w:pPr>
        <w:pStyle w:val="Heading2"/>
      </w:pPr>
      <w:r>
        <w:t>1. 웹 편집기의 입력 정책 비교</w:t>
      </w:r>
    </w:p>
    <w:p>
      <w:pPr>
        <w:jc w:val="both"/>
      </w:pPr>
      <w:r>
        <w:t>웹 화면과 동일한 HTTP 생성 경로에서 두 모드를 비교하였다. P04 원본, 시드 42·314, 512×768 해상도와 4스텝을 사용하고 남색 셔츠→옅은 파란 배경→은색 핀 순서로 요청하였다. 순차 방식은 각 요청 후 직전 출력을 입력으로 생성하고, 일괄 방식은 세 요청을 모은 뒤 최초 원본에서 한 번 생성하였다. 시드별 실행 순서를 반대로 하였으며 총 8개 출력 중 최종 4개를 비교하였다.</w:t>
      </w:r>
    </w:p>
    <w:p>
      <w:pPr>
        <w:jc w:val="both"/>
      </w:pPr>
      <w:r>
        <w:t>최종 상태와 프롬프트는 두 방식에서 같았다. 입력 스냅샷의 해시로 일괄 입력이 최초 원본이며 순차 2·3단계 입력이 직전 출력임을 검증하였다. 얼굴 ROI [176,44,336,224]와 LPIPS 주 지표는 생성 전에 고정하였다.</w:t>
      </w:r>
    </w:p>
    <w:p>
      <w:pPr>
        <w:pStyle w:val="Caption"/>
        <w:keepNext/>
        <w:ind w:firstLine="0"/>
        <w:jc w:val="center"/>
      </w:pPr>
      <w:r>
        <w:t>표 7. 웹 편집기 두 모드의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0.120129</w:t>
            </w:r>
          </w:p>
        </w:tc>
        <w:tc>
          <w:tcPr>
            <w:tcW w:type="dxa" w:w="1142"/>
          </w:tcPr>
          <w:p>
            <w:pPr>
              <w:spacing w:after="60" w:before="60" w:line="240" w:lineRule="auto"/>
              <w:ind w:firstLine="0"/>
            </w:pPr>
            <w:r>
              <w:rPr>
                <w:b w:val="0"/>
                <w:sz w:val="16"/>
              </w:rPr>
              <w:t>0.865709</w:t>
            </w:r>
          </w:p>
        </w:tc>
        <w:tc>
          <w:tcPr>
            <w:tcW w:type="dxa" w:w="1142"/>
          </w:tcPr>
          <w:p>
            <w:pPr>
              <w:spacing w:after="60" w:before="60" w:line="240" w:lineRule="auto"/>
              <w:ind w:firstLine="0"/>
            </w:pPr>
            <w:r>
              <w:rPr>
                <w:b w:val="0"/>
                <w:sz w:val="16"/>
              </w:rPr>
              <w:t>0.081454</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0.123059</w:t>
            </w:r>
          </w:p>
        </w:tc>
        <w:tc>
          <w:tcPr>
            <w:tcW w:type="dxa" w:w="1142"/>
          </w:tcPr>
          <w:p>
            <w:pPr>
              <w:spacing w:after="60" w:before="60" w:line="240" w:lineRule="auto"/>
              <w:ind w:firstLine="0"/>
            </w:pPr>
            <w:r>
              <w:rPr>
                <w:b w:val="0"/>
                <w:sz w:val="16"/>
              </w:rPr>
              <w:t>0.790706</w:t>
            </w:r>
          </w:p>
        </w:tc>
        <w:tc>
          <w:tcPr>
            <w:tcW w:type="dxa" w:w="1142"/>
          </w:tcPr>
          <w:p>
            <w:pPr>
              <w:spacing w:after="60" w:before="60" w:line="240" w:lineRule="auto"/>
              <w:ind w:firstLine="0"/>
            </w:pPr>
            <w:r>
              <w:rPr>
                <w:b w:val="0"/>
                <w:sz w:val="16"/>
              </w:rPr>
              <w:t>0.102202</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0.127843</w:t>
            </w:r>
          </w:p>
        </w:tc>
        <w:tc>
          <w:tcPr>
            <w:tcW w:type="dxa" w:w="1142"/>
          </w:tcPr>
          <w:p>
            <w:pPr>
              <w:spacing w:after="60" w:before="60" w:line="240" w:lineRule="auto"/>
              <w:ind w:firstLine="0"/>
            </w:pPr>
            <w:r>
              <w:rPr>
                <w:b w:val="0"/>
                <w:sz w:val="16"/>
              </w:rPr>
              <w:t>0.856951</w:t>
            </w:r>
          </w:p>
        </w:tc>
        <w:tc>
          <w:tcPr>
            <w:tcW w:type="dxa" w:w="1142"/>
          </w:tcPr>
          <w:p>
            <w:pPr>
              <w:spacing w:after="60" w:before="60" w:line="240" w:lineRule="auto"/>
              <w:ind w:firstLine="0"/>
            </w:pPr>
            <w:r>
              <w:rPr>
                <w:b w:val="0"/>
                <w:sz w:val="16"/>
              </w:rPr>
              <w:t>0.080738</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0.139762</w:t>
            </w:r>
          </w:p>
        </w:tc>
        <w:tc>
          <w:tcPr>
            <w:tcW w:type="dxa" w:w="1142"/>
          </w:tcPr>
          <w:p>
            <w:pPr>
              <w:spacing w:after="60" w:before="60" w:line="240" w:lineRule="auto"/>
              <w:ind w:firstLine="0"/>
            </w:pPr>
            <w:r>
              <w:rPr>
                <w:b w:val="0"/>
                <w:sz w:val="16"/>
              </w:rPr>
              <w:t>0.772908</w:t>
            </w:r>
          </w:p>
        </w:tc>
        <w:tc>
          <w:tcPr>
            <w:tcW w:type="dxa" w:w="1142"/>
          </w:tcPr>
          <w:p>
            <w:pPr>
              <w:spacing w:after="60" w:before="60" w:line="240" w:lineRule="auto"/>
              <w:ind w:firstLine="0"/>
            </w:pPr>
            <w:r>
              <w:rPr>
                <w:b w:val="0"/>
                <w:sz w:val="16"/>
              </w:rPr>
              <w:t>0.104861</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0.123986</w:t>
            </w:r>
          </w:p>
        </w:tc>
        <w:tc>
          <w:tcPr>
            <w:tcW w:type="dxa" w:w="1142"/>
          </w:tcPr>
          <w:p>
            <w:pPr>
              <w:spacing w:after="60" w:before="60" w:line="240" w:lineRule="auto"/>
              <w:ind w:firstLine="0"/>
            </w:pPr>
            <w:r>
              <w:rPr>
                <w:b w:val="0"/>
                <w:sz w:val="16"/>
              </w:rPr>
              <w:t>0.861330</w:t>
            </w:r>
          </w:p>
        </w:tc>
        <w:tc>
          <w:tcPr>
            <w:tcW w:type="dxa" w:w="1142"/>
          </w:tcPr>
          <w:p>
            <w:pPr>
              <w:spacing w:after="60" w:before="60" w:line="240" w:lineRule="auto"/>
              <w:ind w:firstLine="0"/>
            </w:pPr>
            <w:r>
              <w:rPr>
                <w:b w:val="0"/>
                <w:sz w:val="16"/>
              </w:rPr>
              <w:t>0.081096</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0.131411</w:t>
            </w:r>
          </w:p>
        </w:tc>
        <w:tc>
          <w:tcPr>
            <w:tcW w:type="dxa" w:w="1142"/>
            <w:tcBorders>
              <w:bottom w:val="single" w:sz="5"/>
            </w:tcBorders>
          </w:tcPr>
          <w:p>
            <w:pPr>
              <w:spacing w:after="60" w:before="60" w:line="240" w:lineRule="auto"/>
              <w:ind w:firstLine="0"/>
            </w:pPr>
            <w:r>
              <w:rPr>
                <w:b w:val="0"/>
                <w:sz w:val="16"/>
              </w:rPr>
              <w:t>0.781807</w:t>
            </w:r>
          </w:p>
        </w:tc>
        <w:tc>
          <w:tcPr>
            <w:tcW w:type="dxa" w:w="1142"/>
            <w:tcBorders>
              <w:bottom w:val="single" w:sz="5"/>
            </w:tcBorders>
          </w:tcPr>
          <w:p>
            <w:pPr>
              <w:spacing w:after="60" w:before="60" w:line="240" w:lineRule="auto"/>
              <w:ind w:firstLine="0"/>
            </w:pPr>
            <w:r>
              <w:rPr>
                <w:b w:val="0"/>
                <w:sz w:val="16"/>
              </w:rPr>
              <w:t>0.103531</w:t>
            </w:r>
          </w:p>
        </w:tc>
      </w:tr>
    </w:tbl>
    <w:p>
      <w:pPr>
        <w:jc w:val="both"/>
      </w:pPr>
      <w:r>
        <w:t>두 시드 모두 일괄 방식의 MAE·LPIPS가 낮고 SSIM이 높았다. 평균 LPIPS는 일괄 0.081096, 순차 0.103531로 일괄이 21.7% 낮았다. 최종 네 이미지에서 남색 셔츠, 옅은 파란 배경과 핀 하나를 확인하였다. 모델 로딩과 저장을 포함한 평균 경로 처리 시간은 일괄 1회 115.1초, 순차 3회 합계 373.4초였다. 이 표는 한 합성 인물·두 시드의 예비 비교다.</w:t>
      </w:r>
    </w:p>
    <w:p>
      <w:pPr>
        <w:jc w:val="both"/>
      </w:pPr>
      <w:r>
        <w:t>같은 웹 생성 경로를 P01–P06의 합성 인물 6명과 시드 42·314·2026으로 확장하였다. 인물·시드마다 순차 생성 3회와 원본 기반 일괄 재생성 1회를 실행해 72개 출력을 얻었다. 최종 18쌍에서 평균 얼굴 MAE는 일괄 0.134223·순차 0.138753, SSIM은 0.846176·0.768563, LPIPS는 0.087120·0.108710이었다. 일괄 방식의 평균 LPIPS는 순차보다 19.9% 낮았다. LPIPS와 SSIM은 18쌍 모두 일괄 방식에 유리했고 MAE는 14쌍에서 일괄 방식에 유리했다. 비교 이미지에서 남색 셔츠, 옅은 파란 배경과 작은 핀을 확인하였다. 일부 순차 출력은 소매 길이 등 요청하지 않은 옷 형태가 달라졌다. 인물별 얼굴 ROI는 기존 실험에서 고정한 좌표를 해상도에 맞춰 축소했고, 입력 이미지 계보와 최종 프롬프트 일치를 검증하였다. 세 시드는 인물 내 반복 관측이다. 얼굴 원본 거리의 우세를 요청 이행이나 전체 화질의 우세로 해석하지 않았다.</w:t>
      </w:r>
    </w:p>
    <w:p>
      <w:pPr>
        <w:pStyle w:val="Heading1"/>
      </w:pPr>
      <w:r>
        <w:t>VI. 논의와 한계</w:t>
      </w:r>
    </w:p>
    <w:p>
      <w:pPr>
        <w:jc w:val="both"/>
      </w:pPr>
      <w:r>
        <w:t>원본 기반 생성은 여러 비교에서 순차 편집보다 낮은 얼굴 원본 거리를 보였다. 무변경 반복에서도 거리가 증가한 결과는 이전 생성물을 반복 입력하는 과정 자체가 변화 누적에 기여할 가능성을 시사한다. 이에 따라 연속 요청을 텍스트 상태로 관리하고 최초 원본에 적용하는 구조가 유효한 설계 방향으로 도출된다.</w:t>
      </w:r>
    </w:p>
    <w:p>
      <w:pPr>
        <w:jc w:val="both"/>
      </w:pPr>
      <w:r>
        <w:t>측정 영역에 따라 효과의 해석은 달라진다. 얼굴 전체 LPIPS는 일괄 방식에 유리했으나 피부 원시 MAE는 일부 조건에서 순차 방식이 더 낮았다. 피부 MSE의 평균 색 성분과 잔차를 분리한 결과도 색 이동과 세부 구조를 함께 분석할 필요성을 뒷받침한다.</w:t>
      </w:r>
    </w:p>
    <w:p>
      <w:pPr>
        <w:jc w:val="both"/>
      </w:pPr>
      <w:r>
        <w:t>자료는 합성 인물 6명에 집중되어 있으며 후속 비교는 3명, 웹 편집기 확대 비교는 기존 6명과 인물당 세 시드로 구성되었다. 동일 인물의 반복과 정책 간 공유 출력에 따른 종속성이 존재한다. 초기 생성기의 백엔드 버전·시드 불확실성과 사후에 설계한 ROI 민감도 분석도 일반화를 제한한다. AI 등급은 동일 기반 모델의 편향을 공유할 수 있다. 웹 편집기 확대 비교는 단일 모델과 동일한 세 편집 요청에 한정된다.</w:t>
      </w:r>
    </w:p>
    <w:p>
      <w:pPr>
        <w:jc w:val="both"/>
      </w:pPr>
      <w:r>
        <w:t>후속 연구에서는 새 인물과 편집 요청을 대상으로 가설, ROI, 주 지표, 시드 및 제외 기준을 사전에 고정하고 인물·반복의 군집 구조를 반영하여 분석할 필요가 있다. 실제 사진, 표정·자세 변경, 직전 출력의 세부 유지와 같은 과제로 범위를 확장하고 지각적 품질 및 사용성을 추가 검증할 수 있다.</w:t>
      </w:r>
    </w:p>
    <w:p>
      <w:pPr>
        <w:pStyle w:val="Heading1"/>
      </w:pPr>
      <w:r>
        <w:t>VII. 결론</w:t>
      </w:r>
    </w:p>
    <w:p>
      <w:pPr>
        <w:jc w:val="both"/>
      </w:pPr>
      <w:r>
        <w:t>본 연구는 반복 이미지 편집에서 직전 출력 기반 순차 방식과 최초 원본 기반 재생성을 비교하였다. 원본 기반 방식은 여러 조건에서 더 낮은 얼굴 거리를 보였으며, 무변경 반복에서도 원본과의 차이가 누적되었다. 피부 내부 지표의 비교 방향은 측정 조건에 따라 달라 원본 거리와 피부 세부 변화를 구분하는 분석이 필요하였다. 최초 원본과 누적 요구사항을 관리하는 웹 편집기를 구현하였다. 웹 편집기의 6인물·18쌍 비교에서 일괄 방식은 순차보다 평균 얼굴 MAE·LPIPS가 낮고 SSIM이 높았다. LPIPS와 SSIM은 모든 쌍에서 같은 방향이었다.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