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반복 이미지 편집에서의 얼굴 보존과 </w:t>
        <w:br/>
        <w:t>원본 기반 재생성 비교</w:t>
      </w:r>
    </w:p>
    <w:p>
      <w:r>
        <w:t>A Comparison of Facial Preservation and Original-Referenced Regeneration in Iterative Image Editing</w:t>
      </w:r>
    </w:p>
    <w:p>
      <w:pPr>
        <w:pStyle w:val="Heading1"/>
      </w:pPr>
      <w:r>
        <w:t>초록</w:t>
      </w:r>
    </w:p>
    <w:p>
      <w:r>
        <w:t>이미지 편집 시스템에서 앞선 생성물을 다음 입력으로 사용하면 요청하지 않은 얼굴 변화가 누적될 수 있다. 본 연구는 순차 편집과 최초 원본에 누적 요구사항을 적용하는 재생성을 비교한다. 초기 실험은 합성 인물 6명과 순차 7경로,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구현하고, 실제 생성·설정 저장·버전 복원 및 알려진 요청 35개의 회귀 검사를 수행하였다. 이 결과는 제한된 조건에서의 입력 정책 및 구현 검증이며 지각적 품질이나 보편적인 얼굴 보존의 검증을 의미하지 않는다.</w:t>
      </w:r>
    </w:p>
    <w:p>
      <w:r>
        <w:t>주요어: 순차 이미지 편집, 얼굴 보존, 원본 기반 재생성, 지각 유사도, 탐색적 평가</w:t>
      </w:r>
    </w:p>
    <w:p>
      <w:pPr>
        <w:pStyle w:val="Heading1"/>
      </w:pPr>
      <w:r>
        <w:t>1. 서론</w:t>
      </w:r>
    </w:p>
    <w:p>
      <w:r>
        <w:t>사용자가 인물 사진의 셔츠를 바꾸고, 배경을 바꾸고, 핀을 추가하는 과정에서 얼굴 수정은 명시적인 목표가 아니다. 그럼에도 생성형 편집기는 얼굴의 색조, 질감, 윤곽 또는 세부를 함께 바꿀 수 있다. 이러한 비목표 영역의 변화는 요청 이행과 별도로 측정해야 한다. 편집 결과가 요구된 배경을 갖추었더라도 얼굴이 유지되었다는 결론은 자동으로 성립하지 않는다.</w:t>
      </w:r>
    </w:p>
    <w:p>
      <w:r>
        <w:t>다중 턴 이미지 편집과 내용 보존은 기존 연구에서도 다뤄진 문제다[1–3]. 따라서 본 연구는 누적 변화 자체를 최초로 발견하거나 새로운 생성 모델을 제안한다고 주장하지 않는다. 대신 제한된 실제 편집 과정에서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r>
        <w:t>본 연구의 기여는 세 가지다. 입력 정책과 후속 통제 실험을 연결한 탐색적 기록을 제시하고, 거리·열화·보존·요청 이행을 분리하여 결과를 해석하며, 피부 내부 영역에서 기존 결론에 불리한 결과까지 포함하는 민감도 분석을 제공한다. 표본 규모와 생성 조건에는 제한이 있으므로 결과는 가설 형성 및 후속 실험 설계의 근거로 사용한다.</w:t>
      </w:r>
    </w:p>
    <w:p>
      <w:pPr>
        <w:pStyle w:val="Heading1"/>
      </w:pPr>
      <w:r>
        <w:t>2. 관련 연구</w:t>
      </w:r>
    </w:p>
    <w:p>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이러한 생성 알고리즘을 직접 재현하거나 경쟁 평가하지 않고, 사용 가능한 생성기의 입력을 구성하는 정책을 비교한다.</w:t>
      </w:r>
    </w:p>
    <w:p>
      <w:r>
        <w:t>GIE-Bench는 지시 이행과 보존 평가를 구분하며[4], EdiVal-Agent는 지시 이행, 내용 일관성, 시각 품질을 다차원으로 평가한다[3]. 본 연구는 자동 거리와 AI 열화 등급을 구분한다. 요청한 편집의 달성 여부 역시 원본 거리로 대체하지 않는다.</w:t>
      </w:r>
    </w:p>
    <w:p>
      <w:r>
        <w:t>SSIM은 구조적 유사도를, LPIPS는 학습된 특징 공간의 지각적 거리를 측정한다[5,6]. 두 지표 모두 본 연구에서 원본과 출력의 차이를 정량화하는 데 유용하지만, 측정값 자체가 특정 피부 결함의 진단이나 동일인 보존 판정은 아니다. MAE는 색 이동과 기하학적 어긋남에도 반응한다. 이에 따라 얼굴 사각형뿐 아니라 피부 내부 영역, 위치 보정, 평균 색 제거 분석을 함께 사용한다.</w:t>
      </w:r>
    </w:p>
    <w:p>
      <w:pPr>
        <w:pStyle w:val="Heading1"/>
      </w:pPr>
      <w:r>
        <w:t>3. 연구 설계</w:t>
      </w:r>
    </w:p>
    <w:p>
      <w:pPr>
        <w:pStyle w:val="Heading2"/>
      </w:pPr>
      <w:r>
        <w:t>3.1 자료 범위와 분석 단위</w:t>
      </w:r>
    </w:p>
    <w:p>
      <w:r>
        <w:t>인물 P01–P06은 합성 이미지다. 초기 순차 편집은 6명에 대해 7경로를 구성하며 P03에 두 경로가 있다. 정책 비교 기록에는 20경로와 확인된 198단계 출력이 있지만, 일부 경로가 동일한 출력을 공유하므로 이를 198개의 독립 관측으로 취급하지 않는다. 완료된 10단계 경로는 19개다. 확장 계획의 신규 27회 중 25회가 성공했고, P05의 1회 개입 경로 9단계는 도구 차단, 10단계는 미실행으로 기록했다. 실패를 임의의 품질 점수로 대체하지 않았다. 단계별 자동 분석과 AI 평가의 범위는 서로 다르다.</w:t>
      </w:r>
    </w:p>
    <w:p>
      <w:pPr>
        <w:pStyle w:val="Caption"/>
        <w:keepNext/>
      </w:pPr>
      <w:r>
        <w:t>표 1. 실험 묶음과 평가 범위</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실험 묶음</w:t>
            </w:r>
          </w:p>
        </w:tc>
        <w:tc>
          <w:tcPr>
            <w:tcW w:type="dxa" w:w="3175"/>
          </w:tcPr>
          <w:p>
            <w:pPr>
              <w:spacing w:after="80" w:before="80" w:line="252" w:lineRule="auto"/>
            </w:pPr>
            <w:r>
              <w:rPr>
                <w:b/>
                <w:sz w:val="18"/>
              </w:rPr>
              <w:t>생성·분석 범위</w:t>
            </w:r>
          </w:p>
        </w:tc>
        <w:tc>
          <w:tcPr>
            <w:tcW w:type="dxa" w:w="3175"/>
          </w:tcPr>
          <w:p>
            <w:pPr>
              <w:spacing w:after="80" w:before="80" w:line="252" w:lineRule="auto"/>
            </w:pPr>
            <w:r>
              <w:rPr>
                <w:b/>
                <w:sz w:val="18"/>
              </w:rPr>
              <w:t>AI 평가 범위</w:t>
            </w:r>
          </w:p>
        </w:tc>
      </w:tr>
      <w:tr>
        <w:trPr>
          <w:cantSplit/>
        </w:trPr>
        <w:tc>
          <w:tcPr>
            <w:tcW w:type="dxa" w:w="3175"/>
          </w:tcPr>
          <w:p>
            <w:pPr>
              <w:spacing w:after="80" w:before="80" w:line="252" w:lineRule="auto"/>
            </w:pPr>
            <w:r>
              <w:rPr>
                <w:b w:val="0"/>
                <w:sz w:val="18"/>
              </w:rPr>
              <w:t>초기 10단계 및 정책 비교</w:t>
            </w:r>
          </w:p>
        </w:tc>
        <w:tc>
          <w:tcPr>
            <w:tcW w:type="dxa" w:w="3175"/>
          </w:tcPr>
          <w:p>
            <w:pPr>
              <w:spacing w:after="80" w:before="80" w:line="252" w:lineRule="auto"/>
            </w:pPr>
            <w:r>
              <w:rPr>
                <w:b w:val="0"/>
                <w:sz w:val="18"/>
              </w:rPr>
              <w:t>6인물, 순차 7경로; 수치 분석 고유 113개</w:t>
            </w:r>
          </w:p>
        </w:tc>
        <w:tc>
          <w:tcPr>
            <w:tcW w:type="dxa" w:w="3175"/>
          </w:tcPr>
          <w:p>
            <w:pPr>
              <w:spacing w:after="80" w:before="80" w:line="252" w:lineRule="auto"/>
            </w:pPr>
            <w:r>
              <w:rPr>
                <w:b w:val="0"/>
                <w:sz w:val="18"/>
              </w:rPr>
              <w:t>AI 고유 111개·두 세션</w:t>
            </w:r>
          </w:p>
        </w:tc>
      </w:tr>
      <w:tr>
        <w:trPr>
          <w:cantSplit/>
        </w:trPr>
        <w:tc>
          <w:tcPr>
            <w:tcW w:type="dxa" w:w="3175"/>
          </w:tcPr>
          <w:p>
            <w:pPr>
              <w:spacing w:after="80" w:before="80" w:line="252" w:lineRule="auto"/>
            </w:pPr>
            <w:r>
              <w:rPr>
                <w:b w:val="0"/>
                <w:sz w:val="18"/>
              </w:rPr>
              <w:t>후속 편집 통제</w:t>
            </w:r>
          </w:p>
        </w:tc>
        <w:tc>
          <w:tcPr>
            <w:tcW w:type="dxa" w:w="3175"/>
          </w:tcPr>
          <w:p>
            <w:pPr>
              <w:spacing w:after="80" w:before="80" w:line="252" w:lineRule="auto"/>
            </w:pPr>
            <w:r>
              <w:rPr>
                <w:b w:val="0"/>
                <w:sz w:val="18"/>
              </w:rPr>
              <w:t>기존 3인물, 예비 14개와 추가 84개, 총 98개</w:t>
            </w:r>
          </w:p>
        </w:tc>
        <w:tc>
          <w:tcPr>
            <w:tcW w:type="dxa" w:w="3175"/>
          </w:tcPr>
          <w:p>
            <w:pPr>
              <w:spacing w:after="80" w:before="80" w:line="252" w:lineRule="auto"/>
            </w:pPr>
            <w:r>
              <w:rPr>
                <w:b w:val="0"/>
                <w:sz w:val="18"/>
              </w:rPr>
              <w:t>선정 최종 12개에 별도 AI 1세션</w:t>
            </w:r>
          </w:p>
        </w:tc>
      </w:tr>
      <w:tr>
        <w:trPr>
          <w:cantSplit/>
        </w:trPr>
        <w:tc>
          <w:tcPr>
            <w:tcW w:type="dxa" w:w="3175"/>
          </w:tcPr>
          <w:p>
            <w:pPr>
              <w:spacing w:after="80" w:before="80" w:line="252" w:lineRule="auto"/>
            </w:pPr>
            <w:r>
              <w:rPr>
                <w:b w:val="0"/>
                <w:sz w:val="18"/>
              </w:rPr>
              <w:t>로컬 FLUX 정책 비교</w:t>
            </w:r>
          </w:p>
        </w:tc>
        <w:tc>
          <w:tcPr>
            <w:tcW w:type="dxa" w:w="3175"/>
          </w:tcPr>
          <w:p>
            <w:pPr>
              <w:spacing w:after="80" w:before="80" w:line="252" w:lineRule="auto"/>
            </w:pPr>
            <w:r>
              <w:rPr>
                <w:b w:val="0"/>
                <w:sz w:val="18"/>
              </w:rPr>
              <w:t>P04, 2시드, 새 출력 8개·최종 4개</w:t>
            </w:r>
          </w:p>
        </w:tc>
        <w:tc>
          <w:tcPr>
            <w:tcW w:type="dxa" w:w="3175"/>
          </w:tcPr>
          <w:p>
            <w:pPr>
              <w:spacing w:after="80" w:before="80" w:line="252" w:lineRule="auto"/>
            </w:pPr>
            <w:r>
              <w:rPr>
                <w:b w:val="0"/>
                <w:sz w:val="18"/>
              </w:rPr>
              <w:t>자동 지표; 독립 AI 등급 없음</w:t>
            </w:r>
          </w:p>
        </w:tc>
      </w:tr>
      <w:tr>
        <w:trPr>
          <w:cantSplit/>
        </w:trPr>
        <w:tc>
          <w:tcPr>
            <w:tcW w:type="dxa" w:w="3175"/>
          </w:tcPr>
          <w:p>
            <w:pPr>
              <w:spacing w:after="80" w:before="80" w:line="252" w:lineRule="auto"/>
            </w:pPr>
            <w:r>
              <w:rPr>
                <w:b w:val="0"/>
                <w:sz w:val="18"/>
              </w:rPr>
              <w:t>로컬 ROI 민감도 분석</w:t>
            </w:r>
          </w:p>
        </w:tc>
        <w:tc>
          <w:tcPr>
            <w:tcW w:type="dxa" w:w="3175"/>
          </w:tcPr>
          <w:p>
            <w:pPr>
              <w:spacing w:after="80" w:before="80" w:line="252" w:lineRule="auto"/>
            </w:pPr>
            <w:r>
              <w:rPr>
                <w:b w:val="0"/>
                <w:sz w:val="18"/>
              </w:rPr>
              <w:t>위 8개 재분석, 최종 4개 별도 집계</w:t>
            </w:r>
          </w:p>
        </w:tc>
        <w:tc>
          <w:tcPr>
            <w:tcW w:type="dxa" w:w="3175"/>
          </w:tcPr>
          <w:p>
            <w:pPr>
              <w:spacing w:after="80" w:before="80" w:line="252" w:lineRule="auto"/>
            </w:pPr>
            <w:r>
              <w:rPr>
                <w:b w:val="0"/>
                <w:sz w:val="18"/>
              </w:rPr>
              <w:t>새로운 생성이나 평가자 없음</w:t>
            </w:r>
          </w:p>
        </w:tc>
      </w:tr>
    </w:tbl>
    <w:p>
      <w:pPr>
        <w:spacing w:after="20"/>
      </w:pPr>
    </w:p>
    <w:p>
      <w:r>
        <w:t>초기 수치 분석 113개 중 두 개는 개입 전 후보이며 AI 평가 111개에 포함되지 않는다. 후속 12개는 98개의 부분집합이다. 원본 대 원본 대조, 개발용 생성 이미지는 독립 연구 표본으로 더하지 않는다.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3.2 입력 정책과 편집 과제</w:t>
      </w:r>
    </w:p>
    <w:p>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 비교는 독립 반복 실험이 아니라 경로와 호출 비용의 비교로 해석한다.</w:t>
      </w:r>
    </w:p>
    <w:p>
      <w:r>
        <w:t>후속 실험에서는 셔츠, 배경, 핀의 최종 요구를 한 번에 적용하는 일괄 방식과 세 단계로 적용하는 순차 방식을 비교하였다. 최종 요구는 같지만 호출 수는 다르다. 따라서 이는 동일 계산 예산에서의 모델 성능 비교가 아니라 동일 최종 요구를 달성하는 작업 흐름의 비교다. 일괄 최종 생성 결과만으로 연속 상호작용의 모든 중간 상태까지 검증했다고 주장하지 않는다.</w:t>
      </w:r>
    </w:p>
    <w:p>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3.3 자동 지표와 영역</w:t>
      </w:r>
    </w:p>
    <w:p>
      <w:r>
        <w:t>RGB를 [0,1] 범위로 정규화하여 원본과 출력 사이의 MAE를 계산한다. 얼굴 영역의 SSIM과 LPIPS(AlexNet, version 0.1)를 함께 보고하며 MAE·LPIPS는 낮을수록, SSIM은 높을수록 원본에 가깝다. 세 지표를 하나의 점수로 합치거나 열화 임계값을 사후 최적화하지 않는다. 얼굴 사각형에는 피부 외에 눈·머리카락 및 주변 내용이 포함될 수 있으므로 피부 내부 영역 분석을 별도로 수행한다.</w:t>
      </w:r>
    </w:p>
    <w:p>
      <w:r>
        <w:t>위치 민감도 분석은 정규화 상호상관(NCC)을 이용한 정수 픽셀 평행이동으로 수행한다. 고해상도 후속 분석의 Gaussian sigma는 1, 3, 6이며 로컬 절반 해상도에서는 0.5, 1.5, 3을 사용한다. 영상 자체를 워핑하지 않고 대응 위치를 잘라 비교한다. 이 보정은 평행이동에만 대응하며 회전, 표정, 크기 또는 형태 변형을 제거하지 못한다.</w:t>
      </w:r>
    </w:p>
    <w:p>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평균 색 성분은 통계적 분해 항이지 조명의 인과적 기여율이 아니다. MAE에는 같은 가법 분해를 적용하지 않는다.</w:t>
      </w:r>
    </w:p>
    <w:p>
      <w:pPr>
        <w:pStyle w:val="Heading2"/>
      </w:pPr>
      <w:r>
        <w:t>3.4 AI 평가</w:t>
      </w:r>
    </w:p>
    <w:p>
      <w:r>
        <w:t>AI 열화 등급은 없음(0), 약함(1), 뚜렷함(2), 심함(3)이다. 초기 AI 평가는 같은 기반 모델의 두 세션이 고유 111개 출력을 평가한 것이다. 원본 대조 10개와 숨은 반복 12개를 세션별로 추가하였다. 후속 평가는 별도 세션에서 익명 최종 후보 12개와 원본 대조 3개를 평가하였다. 비교판에서 판정하기 어려웠던 두 이미지는 개별 PNG 확인 후 판정하였으며 최초 기록을 보존했다. 동일 기반 모델의 세션 결과는 모델 다양성이나 지각적 타당성의 독립 검증이 아니다.</w:t>
      </w:r>
    </w:p>
    <w:p>
      <w:pPr>
        <w:pStyle w:val="Heading2"/>
      </w:pPr>
      <w:r>
        <w:t>3.5 로컬 모델과 재현성</w:t>
      </w:r>
    </w:p>
    <w:p>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결과 품질을 이유로 재시도하거나 좋은 결과만 선택하지 않았다.</w:t>
      </w:r>
    </w:p>
    <w:p>
      <w:r>
        <w:t>후속 분석은 저장된 출력 해시, 입력 연결, ROI 및 지표 재계산으로 검증하였다. 새 로컬 민감도 분석은 고정 얼굴 결과를 본 이후 설계한 사후 분석이다. 모든 설정을 함께 보고하여 유리한 보정 설정만 선택하지 않았다. 소수 인물·시드와 종속 관측의 한계 때문에 모집단 유의확률이나 일반화 신뢰구간을 제시하지 않는다.</w:t>
      </w:r>
    </w:p>
    <w:p>
      <w:pPr>
        <w:pStyle w:val="Heading1"/>
      </w:pPr>
      <w:r>
        <w:t>4. 결과</w:t>
      </w:r>
    </w:p>
    <w:p>
      <w:pPr>
        <w:pStyle w:val="Heading2"/>
      </w:pPr>
      <w:r>
        <w:t>4.1 초기 순차 경로와 원본 기반 정책</w:t>
      </w:r>
    </w:p>
    <w:p>
      <w:r>
        <w:t>P04의 10단계 경로 평균 LPIPS와 논리적 생성 호출 수를 표 2에 정리하였다. 호출 수는 실제 경과 시간이나 과금량과 동일하지 않다. 알람 방식은 원본 기반 방식과 확인된 출력 8개를 공유한다. 해당 알람은 탐색적 규칙이며 검증된 자동 감지기로 제안하지 않는다.</w:t>
      </w:r>
    </w:p>
    <w:p>
      <w:pPr>
        <w:pStyle w:val="Caption"/>
        <w:keepNext/>
      </w:pPr>
      <w:r>
        <w:t>표 2. P04 정책별 호출 수와 경로 평균 거리</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정책</w:t>
            </w:r>
          </w:p>
        </w:tc>
        <w:tc>
          <w:tcPr>
            <w:tcW w:type="dxa" w:w="2381"/>
          </w:tcPr>
          <w:p>
            <w:pPr>
              <w:spacing w:after="80" w:before="80" w:line="252" w:lineRule="auto"/>
            </w:pPr>
            <w:r>
              <w:rPr>
                <w:b/>
                <w:sz w:val="18"/>
              </w:rPr>
              <w:t>호출 수</w:t>
            </w:r>
          </w:p>
        </w:tc>
        <w:tc>
          <w:tcPr>
            <w:tcW w:type="dxa" w:w="2381"/>
          </w:tcPr>
          <w:p>
            <w:pPr>
              <w:spacing w:after="80" w:before="80" w:line="252" w:lineRule="auto"/>
            </w:pPr>
            <w:r>
              <w:rPr>
                <w:b/>
                <w:sz w:val="18"/>
              </w:rPr>
              <w:t>고정 얼굴 평균 LPIPS</w:t>
            </w:r>
          </w:p>
        </w:tc>
        <w:tc>
          <w:tcPr>
            <w:tcW w:type="dxa" w:w="2381"/>
          </w:tcPr>
          <w:p>
            <w:pPr>
              <w:spacing w:after="80" w:before="80" w:line="252" w:lineRule="auto"/>
            </w:pPr>
            <w:r>
              <w:rPr>
                <w:b/>
                <w:sz w:val="18"/>
              </w:rPr>
              <w:t>위치 보정 평균 LPIPS</w:t>
            </w:r>
          </w:p>
        </w:tc>
      </w:tr>
      <w:tr>
        <w:trPr>
          <w:cantSplit/>
        </w:trPr>
        <w:tc>
          <w:tcPr>
            <w:tcW w:type="dxa" w:w="2381"/>
          </w:tcPr>
          <w:p>
            <w:pPr>
              <w:spacing w:after="80" w:before="80" w:line="252" w:lineRule="auto"/>
            </w:pPr>
            <w:r>
              <w:rPr>
                <w:b w:val="0"/>
                <w:sz w:val="18"/>
              </w:rPr>
              <w:t>순차</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0.250733</w:t>
            </w:r>
          </w:p>
        </w:tc>
        <w:tc>
          <w:tcPr>
            <w:tcW w:type="dxa" w:w="2381"/>
          </w:tcPr>
          <w:p>
            <w:pPr>
              <w:spacing w:after="80" w:before="80" w:line="252" w:lineRule="auto"/>
            </w:pPr>
            <w:r>
              <w:rPr>
                <w:b w:val="0"/>
                <w:sz w:val="18"/>
              </w:rPr>
              <w:t>0.145487</w:t>
            </w:r>
          </w:p>
        </w:tc>
      </w:tr>
      <w:tr>
        <w:trPr>
          <w:cantSplit/>
        </w:trPr>
        <w:tc>
          <w:tcPr>
            <w:tcW w:type="dxa" w:w="2381"/>
          </w:tcPr>
          <w:p>
            <w:pPr>
              <w:spacing w:after="80" w:before="80" w:line="252" w:lineRule="auto"/>
            </w:pPr>
            <w:r>
              <w:rPr>
                <w:b w:val="0"/>
                <w:sz w:val="18"/>
              </w:rPr>
              <w:t>중간 1회 개입</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0.334774</w:t>
            </w:r>
          </w:p>
        </w:tc>
        <w:tc>
          <w:tcPr>
            <w:tcW w:type="dxa" w:w="2381"/>
          </w:tcPr>
          <w:p>
            <w:pPr>
              <w:spacing w:after="80" w:before="80" w:line="252" w:lineRule="auto"/>
            </w:pPr>
            <w:r>
              <w:rPr>
                <w:b w:val="0"/>
                <w:sz w:val="18"/>
              </w:rPr>
              <w:t>0.150213</w:t>
            </w:r>
          </w:p>
        </w:tc>
      </w:tr>
      <w:tr>
        <w:trPr>
          <w:cantSplit/>
        </w:trPr>
        <w:tc>
          <w:tcPr>
            <w:tcW w:type="dxa" w:w="2381"/>
          </w:tcPr>
          <w:p>
            <w:pPr>
              <w:spacing w:after="80" w:before="80" w:line="252" w:lineRule="auto"/>
            </w:pPr>
            <w:r>
              <w:rPr>
                <w:b w:val="0"/>
                <w:sz w:val="18"/>
              </w:rPr>
              <w:t>3단계마다 개입</w:t>
            </w:r>
          </w:p>
        </w:tc>
        <w:tc>
          <w:tcPr>
            <w:tcW w:type="dxa" w:w="2381"/>
          </w:tcPr>
          <w:p>
            <w:pPr>
              <w:spacing w:after="80" w:before="80" w:line="252" w:lineRule="auto"/>
            </w:pPr>
            <w:r>
              <w:rPr>
                <w:b w:val="0"/>
                <w:sz w:val="18"/>
              </w:rPr>
              <w:t>13</w:t>
            </w:r>
          </w:p>
        </w:tc>
        <w:tc>
          <w:tcPr>
            <w:tcW w:type="dxa" w:w="2381"/>
          </w:tcPr>
          <w:p>
            <w:pPr>
              <w:spacing w:after="80" w:before="80" w:line="252" w:lineRule="auto"/>
            </w:pPr>
            <w:r>
              <w:rPr>
                <w:b w:val="0"/>
                <w:sz w:val="18"/>
              </w:rPr>
              <w:t>0.178503</w:t>
            </w:r>
          </w:p>
        </w:tc>
        <w:tc>
          <w:tcPr>
            <w:tcW w:type="dxa" w:w="2381"/>
          </w:tcPr>
          <w:p>
            <w:pPr>
              <w:spacing w:after="80" w:before="80" w:line="252" w:lineRule="auto"/>
            </w:pPr>
            <w:r>
              <w:rPr>
                <w:b w:val="0"/>
                <w:sz w:val="18"/>
              </w:rPr>
              <w:t>0.115825</w:t>
            </w:r>
          </w:p>
        </w:tc>
      </w:tr>
      <w:tr>
        <w:trPr>
          <w:cantSplit/>
        </w:trPr>
        <w:tc>
          <w:tcPr>
            <w:tcW w:type="dxa" w:w="2381"/>
          </w:tcPr>
          <w:p>
            <w:pPr>
              <w:spacing w:after="80" w:before="80" w:line="252" w:lineRule="auto"/>
            </w:pPr>
            <w:r>
              <w:rPr>
                <w:b w:val="0"/>
                <w:sz w:val="18"/>
              </w:rPr>
              <w:t>알람 기반 개입</w:t>
            </w:r>
          </w:p>
        </w:tc>
        <w:tc>
          <w:tcPr>
            <w:tcW w:type="dxa" w:w="2381"/>
          </w:tcPr>
          <w:p>
            <w:pPr>
              <w:spacing w:after="80" w:before="80" w:line="252" w:lineRule="auto"/>
            </w:pPr>
            <w:r>
              <w:rPr>
                <w:b w:val="0"/>
                <w:sz w:val="18"/>
              </w:rPr>
              <w:t>18</w:t>
            </w:r>
          </w:p>
        </w:tc>
        <w:tc>
          <w:tcPr>
            <w:tcW w:type="dxa" w:w="2381"/>
          </w:tcPr>
          <w:p>
            <w:pPr>
              <w:spacing w:after="80" w:before="80" w:line="252" w:lineRule="auto"/>
            </w:pPr>
            <w:r>
              <w:rPr>
                <w:b w:val="0"/>
                <w:sz w:val="18"/>
              </w:rPr>
              <w:t>0.106101</w:t>
            </w:r>
          </w:p>
        </w:tc>
        <w:tc>
          <w:tcPr>
            <w:tcW w:type="dxa" w:w="2381"/>
          </w:tcPr>
          <w:p>
            <w:pPr>
              <w:spacing w:after="80" w:before="80" w:line="252" w:lineRule="auto"/>
            </w:pPr>
            <w:r>
              <w:rPr>
                <w:b w:val="0"/>
                <w:sz w:val="18"/>
              </w:rPr>
              <w:t>0.092580</w:t>
            </w:r>
          </w:p>
        </w:tc>
      </w:tr>
      <w:tr>
        <w:trPr>
          <w:cantSplit/>
        </w:trPr>
        <w:tc>
          <w:tcPr>
            <w:tcW w:type="dxa" w:w="2381"/>
          </w:tcPr>
          <w:p>
            <w:pPr>
              <w:spacing w:after="80" w:before="80" w:line="252" w:lineRule="auto"/>
            </w:pPr>
            <w:r>
              <w:rPr>
                <w:b w:val="0"/>
                <w:sz w:val="18"/>
              </w:rPr>
              <w:t>마지막만 재생성</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0.224328</w:t>
            </w:r>
          </w:p>
        </w:tc>
        <w:tc>
          <w:tcPr>
            <w:tcW w:type="dxa" w:w="2381"/>
          </w:tcPr>
          <w:p>
            <w:pPr>
              <w:spacing w:after="80" w:before="80" w:line="252" w:lineRule="auto"/>
            </w:pPr>
            <w:r>
              <w:rPr>
                <w:b w:val="0"/>
                <w:sz w:val="18"/>
              </w:rPr>
              <w:t>0.133484</w:t>
            </w:r>
          </w:p>
        </w:tc>
      </w:tr>
      <w:tr>
        <w:trPr>
          <w:cantSplit/>
        </w:trPr>
        <w:tc>
          <w:tcPr>
            <w:tcW w:type="dxa" w:w="2381"/>
          </w:tcPr>
          <w:p>
            <w:pPr>
              <w:spacing w:after="80" w:before="80" w:line="252" w:lineRule="auto"/>
            </w:pPr>
            <w:r>
              <w:rPr>
                <w:b w:val="0"/>
                <w:sz w:val="18"/>
              </w:rPr>
              <w:t>매 단계 원본 기반</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0.104210</w:t>
            </w:r>
          </w:p>
        </w:tc>
        <w:tc>
          <w:tcPr>
            <w:tcW w:type="dxa" w:w="2381"/>
          </w:tcPr>
          <w:p>
            <w:pPr>
              <w:spacing w:after="80" w:before="80" w:line="252" w:lineRule="auto"/>
            </w:pPr>
            <w:r>
              <w:rPr>
                <w:b w:val="0"/>
                <w:sz w:val="18"/>
              </w:rPr>
              <w:t>0.090963</w:t>
            </w:r>
          </w:p>
        </w:tc>
      </w:tr>
    </w:tbl>
    <w:p>
      <w:pPr>
        <w:spacing w:after="20"/>
      </w:pPr>
    </w:p>
    <w:p>
      <w:r>
        <w:t>일곱 대응 최종 비교에서 고정 영역 지표는 각 지표별 6/7이 원본 기반에 유리했고 위치 보정 후에는 7/7이었다. P01의 고정 LPIPS는 순차 0.270484, 원본 기반 0.276156으로 반대 사례였다. 따라서 초기 자료만으로 모든 출력·모든 측정 설정에서 일괄적인 우월성을 주장할 수 없다.</w:t>
      </w:r>
    </w:p>
    <w:p>
      <w:pPr>
        <w:pStyle w:val="Heading2"/>
      </w:pPr>
      <w:r>
        <w:t>4.2 후속 통제 실험</w:t>
      </w:r>
    </w:p>
    <w:p>
      <w:r>
        <w:t>세 인물의 후속 비교에서 일괄 방식의 평균 얼굴 LPIPS가 순차 방식보다 낮았다. 아래 P04 값은 편집 순서 실험의 일괄 및 셔츠→배경→핀 경로 비교이며, 별도 예비 분해 실험의 값과 혼합하지 않았다.</w:t>
      </w:r>
    </w:p>
    <w:p>
      <w:pPr>
        <w:pStyle w:val="Caption"/>
        <w:keepNext/>
      </w:pPr>
      <w:r>
        <w:t>표 3. 후속 인물별 얼굴 LPIPS</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인물</w:t>
            </w:r>
          </w:p>
        </w:tc>
        <w:tc>
          <w:tcPr>
            <w:tcW w:type="dxa" w:w="2381"/>
          </w:tcPr>
          <w:p>
            <w:pPr>
              <w:spacing w:after="80" w:before="80" w:line="252" w:lineRule="auto"/>
            </w:pPr>
            <w:r>
              <w:rPr>
                <w:b/>
                <w:sz w:val="18"/>
              </w:rPr>
              <w:t>일괄 LPIPS</w:t>
            </w:r>
          </w:p>
        </w:tc>
        <w:tc>
          <w:tcPr>
            <w:tcW w:type="dxa" w:w="2381"/>
          </w:tcPr>
          <w:p>
            <w:pPr>
              <w:spacing w:after="80" w:before="80" w:line="252" w:lineRule="auto"/>
            </w:pPr>
            <w:r>
              <w:rPr>
                <w:b/>
                <w:sz w:val="18"/>
              </w:rPr>
              <w:t>순차 LPIPS</w:t>
            </w:r>
          </w:p>
        </w:tc>
        <w:tc>
          <w:tcPr>
            <w:tcW w:type="dxa" w:w="2381"/>
          </w:tcPr>
          <w:p>
            <w:pPr>
              <w:spacing w:after="80" w:before="80" w:line="252" w:lineRule="auto"/>
            </w:pPr>
            <w:r>
              <w:rPr>
                <w:b/>
                <w:sz w:val="18"/>
              </w:rPr>
              <w:t>반복 수/방법</w:t>
            </w:r>
          </w:p>
        </w:tc>
      </w:tr>
      <w:tr>
        <w:trPr>
          <w:cantSplit/>
        </w:trPr>
        <w:tc>
          <w:tcPr>
            <w:tcW w:type="dxa" w:w="2381"/>
          </w:tcPr>
          <w:p>
            <w:pPr>
              <w:spacing w:after="80" w:before="80" w:line="252" w:lineRule="auto"/>
            </w:pPr>
            <w:r>
              <w:rPr>
                <w:b w:val="0"/>
                <w:sz w:val="18"/>
              </w:rPr>
              <w:t>P04</w:t>
            </w:r>
          </w:p>
        </w:tc>
        <w:tc>
          <w:tcPr>
            <w:tcW w:type="dxa" w:w="2381"/>
          </w:tcPr>
          <w:p>
            <w:pPr>
              <w:spacing w:after="80" w:before="80" w:line="252" w:lineRule="auto"/>
            </w:pPr>
            <w:r>
              <w:rPr>
                <w:b w:val="0"/>
                <w:sz w:val="18"/>
              </w:rPr>
              <w:t>0.076800</w:t>
            </w:r>
          </w:p>
        </w:tc>
        <w:tc>
          <w:tcPr>
            <w:tcW w:type="dxa" w:w="2381"/>
          </w:tcPr>
          <w:p>
            <w:pPr>
              <w:spacing w:after="80" w:before="80" w:line="252" w:lineRule="auto"/>
            </w:pPr>
            <w:r>
              <w:rPr>
                <w:b w:val="0"/>
                <w:sz w:val="18"/>
              </w:rPr>
              <w:t>0.118081</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P05</w:t>
            </w:r>
          </w:p>
        </w:tc>
        <w:tc>
          <w:tcPr>
            <w:tcW w:type="dxa" w:w="2381"/>
          </w:tcPr>
          <w:p>
            <w:pPr>
              <w:spacing w:after="80" w:before="80" w:line="252" w:lineRule="auto"/>
            </w:pPr>
            <w:r>
              <w:rPr>
                <w:b w:val="0"/>
                <w:sz w:val="18"/>
              </w:rPr>
              <w:t>0.104716</w:t>
            </w:r>
          </w:p>
        </w:tc>
        <w:tc>
          <w:tcPr>
            <w:tcW w:type="dxa" w:w="2381"/>
          </w:tcPr>
          <w:p>
            <w:pPr>
              <w:spacing w:after="80" w:before="80" w:line="252" w:lineRule="auto"/>
            </w:pPr>
            <w:r>
              <w:rPr>
                <w:b w:val="0"/>
                <w:sz w:val="18"/>
              </w:rPr>
              <w:t>0.149267</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P06</w:t>
            </w:r>
          </w:p>
        </w:tc>
        <w:tc>
          <w:tcPr>
            <w:tcW w:type="dxa" w:w="2381"/>
          </w:tcPr>
          <w:p>
            <w:pPr>
              <w:spacing w:after="80" w:before="80" w:line="252" w:lineRule="auto"/>
            </w:pPr>
            <w:r>
              <w:rPr>
                <w:b w:val="0"/>
                <w:sz w:val="18"/>
              </w:rPr>
              <w:t>0.119000</w:t>
            </w:r>
          </w:p>
        </w:tc>
        <w:tc>
          <w:tcPr>
            <w:tcW w:type="dxa" w:w="2381"/>
          </w:tcPr>
          <w:p>
            <w:pPr>
              <w:spacing w:after="80" w:before="80" w:line="252" w:lineRule="auto"/>
            </w:pPr>
            <w:r>
              <w:rPr>
                <w:b w:val="0"/>
                <w:sz w:val="18"/>
              </w:rPr>
              <w:t>0.166047</w:t>
            </w:r>
          </w:p>
        </w:tc>
        <w:tc>
          <w:tcPr>
            <w:tcW w:type="dxa" w:w="2381"/>
          </w:tcPr>
          <w:p>
            <w:pPr>
              <w:spacing w:after="80" w:before="80" w:line="252" w:lineRule="auto"/>
            </w:pPr>
            <w:r>
              <w:rPr>
                <w:b w:val="0"/>
                <w:sz w:val="18"/>
              </w:rPr>
              <w:t>2</w:t>
            </w:r>
          </w:p>
        </w:tc>
      </w:tr>
    </w:tbl>
    <w:p>
      <w:pPr>
        <w:spacing w:after="20"/>
      </w:pPr>
    </w:p>
    <w:p>
      <w:pPr>
        <w:keepNext/>
      </w:pPr>
      <w:r>
        <w:drawing>
          <wp:inline xmlns:a="http://schemas.openxmlformats.org/drawingml/2006/main" xmlns:pic="http://schemas.openxmlformats.org/drawingml/2006/picture">
            <wp:extent cx="5903999" cy="20336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10"/>
                    <a:stretch>
                      <a:fillRect/>
                    </a:stretch>
                  </pic:blipFill>
                  <pic:spPr>
                    <a:xfrm>
                      <a:off x="0" y="0"/>
                      <a:ext cx="5903999" cy="2033600"/>
                    </a:xfrm>
                    <a:prstGeom prst="rect"/>
                  </pic:spPr>
                </pic:pic>
              </a:graphicData>
            </a:graphic>
          </wp:inline>
        </w:drawing>
      </w:r>
    </w:p>
    <w:p>
      <w:pPr>
        <w:pStyle w:val="Caption"/>
      </w:pPr>
      <w:r>
        <w:t>그림 1. 동일 최종 요구에서의 얼굴 LPIPS 비교. 초기 생성기 세 인물과 로컬 모델 두 시드는 서로 다른 실험이며 수치를 합산하지 않는다.</w:t>
      </w:r>
    </w:p>
    <w:p>
      <w:r>
        <w:t>순서 실험에서는 지표와 반복을 가로지르는 하나의 보편적 최적 순서를 찾지 못하였다. 색·재질 요인 실험 역시 내용의 복잡도가 증가할수록 변화가 단조롭게 증가한다는 관계를 지지하지 않았다. P06의 원래 재질 조건에서도 요청하지 않은 흰 줄무늬가 생성된 사례가 있어, 비목표 얼굴 보존과 편집 요구의 정확한 이행을 별도 검사할 필요가 있다.</w:t>
      </w:r>
    </w:p>
    <w:p>
      <w:r>
        <w:t>무변경 반복 두 경로의 평균 얼굴 LPIPS는 1단계 0.020250에서 3단계 0.062738, 6단계 0.106249로 증가하였다. 고정 MAE와 LPIPS는 각 경로에서 단조 증가했지만 모든 지표에 대해 단조성을 주장하지 않는다. 이는 명시적인 추가 편집 없이도 반복 생성이 원본과의 차이를 누적시킬 수 있음을 보여준다.</w:t>
      </w:r>
    </w:p>
    <w:p>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 결과는 큰 원시 오차가 모두 피부 세부의 손상에 해당하지 않음을 시사한다.</w:t>
      </w:r>
    </w:p>
    <w:p>
      <w:pPr>
        <w:pStyle w:val="Heading2"/>
      </w:pPr>
      <w:r>
        <w:t>4.3 AI 등급</w:t>
      </w:r>
    </w:p>
    <w:p>
      <w:r>
        <w:t>후속 12개 이미지의 별도 AI 평가는 일괄 결과에서 약함 6개, 순차 결과에서 뚜렷함 2개와 심함 4개였다. 원본 대조 3개는 모두 0점이었다. 이 12개는 3인물의 반복 관측이며 98개 전체의 평가 결과가 아니다.</w:t>
      </w:r>
    </w:p>
    <w:p>
      <w:pPr>
        <w:pStyle w:val="Caption"/>
        <w:keepNext/>
      </w:pPr>
      <w:r>
        <w:t>표 4. 후속 AI 평가 분포</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평가 항목</w:t>
            </w:r>
          </w:p>
        </w:tc>
        <w:tc>
          <w:tcPr>
            <w:tcW w:type="dxa" w:w="3175"/>
          </w:tcPr>
          <w:p>
            <w:pPr>
              <w:spacing w:after="80" w:before="80" w:line="252" w:lineRule="auto"/>
            </w:pPr>
            <w:r>
              <w:rPr>
                <w:b/>
                <w:sz w:val="18"/>
              </w:rPr>
              <w:t>일괄 6개</w:t>
            </w:r>
          </w:p>
        </w:tc>
        <w:tc>
          <w:tcPr>
            <w:tcW w:type="dxa" w:w="3175"/>
          </w:tcPr>
          <w:p>
            <w:pPr>
              <w:spacing w:after="80" w:before="80" w:line="252" w:lineRule="auto"/>
            </w:pPr>
            <w:r>
              <w:rPr>
                <w:b/>
                <w:sz w:val="18"/>
              </w:rPr>
              <w:t>순차 6개</w:t>
            </w:r>
          </w:p>
        </w:tc>
      </w:tr>
      <w:tr>
        <w:trPr>
          <w:cantSplit/>
        </w:trPr>
        <w:tc>
          <w:tcPr>
            <w:tcW w:type="dxa" w:w="3175"/>
          </w:tcPr>
          <w:p>
            <w:pPr>
              <w:spacing w:after="80" w:before="80" w:line="252" w:lineRule="auto"/>
            </w:pPr>
            <w:r>
              <w:rPr>
                <w:b w:val="0"/>
                <w:sz w:val="18"/>
              </w:rPr>
              <w:t>AI 열화</w:t>
            </w:r>
          </w:p>
        </w:tc>
        <w:tc>
          <w:tcPr>
            <w:tcW w:type="dxa" w:w="3175"/>
          </w:tcPr>
          <w:p>
            <w:pPr>
              <w:spacing w:after="80" w:before="80" w:line="252" w:lineRule="auto"/>
            </w:pPr>
            <w:r>
              <w:rPr>
                <w:b w:val="0"/>
                <w:sz w:val="18"/>
              </w:rPr>
              <w:t>약함 6</w:t>
            </w:r>
          </w:p>
        </w:tc>
        <w:tc>
          <w:tcPr>
            <w:tcW w:type="dxa" w:w="3175"/>
          </w:tcPr>
          <w:p>
            <w:pPr>
              <w:spacing w:after="80" w:before="80" w:line="252" w:lineRule="auto"/>
            </w:pPr>
            <w:r>
              <w:rPr>
                <w:b w:val="0"/>
                <w:sz w:val="18"/>
              </w:rPr>
              <w:t>뚜렷함 2, 심함 4</w:t>
            </w:r>
          </w:p>
        </w:tc>
      </w:tr>
    </w:tbl>
    <w:p>
      <w:pPr>
        <w:spacing w:after="20"/>
      </w:pPr>
    </w:p>
    <w:p>
      <w:r>
        <w:t>초기 AI 두 세션은 고유 111개에서 99/111(89.19%) 정확 일치, 등급 2 이상 기준에서 107/111(96.40%) 일치를 보였으며 선형 가중 κ는 0.897이었다. 숨은 반복 정확 일치는 각각 11/12와 12/12, 원본 대조는 각각 10/10이었다. 같은 기반 모델의 세션 일관성에 대한 기술 통계이며 AI 등급을 실제 지각 품질의 정답으로 해석하지 않는다.</w:t>
      </w:r>
    </w:p>
    <w:p>
      <w:pPr>
        <w:pStyle w:val="Heading2"/>
      </w:pPr>
      <w:r>
        <w:t>4.4 로컬 FLUX 비교</w:t>
      </w:r>
    </w:p>
    <w:p>
      <w:r>
        <w:t>로컬 모델의 두 시드에서 고정 얼굴 MAE·SSIM·LPIPS는 모두 일괄 방식에 유리하였다. 최종 요구는 남색 셔츠, 연한 파란 배경, 화면 기준 오른쪽의 은색 핀 하나였다. 실행자 관찰에서는 네 결과가 주요 요구를 갖추었으나 이는 독립적인 요청 이행 평가가 아니다.</w:t>
      </w:r>
    </w:p>
    <w:p>
      <w:pPr>
        <w:pStyle w:val="Caption"/>
        <w:keepNext/>
      </w:pPr>
      <w:r>
        <w:t>표 5. 로컬 모델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0.136402</w:t>
            </w:r>
          </w:p>
        </w:tc>
        <w:tc>
          <w:tcPr>
            <w:tcW w:type="dxa" w:w="2381"/>
          </w:tcPr>
          <w:p>
            <w:pPr>
              <w:spacing w:after="80" w:before="80" w:line="252" w:lineRule="auto"/>
            </w:pPr>
            <w:r>
              <w:rPr>
                <w:b w:val="0"/>
                <w:sz w:val="18"/>
              </w:rPr>
              <w:t>0.812108</w:t>
            </w:r>
          </w:p>
        </w:tc>
        <w:tc>
          <w:tcPr>
            <w:tcW w:type="dxa" w:w="2381"/>
          </w:tcPr>
          <w:p>
            <w:pPr>
              <w:spacing w:after="80" w:before="80" w:line="252" w:lineRule="auto"/>
            </w:pPr>
            <w:r>
              <w:rPr>
                <w:b w:val="0"/>
                <w:sz w:val="18"/>
              </w:rPr>
              <w:t>0.101721</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0.137721</w:t>
            </w:r>
          </w:p>
        </w:tc>
        <w:tc>
          <w:tcPr>
            <w:tcW w:type="dxa" w:w="2381"/>
          </w:tcPr>
          <w:p>
            <w:pPr>
              <w:spacing w:after="80" w:before="80" w:line="252" w:lineRule="auto"/>
            </w:pPr>
            <w:r>
              <w:rPr>
                <w:b w:val="0"/>
                <w:sz w:val="18"/>
              </w:rPr>
              <w:t>0.703040</w:t>
            </w:r>
          </w:p>
        </w:tc>
        <w:tc>
          <w:tcPr>
            <w:tcW w:type="dxa" w:w="2381"/>
          </w:tcPr>
          <w:p>
            <w:pPr>
              <w:spacing w:after="80" w:before="80" w:line="252" w:lineRule="auto"/>
            </w:pPr>
            <w:r>
              <w:rPr>
                <w:b w:val="0"/>
                <w:sz w:val="18"/>
              </w:rPr>
              <w:t>0.132763</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0.133931</w:t>
            </w:r>
          </w:p>
        </w:tc>
        <w:tc>
          <w:tcPr>
            <w:tcW w:type="dxa" w:w="2381"/>
          </w:tcPr>
          <w:p>
            <w:pPr>
              <w:spacing w:after="80" w:before="80" w:line="252" w:lineRule="auto"/>
            </w:pPr>
            <w:r>
              <w:rPr>
                <w:b w:val="0"/>
                <w:sz w:val="18"/>
              </w:rPr>
              <w:t>0.831322</w:t>
            </w:r>
          </w:p>
        </w:tc>
        <w:tc>
          <w:tcPr>
            <w:tcW w:type="dxa" w:w="2381"/>
          </w:tcPr>
          <w:p>
            <w:pPr>
              <w:spacing w:after="80" w:before="80" w:line="252" w:lineRule="auto"/>
            </w:pPr>
            <w:r>
              <w:rPr>
                <w:b w:val="0"/>
                <w:sz w:val="18"/>
              </w:rPr>
              <w:t>0.080904</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0.142639</w:t>
            </w:r>
          </w:p>
        </w:tc>
        <w:tc>
          <w:tcPr>
            <w:tcW w:type="dxa" w:w="2381"/>
          </w:tcPr>
          <w:p>
            <w:pPr>
              <w:spacing w:after="80" w:before="80" w:line="252" w:lineRule="auto"/>
            </w:pPr>
            <w:r>
              <w:rPr>
                <w:b w:val="0"/>
                <w:sz w:val="18"/>
              </w:rPr>
              <w:t>0.731237</w:t>
            </w:r>
          </w:p>
        </w:tc>
        <w:tc>
          <w:tcPr>
            <w:tcW w:type="dxa" w:w="2381"/>
          </w:tcPr>
          <w:p>
            <w:pPr>
              <w:spacing w:after="80" w:before="80" w:line="252" w:lineRule="auto"/>
            </w:pPr>
            <w:r>
              <w:rPr>
                <w:b w:val="0"/>
                <w:sz w:val="18"/>
              </w:rPr>
              <w:t>0.116147</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0.135166</w:t>
            </w:r>
          </w:p>
        </w:tc>
        <w:tc>
          <w:tcPr>
            <w:tcW w:type="dxa" w:w="2381"/>
          </w:tcPr>
          <w:p>
            <w:pPr>
              <w:spacing w:after="80" w:before="80" w:line="252" w:lineRule="auto"/>
            </w:pPr>
            <w:r>
              <w:rPr>
                <w:b w:val="0"/>
                <w:sz w:val="18"/>
              </w:rPr>
              <w:t>0.821715</w:t>
            </w:r>
          </w:p>
        </w:tc>
        <w:tc>
          <w:tcPr>
            <w:tcW w:type="dxa" w:w="2381"/>
          </w:tcPr>
          <w:p>
            <w:pPr>
              <w:spacing w:after="80" w:before="80" w:line="252" w:lineRule="auto"/>
            </w:pPr>
            <w:r>
              <w:rPr>
                <w:b w:val="0"/>
                <w:sz w:val="18"/>
              </w:rPr>
              <w:t>0.091313</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0.140180</w:t>
            </w:r>
          </w:p>
        </w:tc>
        <w:tc>
          <w:tcPr>
            <w:tcW w:type="dxa" w:w="2381"/>
          </w:tcPr>
          <w:p>
            <w:pPr>
              <w:spacing w:after="80" w:before="80" w:line="252" w:lineRule="auto"/>
            </w:pPr>
            <w:r>
              <w:rPr>
                <w:b w:val="0"/>
                <w:sz w:val="18"/>
              </w:rPr>
              <w:t>0.717138</w:t>
            </w:r>
          </w:p>
        </w:tc>
        <w:tc>
          <w:tcPr>
            <w:tcW w:type="dxa" w:w="2381"/>
          </w:tcPr>
          <w:p>
            <w:pPr>
              <w:spacing w:after="80" w:before="80" w:line="252" w:lineRule="auto"/>
            </w:pPr>
            <w:r>
              <w:rPr>
                <w:b w:val="0"/>
                <w:sz w:val="18"/>
              </w:rPr>
              <w:t>0.124455</w:t>
            </w:r>
          </w:p>
        </w:tc>
      </w:tr>
    </w:tbl>
    <w:p>
      <w:pPr>
        <w:spacing w:after="20"/>
      </w:pPr>
    </w:p>
    <w:p>
      <w:r>
        <w:t>평균 LPIPS는 일괄이 순차보다 26.6% 낮았다. 경로 전체 시간 평균은 약 92.8초와 261.2초였다. 일괄은 한 호출, 순차는 세 호출이므로 이 시간 차이는 품질 개선 알고리즘의 계산 효율만을 측정한 결과가 아니다. 한 인물과 두 시드의 제한된 재현 사례이며 기존 생성기의 숫자와 합쳐 평균을 계산하지 않는다.</w:t>
      </w:r>
    </w:p>
    <w:p>
      <w:pPr>
        <w:pStyle w:val="Heading2"/>
      </w:pPr>
      <w:r>
        <w:t>4.5 추가 사후 분석: 영역과 위치 보정</w:t>
      </w:r>
    </w:p>
    <w:p>
      <w:r>
        <w:t>로컬 얼굴 ROI는 [176,44,336,224]이며 피부 영역은 이마 [226,72,284,89], 화면 왼쪽 볼 [206,132,224,153], 오른쪽 볼 [286,132,302,153]이다. 피부 좌표는 기존 고해상도 P04 영역의 정확한 절반이다. NCC 탐색 범위는 ±32픽셀로 설정했다. 원본 대조, 알려진 평행이동 회복, 기존 고정 얼굴 수치 재현 및 MSE 분해 항등식을 검증했으며 탐색 경계에 닿은 사례는 없었다.</w:t>
      </w:r>
    </w:p>
    <w:p>
      <w:pPr>
        <w:pStyle w:val="Caption"/>
        <w:keepNext/>
      </w:pPr>
      <w:r>
        <w:t>표 6. 로컬 영역·위치 보정 민감도</w:t>
      </w:r>
    </w:p>
    <w:tbl>
      <w:tblPr>
        <w:tblStyle w:val="LightShading-Accent1"/>
        <w:tblW w:type="auto" w:w="0"/>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Pr>
          <w:p>
            <w:pPr>
              <w:spacing w:after="80" w:before="80" w:line="252" w:lineRule="auto"/>
            </w:pPr>
            <w:r>
              <w:rPr>
                <w:b/>
                <w:sz w:val="16"/>
              </w:rPr>
              <w:t>설정·방법</w:t>
            </w:r>
          </w:p>
        </w:tc>
        <w:tc>
          <w:tcPr>
            <w:tcW w:type="dxa" w:w="1587"/>
          </w:tcPr>
          <w:p>
            <w:pPr>
              <w:spacing w:after="80" w:before="80" w:line="252" w:lineRule="auto"/>
            </w:pPr>
            <w:r>
              <w:rPr>
                <w:b/>
                <w:sz w:val="16"/>
              </w:rPr>
              <w:t>얼굴 LPIPS</w:t>
            </w:r>
          </w:p>
        </w:tc>
        <w:tc>
          <w:tcPr>
            <w:tcW w:type="dxa" w:w="1587"/>
          </w:tcPr>
          <w:p>
            <w:pPr>
              <w:spacing w:after="80" w:before="80" w:line="252" w:lineRule="auto"/>
            </w:pPr>
            <w:r>
              <w:rPr>
                <w:b/>
                <w:sz w:val="16"/>
              </w:rPr>
              <w:t>피부 MAE</w:t>
            </w:r>
          </w:p>
        </w:tc>
        <w:tc>
          <w:tcPr>
            <w:tcW w:type="dxa" w:w="1587"/>
          </w:tcPr>
          <w:p>
            <w:pPr>
              <w:spacing w:after="80" w:before="80" w:line="252" w:lineRule="auto"/>
            </w:pPr>
            <w:r>
              <w:rPr>
                <w:b/>
                <w:sz w:val="16"/>
              </w:rPr>
              <w:t>피부 SSIM</w:t>
            </w:r>
          </w:p>
        </w:tc>
        <w:tc>
          <w:tcPr>
            <w:tcW w:type="dxa" w:w="1587"/>
          </w:tcPr>
          <w:p>
            <w:pPr>
              <w:spacing w:after="80" w:before="80" w:line="252" w:lineRule="auto"/>
            </w:pPr>
            <w:r>
              <w:rPr>
                <w:b/>
                <w:sz w:val="16"/>
              </w:rPr>
              <w:t>피부 고주파 MAE</w:t>
            </w:r>
          </w:p>
        </w:tc>
        <w:tc>
          <w:tcPr>
            <w:tcW w:type="dxa" w:w="1587"/>
          </w:tcPr>
          <w:p>
            <w:pPr>
              <w:spacing w:after="80" w:before="80" w:line="252" w:lineRule="auto"/>
            </w:pPr>
            <w:r>
              <w:rPr>
                <w:b/>
                <w:sz w:val="16"/>
              </w:rPr>
              <w:t>피부 잔차 MAE</w:t>
            </w:r>
          </w:p>
        </w:tc>
      </w:tr>
      <w:tr>
        <w:trPr>
          <w:cantSplit/>
        </w:trPr>
        <w:tc>
          <w:tcPr>
            <w:tcW w:type="dxa" w:w="1587"/>
          </w:tcPr>
          <w:p>
            <w:pPr>
              <w:spacing w:after="80" w:before="80" w:line="252" w:lineRule="auto"/>
            </w:pPr>
            <w:r>
              <w:rPr>
                <w:b w:val="0"/>
                <w:sz w:val="16"/>
              </w:rPr>
              <w:t>고정·일괄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고정·순차</w:t>
            </w:r>
          </w:p>
        </w:tc>
        <w:tc>
          <w:tcPr>
            <w:tcW w:type="dxa" w:w="1587"/>
          </w:tcPr>
          <w:p>
            <w:pPr>
              <w:spacing w:after="80" w:before="80" w:line="252" w:lineRule="auto"/>
            </w:pPr>
            <w:r>
              <w:rPr>
                <w:b w:val="0"/>
                <w:sz w:val="16"/>
              </w:rPr>
              <w:t>0.124455</w:t>
            </w:r>
          </w:p>
        </w:tc>
        <w:tc>
          <w:tcPr>
            <w:tcW w:type="dxa" w:w="1587"/>
          </w:tcPr>
          <w:p>
            <w:pPr>
              <w:spacing w:after="80" w:before="80" w:line="252" w:lineRule="auto"/>
            </w:pPr>
            <w:r>
              <w:rPr>
                <w:b w:val="0"/>
                <w:sz w:val="16"/>
              </w:rPr>
              <w:t>0.062319</w:t>
            </w:r>
          </w:p>
        </w:tc>
        <w:tc>
          <w:tcPr>
            <w:tcW w:type="dxa" w:w="1587"/>
          </w:tcPr>
          <w:p>
            <w:pPr>
              <w:spacing w:after="80" w:before="80" w:line="252" w:lineRule="auto"/>
            </w:pPr>
            <w:r>
              <w:rPr>
                <w:b w:val="0"/>
                <w:sz w:val="16"/>
              </w:rPr>
              <w:t>0.668437</w:t>
            </w:r>
          </w:p>
        </w:tc>
        <w:tc>
          <w:tcPr>
            <w:tcW w:type="dxa" w:w="1587"/>
          </w:tcPr>
          <w:p>
            <w:pPr>
              <w:spacing w:after="80" w:before="80" w:line="252" w:lineRule="auto"/>
            </w:pPr>
            <w:r>
              <w:rPr>
                <w:b w:val="0"/>
                <w:sz w:val="16"/>
              </w:rPr>
              <w:t>0.015116</w:t>
            </w:r>
          </w:p>
        </w:tc>
        <w:tc>
          <w:tcPr>
            <w:tcW w:type="dxa" w:w="1587"/>
          </w:tcPr>
          <w:p>
            <w:pPr>
              <w:spacing w:after="80" w:before="80" w:line="252" w:lineRule="auto"/>
            </w:pPr>
            <w:r>
              <w:rPr>
                <w:b w:val="0"/>
                <w:sz w:val="16"/>
              </w:rPr>
              <w:t>0.039894</w:t>
            </w:r>
          </w:p>
        </w:tc>
      </w:tr>
      <w:tr>
        <w:trPr>
          <w:cantSplit/>
        </w:trPr>
        <w:tc>
          <w:tcPr>
            <w:tcW w:type="dxa" w:w="1587"/>
          </w:tcPr>
          <w:p>
            <w:pPr>
              <w:spacing w:after="80" w:before="80" w:line="252" w:lineRule="auto"/>
            </w:pPr>
            <w:r>
              <w:rPr>
                <w:b w:val="0"/>
                <w:sz w:val="16"/>
              </w:rPr>
              <w:t>σ=0.5·일괄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σ=0.5·순차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σ=1.5·일괄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σ=1.5·순차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σ=3·일괄</w:t>
            </w:r>
          </w:p>
        </w:tc>
        <w:tc>
          <w:tcPr>
            <w:tcW w:type="dxa" w:w="1587"/>
          </w:tcPr>
          <w:p>
            <w:pPr>
              <w:spacing w:after="80" w:before="80" w:line="252" w:lineRule="auto"/>
            </w:pPr>
            <w:r>
              <w:rPr>
                <w:b w:val="0"/>
                <w:sz w:val="16"/>
              </w:rPr>
              <w:t>0.095030</w:t>
            </w:r>
          </w:p>
        </w:tc>
        <w:tc>
          <w:tcPr>
            <w:tcW w:type="dxa" w:w="1587"/>
          </w:tcPr>
          <w:p>
            <w:pPr>
              <w:spacing w:after="80" w:before="80" w:line="252" w:lineRule="auto"/>
            </w:pPr>
            <w:r>
              <w:rPr>
                <w:b w:val="0"/>
                <w:sz w:val="16"/>
              </w:rPr>
              <w:t>0.064985</w:t>
            </w:r>
          </w:p>
        </w:tc>
        <w:tc>
          <w:tcPr>
            <w:tcW w:type="dxa" w:w="1587"/>
          </w:tcPr>
          <w:p>
            <w:pPr>
              <w:spacing w:after="80" w:before="80" w:line="252" w:lineRule="auto"/>
            </w:pPr>
            <w:r>
              <w:rPr>
                <w:b w:val="0"/>
                <w:sz w:val="16"/>
              </w:rPr>
              <w:t>0.763278</w:t>
            </w:r>
          </w:p>
        </w:tc>
        <w:tc>
          <w:tcPr>
            <w:tcW w:type="dxa" w:w="1587"/>
          </w:tcPr>
          <w:p>
            <w:pPr>
              <w:spacing w:after="80" w:before="80" w:line="252" w:lineRule="auto"/>
            </w:pPr>
            <w:r>
              <w:rPr>
                <w:b w:val="0"/>
                <w:sz w:val="16"/>
              </w:rPr>
              <w:t>0.012218</w:t>
            </w:r>
          </w:p>
        </w:tc>
        <w:tc>
          <w:tcPr>
            <w:tcW w:type="dxa" w:w="1587"/>
          </w:tcPr>
          <w:p>
            <w:pPr>
              <w:spacing w:after="80" w:before="80" w:line="252" w:lineRule="auto"/>
            </w:pPr>
            <w:r>
              <w:rPr>
                <w:b w:val="0"/>
                <w:sz w:val="16"/>
              </w:rPr>
              <w:t>0.027467</w:t>
            </w:r>
          </w:p>
        </w:tc>
      </w:tr>
      <w:tr>
        <w:trPr>
          <w:cantSplit/>
        </w:trPr>
        <w:tc>
          <w:tcPr>
            <w:tcW w:type="dxa" w:w="1587"/>
          </w:tcPr>
          <w:p>
            <w:pPr>
              <w:spacing w:after="80" w:before="80" w:line="252" w:lineRule="auto"/>
            </w:pPr>
            <w:r>
              <w:rPr>
                <w:b w:val="0"/>
                <w:sz w:val="16"/>
              </w:rPr>
              <w:t>σ=3·순차</w:t>
            </w:r>
          </w:p>
        </w:tc>
        <w:tc>
          <w:tcPr>
            <w:tcW w:type="dxa" w:w="1587"/>
          </w:tcPr>
          <w:p>
            <w:pPr>
              <w:spacing w:after="80" w:before="80" w:line="252" w:lineRule="auto"/>
            </w:pPr>
            <w:r>
              <w:rPr>
                <w:b w:val="0"/>
                <w:sz w:val="16"/>
              </w:rPr>
              <w:t>0.126023</w:t>
            </w:r>
          </w:p>
        </w:tc>
        <w:tc>
          <w:tcPr>
            <w:tcW w:type="dxa" w:w="1587"/>
          </w:tcPr>
          <w:p>
            <w:pPr>
              <w:spacing w:after="80" w:before="80" w:line="252" w:lineRule="auto"/>
            </w:pPr>
            <w:r>
              <w:rPr>
                <w:b w:val="0"/>
                <w:sz w:val="16"/>
              </w:rPr>
              <w:t>0.060812</w:t>
            </w:r>
          </w:p>
        </w:tc>
        <w:tc>
          <w:tcPr>
            <w:tcW w:type="dxa" w:w="1587"/>
          </w:tcPr>
          <w:p>
            <w:pPr>
              <w:spacing w:after="80" w:before="80" w:line="252" w:lineRule="auto"/>
            </w:pPr>
            <w:r>
              <w:rPr>
                <w:b w:val="0"/>
                <w:sz w:val="16"/>
              </w:rPr>
              <w:t>0.654603</w:t>
            </w:r>
          </w:p>
        </w:tc>
        <w:tc>
          <w:tcPr>
            <w:tcW w:type="dxa" w:w="1587"/>
          </w:tcPr>
          <w:p>
            <w:pPr>
              <w:spacing w:after="80" w:before="80" w:line="252" w:lineRule="auto"/>
            </w:pPr>
            <w:r>
              <w:rPr>
                <w:b w:val="0"/>
                <w:sz w:val="16"/>
              </w:rPr>
              <w:t>0.015549</w:t>
            </w:r>
          </w:p>
        </w:tc>
        <w:tc>
          <w:tcPr>
            <w:tcW w:type="dxa" w:w="1587"/>
          </w:tcPr>
          <w:p>
            <w:pPr>
              <w:spacing w:after="80" w:before="80" w:line="252" w:lineRule="auto"/>
            </w:pPr>
            <w:r>
              <w:rPr>
                <w:b w:val="0"/>
                <w:sz w:val="16"/>
              </w:rPr>
              <w:t>0.038189</w:t>
            </w:r>
          </w:p>
        </w:tc>
      </w:tr>
    </w:tbl>
    <w:p>
      <w:pPr>
        <w:spacing w:after="20"/>
      </w:pPr>
    </w:p>
    <w:p>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따라서 “모든 얼굴·피부 지표에서 일괄이 우수하다”는 해석은 성립하지 않는다. 피부의 색 차이와 세부 구조 차이를 함께 보고해야 한다.</w:t>
      </w:r>
    </w:p>
    <w:p>
      <w:pPr>
        <w:pStyle w:val="Heading1"/>
      </w:pPr>
      <w:r>
        <w:t>5. 시스템 설계로의 적용</w:t>
      </w:r>
    </w:p>
    <w:p>
      <w:r>
        <w:t>관찰 결과를 바탕으로 최초 원본과 누적 편집 상태를 별도로 저장하는 로컬 편집기를 구현하였다. 사용자의 새 요청은 현재 상태에 대한 변경으로 해석하고, 생성 시에는 최초 원본과 갱신된 전체 요구를 사용한다. 예를 들어 셔츠 변경 다음에 배경 변경을 요청하면 두 요구를 함께 적용하여 최초 원본에서 다시 생성한다. 이전 출력은 결과 이력에 저장하되 다음 이미지의 입력으로 사용하지 않는다.</w:t>
      </w:r>
    </w:p>
    <w:p>
      <w:r>
        <w:t>현재 지원 범위는 셔츠 색, 배경, 원형 핀이다. 상태와 이미지 버전을 함께 보존하여 되돌리기를 지원한다. 요청 해석은 정해진 동작 처리와 Qwen3 4B의 구조화 출력 보조로 구성하고, 모호한 취소·이전 시점 요청은 상태를 임의 변경하지 않고 버전을 선택하도록 한다. 이미지 모델과 언어 모델은 메모리 부담을 줄이기 위해 동시에 실행하지 않는다.</w:t>
      </w:r>
    </w:p>
    <w:p>
      <w:r>
        <w:t>한국어·영어 요청 35개와 연속 요청에 대한 검증은 개발 회귀 검사다. 이를 일반 자연어 이해 정확도나 전적으로 언어 모델이 해결한 성공률로 보고하지 않는다. 또한 이 구조는 누적 이미지 입력의 영향을 줄일 수 있지만 얼굴의 픽셀 보존, 임의 표현의 정확한 이해, 모든 중간 요구 이행을 보장하지 않는다. 시스템은 연구 가설의 적용 사례이며 새로운 기억 알고리즘이나 검증된 제품 효과의 증거가 아니다.</w:t>
      </w:r>
    </w:p>
    <w:p>
      <w:pPr>
        <w:pStyle w:val="Heading2"/>
      </w:pPr>
      <w:r>
        <w:t>5.1 웹 편집기 테스트 결과</w:t>
      </w:r>
    </w:p>
    <w:p>
      <w:r>
        <w:t>웹 편집기는 로컬 주소 http://localhost:8770 에서 실행한다. 저장된 실행 검증에서 한국어 요청 반영, 최초 원본 기반 이미지 생성, PNG 결과 조회, 수동 설정 저장, 이미지·설정 버전 복원, 오래된 수정 요청의 거부를 확인했다. 실제 생성 1회의 기록 시간은 95.28초다. 이 단일 실행 시간을 평균 응답 속도로 해석하지 않는다.</w:t>
      </w:r>
    </w:p>
    <w:p>
      <w:r>
        <w:t>요청 해석 수정 후 한국어 14개·영어 14개와 추가 7개, 총 35개에서 기대 상태 또는 안전한 보류 응답을 확인했다. 35/35는 알려진 개발 사례의 회귀 검사이며 자유 문장에 대한 일반 정확도가 아니다. 사전에 없는 설산 배경 요청 1개는 실제 Qwen3 4B 경로에서 배경만 갱신하고 다른 설정을 유지했다. 생성·복원 테스트와 요청 회귀 검사는 서로 다른 검증이다.</w:t>
      </w:r>
    </w:p>
    <w:p>
      <w:r>
        <w:t>사용 화면은 이미지 업로드, 수정 요청, 이미지 생성, 다운로드와 버전 선택 중심으로 구성했다. 세부 설정은 접어서 필요할 때 열도록 하고, 요청 이력의 반복 설명을 줄였다. 이는 개발자의 화면 수정이며 실제 사용자 대상 사용성 실험을 수행한 결과가 아니다. 사이트의 생성 테스트 이미지는 연구 정책 비교 표본에 합산하지 않았다.</w:t>
      </w:r>
    </w:p>
    <w:p>
      <w:r>
        <w:t>2026년 9월 13일 UI 변경 후 브라우저에서 “셔츠는 남색으로, 배경은 바다로 바꿔줘”를 입력하였다. 셔츠 navy·배경 ocean·핀 original 상태가 적용되었고, 실제 생성 1회는 101.26초에 완료되었다. 출력 표시와 다운로드 링크를 확인한 뒤 셔츠 설정을 변경·저장하고, 이전 버전 선택으로 이미지와 남색·바다 설정이 복원됨을 확인했다. 이 단일 개발 점검은 사용자 만족도나 처리 시간의 평균 성능을 추정하지 않는다.</w:t>
      </w:r>
    </w:p>
    <w:p>
      <w:pPr>
        <w:pStyle w:val="Heading1"/>
      </w:pPr>
      <w:r>
        <w:t>6. 논의와 한계</w:t>
      </w:r>
    </w:p>
    <w:p>
      <w:r>
        <w:t>첫째, 원본 기반 생성은 본 조건에서 얼굴 원본 거리에서 유리했다. 무변경 반복에서도 거리가 증가했다는 점을 함께 보면, 연속 요구를 기억하는 텍스트 상태와 생성 이미지의 입력 연결을 분리하는 설계는 합리적이다. 다만 복잡한 공간 관계나 직전 출력의 우연한 세부를 유지해야 하는 작업에서는 최초 원본만으로 그 요구를 충분히 표현하지 못할 수 있다. 이 연구는 그러한 작업을 비교하지 않았다.</w:t>
      </w:r>
    </w:p>
    <w:p>
      <w:r>
        <w:t>둘째, 측정 영역과 지표의 선택은 결론의 범위를 바꾼다. 얼굴 사각형의 거리, 피부 평균 색, 세부 고주파 성분, 지각적 열화는 서로 다른 측면이다. 새 피부 MAE의 반대 결과를 제외하고 얼굴 LPIPS만 제시하면 보존 효과를 과장할 수 있다. 반대로 색 차이가 작다는 이유로 순차 결과의 피부 구조가 더 잘 유지되었다고 단정하는 것도 적절하지 않다.</w:t>
      </w:r>
    </w:p>
    <w:p>
      <w:r>
        <w:t>셋째, AI는 같은 기반 모델의 편향을 공유할 수 있다. 사용자 지각 품질과 사용성은 검증하지 않았다. 세션 간 일치율이 높아도 독립적인 품질 타당성의 증거가 되지 않는다.</w:t>
      </w:r>
    </w:p>
    <w:p>
      <w:r>
        <w:t>넷째, 데이터는 합성 인물 6명과 제한된 비얼굴 과제에 집중되어 있다. 후속 반복은 주로 3명, 로컬 비교는 1명이다. 98개 출력이 98명의 독립 인물을 의미하지 않는다. 피부 유형·자세·표정·조명·해상도 및 실제 사용자 사진에 대한 일반화는 확인하지 않았다. 이미지 생성기의 버전 불확실성, 정책 간 공유 출력, 서로 다른 호출 예산도 해석을 제한한다.</w:t>
      </w:r>
    </w:p>
    <w:p>
      <w:r>
        <w:t>다섯째, 로컬 민감도 분석은 결과를 본 뒤 수행했다. 여러 설정의 전체 보고와 재계산 검증은 선택적 보고를 줄이지만 사전 등록을 대신하지 못한다. 후속 확증 실험에서는 가설·ROI·주 지표·허용 실패·시드·제외 기준을 미리 고정하고, 새 인물과 새 요청을 사용해야 한다. 통계 분석은 인물 및 반복의 군집 구조를 반영해야 한다.</w:t>
      </w:r>
    </w:p>
    <w:p>
      <w:pPr>
        <w:pStyle w:val="Heading1"/>
      </w:pPr>
      <w:r>
        <w:t>7. 결론</w:t>
      </w:r>
    </w:p>
    <w:p>
      <w:r>
        <w:t>본 탐색적 연구에서 순차 편집은 최초 원본과의 얼굴 차이가 누적되는 사례를 보였으며, 원본 기반 또는 일괄 생성은 여러 비교에서 더 작은 얼굴 거리를 보였다. 피부 원시 MAE의 우열은 일부 설정에서 반대여서 모든 보존 지표의 우월성으로 확대할 수 없다. 최초 원본과 누적 요구사항을 관리하는 웹 편집기의 실제 생성과 상태 복원을 확인했지만 기능 테스트를 사용자 만족도나 지각적 품질의 검증으로 해석하지 않는다. 결과는 제한된 입력 정책의 비교와 후속 확증 실험의 근거다.</w:t>
      </w:r>
    </w:p>
    <w:p>
      <w:pPr>
        <w:pStyle w:val="Heading1"/>
      </w:pPr>
      <w:r>
        <w:t>참고문헌</w:t>
      </w:r>
    </w:p>
    <w:p>
      <w:r>
        <w:t>[1] K. Zhang, L. Mo, W. Chen, H. Sun, and Y. Su. MagicBrush: A Manually Annotated Dataset for Instruction-Guided Image Editing. NeurIPS, 2023. https://arxiv.org/abs/2306.10012</w:t>
      </w:r>
    </w:p>
    <w:p>
      <w:r>
        <w:t>[2] Z. Zhou, Y. Deng, X. He, W. Dong, and F. Tang. Multi-turn Consistent Image Editing. arXiv:2505.04320, 2025. https://arxiv.org/abs/2505.04320</w:t>
      </w:r>
    </w:p>
    <w:p>
      <w:r>
        <w:t>[3] T. Chen et al. EdiVal-Agent: An Object-Centric Framework for Automated, Fine-Grained Evaluation of Multi-Turn Editing. arXiv:2509.13399, version 3, 2026. https://arxiv.org/abs/2509.13399</w:t>
      </w:r>
    </w:p>
    <w:p>
      <w:r>
        <w:t>[4] Y. Qian et al. GIE-Bench: Towards Grounded Evaluation for Text-Guided Image Editing. arXiv:2505.11493, 2025. https://arxiv.org/abs/2505.11493</w:t>
      </w:r>
    </w:p>
    <w:p>
      <w:r>
        <w:t>[5] Z. Wang, A. C. Bovik, H. R. Sheikh, and E. P. Simoncelli. Image Quality Assessment: From Error Visibility to Structural Similarity. IEEE Transactions on Image Processing, 13(4), 600–612, 2004. https://doi.org/10.1109/TIP.2003.819861</w:t>
      </w:r>
    </w:p>
    <w:p>
      <w:r>
        <w:t>[6] R. Zhang, P. Isola, A. A. Efros, E. Shechtman, and O. Wang. The Unreasonable Effectiveness of Deep Features as a Perceptual Metric. CVPR, 2018. https://arxiv.org/abs/1801.03924</w:t>
      </w:r>
    </w:p>
    <w:p>
      <w:r>
        <w:t>[7] Black Forest Labs. FLUX.2-klein-4B Model Card. 2026. Accessed 2026-09-10. https://huggingface.co/black-forest-labs/FLUX.2-klein-4B</w:t>
      </w:r>
    </w:p>
    <w:p>
      <w:r>
        <w:t>[8] MFLUX Community. MFLUX: FLUX.2 Implementation and Documentation. Software version used: 0.19.1. https://github.com/mflux-community/mflux</w:t>
      </w:r>
    </w:p>
    <w:p>
      <w:pPr>
        <w:pStyle w:val="Heading1"/>
      </w:pPr>
      <w:r>
        <w:t>부록 A. 자료 및 재현 범위</w:t>
      </w:r>
    </w:p>
    <w:p>
      <w:r>
        <w:t>분석 기준은 저장소의 CURRENT_STATUS.md와 개별 실험 결과 기록이다. 초기 정책 결과는 experiments/nonhuman-followup-v1/, 후속 통제는 experiments/autonomous-nonhuman-v1/ 및 experiments/edit-decomposition-v1/, 후속 AI 평가는 experiments/followup-ai-v1/, 로컬 비교는 experiments/local-policy-v1/, 추가 민감도 분석은 experiments/local-policy-robustness-v1/에 있다. 본문 표와 원자료의 연결은 paper/evidence.json에 기록한다.</w:t>
      </w:r>
    </w:p>
    <w:p>
      <w:r>
        <w:t>공개 가능한 코드·요약·지표·합성 이미지는 저장소에 보존한다. 자격 증명, 로컬 작업 데이터 및 모델 가중치는 포함하지 않는다. 저장된 이미지의 수치 분석은 해당 의존성과 입력을 갖춘 환경에서 재실행할 수 있다. 사이트 테스트는 기능 검증이며 사용자 대상 평가가 아니다.</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40"/>
    </w:pPr>
    <w:rPr>
      <w:rFonts w:ascii="Noto Sans CJK KR" w:hAnsi="Noto Sans CJK KR" w:eastAsia="Noto Sans CJK KR" w:cs="Noto Sans CJK KR"/>
      <w:color w:val="172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oto Sans CJK KR" w:hAnsi="Noto Sans CJK KR" w:eastAsia="Noto Sans CJK KR" w:cs="Noto Sans CJK KR"/>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oto Sans CJK KR" w:hAnsi="Noto Sans CJK KR" w:eastAsia="Noto Sans CJK KR" w:cs="Noto Sans CJK KR"/>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cstheme="majorBidi" w:ascii="Noto Sans CJK KR" w:hAnsi="Noto Sans CJK KR" w:eastAsia="Noto Sans CJK KR" w:cs="Noto Sans CJK KR"/>
      <w:b/>
      <w:bCs/>
      <w:color w:val="172333"/>
      <w:sz w:val="2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cstheme="majorBidi" w:ascii="Noto Sans CJK KR" w:hAnsi="Noto Sans CJK KR" w:eastAsia="Noto Sans CJK KR" w:cs="Noto Sans CJK KR"/>
      <w:b/>
      <w:bCs/>
      <w:color w:val="17233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Noto Sans CJK KR" w:hAnsi="Noto Sans CJK KR" w:eastAsia="Noto Sans CJK KR" w:cs="Noto Sans CJK K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Noto Sans CJK KR" w:hAnsi="Noto Sans CJK KR" w:eastAsia="Noto Sans CJK KR" w:cs="Noto Sans CJK K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Noto Sans CJK KR" w:hAnsi="Noto Sans CJK KR" w:eastAsia="Noto Sans CJK KR" w:cs="Noto Sans CJK K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Noto Sans CJK KR" w:hAnsi="Noto Sans CJK KR" w:eastAsia="Noto Sans CJK KR" w:cs="Noto Sans CJK K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Noto Sans CJK KR" w:hAnsi="Noto Sans CJK KR" w:eastAsia="Noto Sans CJK KR" w:cs="Noto Sans CJK K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Noto Sans CJK KR" w:hAnsi="Noto Sans CJK KR" w:eastAsia="Noto Sans CJK KR" w:cs="Noto Sans CJK K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Noto Sans CJK KR" w:hAnsi="Noto Sans CJK KR" w:eastAsia="Noto Sans CJK KR" w:cs="Noto Sans CJK K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Noto Sans CJK KR" w:hAnsi="Noto Sans CJK KR" w:eastAsia="Noto Sans CJK KR" w:cs="Noto Sans CJK K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Noto Sans CJK KR" w:hAnsi="Noto Sans CJK KR" w:eastAsia="Noto Sans CJK KR" w:cs="Noto Sans CJK KR"/>
      <w:color w:val="172333"/>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Noto Sans CJK KR" w:hAnsi="Noto Sans CJK KR" w:eastAsia="Noto Sans CJK KR" w:cs="Noto Sans CJK KR"/>
      <w:i/>
      <w:iCs/>
      <w:color w:val="17233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KR" w:hAnsi="Noto Sans CJK KR" w:eastAsia="Noto Sans CJK KR" w:cs="Noto Sans CJK KR"/>
    </w:rPr>
  </w:style>
  <w:style w:type="paragraph" w:styleId="BodyText">
    <w:name w:val="Body Text"/>
    <w:basedOn w:val="Normal"/>
    <w:link w:val="BodyTextChar"/>
    <w:uiPriority w:val="99"/>
    <w:unhideWhenUsed/>
    <w:rsid w:val="00AA1D8D"/>
    <w:pPr>
      <w:spacing w:after="120"/>
    </w:pPr>
    <w:rPr>
      <w:rFonts w:ascii="Noto Sans CJK KR" w:hAnsi="Noto Sans CJK KR" w:eastAsia="Noto Sans CJK KR" w:cs="Noto Sans CJK KR"/>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Noto Sans CJK KR" w:hAnsi="Noto Sans CJK KR" w:eastAsia="Noto Sans CJK KR" w:cs="Noto Sans CJK KR"/>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Noto Sans CJK KR" w:hAnsi="Noto Sans CJK KR" w:eastAsia="Noto Sans CJK KR" w:cs="Noto Sans CJK K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Noto Sans CJK KR" w:hAnsi="Noto Sans CJK KR" w:eastAsia="Noto Sans CJK KR" w:cs="Noto Sans CJK KR"/>
    </w:rPr>
  </w:style>
  <w:style w:type="paragraph" w:styleId="List2">
    <w:name w:val="List 2"/>
    <w:basedOn w:val="Normal"/>
    <w:uiPriority w:val="99"/>
    <w:unhideWhenUsed/>
    <w:rsid w:val="00326F90"/>
    <w:pPr>
      <w:ind w:left="720" w:hanging="360"/>
      <w:contextualSpacing/>
    </w:pPr>
    <w:rPr>
      <w:rFonts w:ascii="Noto Sans CJK KR" w:hAnsi="Noto Sans CJK KR" w:eastAsia="Noto Sans CJK KR" w:cs="Noto Sans CJK KR"/>
    </w:rPr>
  </w:style>
  <w:style w:type="paragraph" w:styleId="List3">
    <w:name w:val="List 3"/>
    <w:basedOn w:val="Normal"/>
    <w:uiPriority w:val="99"/>
    <w:unhideWhenUsed/>
    <w:rsid w:val="00326F90"/>
    <w:pPr>
      <w:ind w:left="1080" w:hanging="360"/>
      <w:contextualSpacing/>
    </w:pPr>
    <w:rPr>
      <w:rFonts w:ascii="Noto Sans CJK KR" w:hAnsi="Noto Sans CJK KR" w:eastAsia="Noto Sans CJK KR" w:cs="Noto Sans CJK KR"/>
    </w:rPr>
  </w:style>
  <w:style w:type="paragraph" w:styleId="ListBullet">
    <w:name w:val="List Bullet"/>
    <w:basedOn w:val="Normal"/>
    <w:uiPriority w:val="99"/>
    <w:unhideWhenUsed/>
    <w:rsid w:val="00326F90"/>
    <w:pPr>
      <w:numPr>
        <w:numId w:val="1"/>
      </w:numPr>
      <w:contextualSpacing/>
    </w:pPr>
    <w:rPr>
      <w:rFonts w:ascii="Noto Sans CJK KR" w:hAnsi="Noto Sans CJK KR" w:eastAsia="Noto Sans CJK KR" w:cs="Noto Sans CJK KR"/>
    </w:rPr>
  </w:style>
  <w:style w:type="paragraph" w:styleId="ListBullet2">
    <w:name w:val="List Bullet 2"/>
    <w:basedOn w:val="Normal"/>
    <w:uiPriority w:val="99"/>
    <w:unhideWhenUsed/>
    <w:rsid w:val="00326F90"/>
    <w:pPr>
      <w:numPr>
        <w:numId w:val="2"/>
      </w:numPr>
      <w:contextualSpacing/>
    </w:pPr>
    <w:rPr>
      <w:rFonts w:ascii="Noto Sans CJK KR" w:hAnsi="Noto Sans CJK KR" w:eastAsia="Noto Sans CJK KR" w:cs="Noto Sans CJK KR"/>
    </w:rPr>
  </w:style>
  <w:style w:type="paragraph" w:styleId="ListBullet3">
    <w:name w:val="List Bullet 3"/>
    <w:basedOn w:val="Normal"/>
    <w:uiPriority w:val="99"/>
    <w:unhideWhenUsed/>
    <w:rsid w:val="00326F90"/>
    <w:pPr>
      <w:numPr>
        <w:numId w:val="3"/>
      </w:numPr>
      <w:contextualSpacing/>
    </w:pPr>
    <w:rPr>
      <w:rFonts w:ascii="Noto Sans CJK KR" w:hAnsi="Noto Sans CJK KR" w:eastAsia="Noto Sans CJK KR" w:cs="Noto Sans CJK KR"/>
    </w:rPr>
  </w:style>
  <w:style w:type="paragraph" w:styleId="ListNumber">
    <w:name w:val="List Number"/>
    <w:basedOn w:val="Normal"/>
    <w:uiPriority w:val="99"/>
    <w:unhideWhenUsed/>
    <w:rsid w:val="00326F90"/>
    <w:pPr>
      <w:numPr>
        <w:numId w:val="5"/>
      </w:numPr>
      <w:contextualSpacing/>
    </w:pPr>
    <w:rPr>
      <w:rFonts w:ascii="Noto Sans CJK KR" w:hAnsi="Noto Sans CJK KR" w:eastAsia="Noto Sans CJK KR" w:cs="Noto Sans CJK KR"/>
    </w:rPr>
  </w:style>
  <w:style w:type="paragraph" w:styleId="ListNumber2">
    <w:name w:val="List Number 2"/>
    <w:basedOn w:val="Normal"/>
    <w:uiPriority w:val="99"/>
    <w:unhideWhenUsed/>
    <w:rsid w:val="0029639D"/>
    <w:pPr>
      <w:numPr>
        <w:numId w:val="6"/>
      </w:numPr>
      <w:contextualSpacing/>
    </w:pPr>
    <w:rPr>
      <w:rFonts w:ascii="Noto Sans CJK KR" w:hAnsi="Noto Sans CJK KR" w:eastAsia="Noto Sans CJK KR" w:cs="Noto Sans CJK KR"/>
    </w:rPr>
  </w:style>
  <w:style w:type="paragraph" w:styleId="ListNumber3">
    <w:name w:val="List Number 3"/>
    <w:basedOn w:val="Normal"/>
    <w:uiPriority w:val="99"/>
    <w:unhideWhenUsed/>
    <w:rsid w:val="0029639D"/>
    <w:pPr>
      <w:numPr>
        <w:numId w:val="7"/>
      </w:numPr>
      <w:contextualSpacing/>
    </w:pPr>
    <w:rPr>
      <w:rFonts w:ascii="Noto Sans CJK KR" w:hAnsi="Noto Sans CJK KR" w:eastAsia="Noto Sans CJK KR" w:cs="Noto Sans CJK KR"/>
    </w:rPr>
  </w:style>
  <w:style w:type="paragraph" w:styleId="ListContinue">
    <w:name w:val="List Continue"/>
    <w:basedOn w:val="Normal"/>
    <w:uiPriority w:val="99"/>
    <w:unhideWhenUsed/>
    <w:rsid w:val="0029639D"/>
    <w:pPr>
      <w:spacing w:after="120"/>
      <w:ind w:left="360"/>
      <w:contextualSpacing/>
    </w:pPr>
    <w:rPr>
      <w:rFonts w:ascii="Noto Sans CJK KR" w:hAnsi="Noto Sans CJK KR" w:eastAsia="Noto Sans CJK KR" w:cs="Noto Sans CJK KR"/>
    </w:rPr>
  </w:style>
  <w:style w:type="paragraph" w:styleId="ListContinue2">
    <w:name w:val="List Continue 2"/>
    <w:basedOn w:val="Normal"/>
    <w:uiPriority w:val="99"/>
    <w:unhideWhenUsed/>
    <w:rsid w:val="0029639D"/>
    <w:pPr>
      <w:spacing w:after="120"/>
      <w:ind w:left="720"/>
      <w:contextualSpacing/>
    </w:pPr>
    <w:rPr>
      <w:rFonts w:ascii="Noto Sans CJK KR" w:hAnsi="Noto Sans CJK KR" w:eastAsia="Noto Sans CJK KR" w:cs="Noto Sans CJK KR"/>
    </w:rPr>
  </w:style>
  <w:style w:type="paragraph" w:styleId="ListContinue3">
    <w:name w:val="List Continue 3"/>
    <w:basedOn w:val="Normal"/>
    <w:uiPriority w:val="99"/>
    <w:unhideWhenUsed/>
    <w:rsid w:val="0029639D"/>
    <w:pPr>
      <w:spacing w:after="120"/>
      <w:ind w:left="1080"/>
      <w:contextualSpacing/>
    </w:pPr>
    <w:rPr>
      <w:rFonts w:ascii="Noto Sans CJK KR" w:hAnsi="Noto Sans CJK KR" w:eastAsia="Noto Sans CJK KR" w:cs="Noto Sans CJK K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oto Sans CJK KR" w:hAnsi="Noto Sans CJK KR" w:eastAsia="Noto Sans CJK KR" w:cs="Noto Sans CJK K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Noto Sans CJK KR" w:hAnsi="Noto Sans CJK KR" w:eastAsia="Noto Sans CJK KR" w:cs="Noto Sans CJK K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CJK KR" w:hAnsi="Noto Sans CJK KR" w:eastAsia="Noto Sans CJK KR" w:cs="Noto Sans CJK KR"/>
      <w:b/>
      <w:bCs/>
      <w:color w:val="172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Noto Sans CJK KR" w:hAnsi="Noto Sans CJK KR" w:eastAsia="Noto Sans CJK KR" w:cs="Noto Sans CJK K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Noto Sans CJK KR" w:hAnsi="Noto Sans CJK KR" w:eastAsia="Noto Sans CJK KR" w:cs="Noto Sans CJK KR"/>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Exploratory empirical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