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6명에게 세 번씩 적용한 18쌍에서 평균 얼굴 LPIPS는 일괄 0.087120, 순차 0.108710이었으며, 일괄 방식이 18쌍 모두 낮았다. 원본 대비 ArcFace 코사인 유사도는 일괄 0.922054, 순차 0.713703이며 18쌍 모두 일괄 방식이 높았다.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In a six-identity website-path comparison with three repetitions per identity, mean facial LPIPS was 0.087120 for batch and 0.108710 for sequential editing across 18 pairs. Mean ArcFace cosine similarity to the original was 0.922054 for regeneration and 0.713703 for sequential editing, with higher similarity for regeneration in all 18 pairs.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jc w:val="both"/>
      </w:pPr>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예비 2시드·8개 출력; 6인물 확장, 인물당 3회·72개 출력</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웹 생성 경로의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89.19%, 선형 가중 κ는 0.897이었다.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pPr>
        <w:jc w:val="both"/>
      </w:pPr>
      <w:r>
        <w:t>같은 웹 생성 경로를 P01–P06의 합성 인물 6명에게 세 번씩 적용하였다. 각 반복에서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회는 인물 내 반복 관측이다.</w:t>
      </w:r>
    </w:p>
    <w:p>
      <w:pPr>
        <w:pStyle w:val="Heading1"/>
      </w:pPr>
      <w:r>
        <w:t>VI. 논의와 한계</w:t>
      </w:r>
    </w:p>
    <w:p>
      <w:pPr>
        <w:jc w:val="both"/>
      </w:pPr>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p>
      <w:pPr>
        <w:keepLines/>
        <w:ind w:firstLine="0"/>
        <w:jc w:val="both"/>
      </w:pPr>
      <w:r>
        <w:t>[9] J. Deng, J. Guo, N. Xue, and S. Zafeiriou. ArcFace: Additive Angular Margin Loss for Deep Face Recognition. CVPR, 2019. https://openaccess.thecvf.com/content_CVPR_2019/html/Deng_ArcFace_Additive_Angular_Margin_Loss_for_Deep_Face_Recognition_CVPR_2019_paper.html</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KoPubWorldBatang"/>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KoPubWorldDotum" w:hAnsi="KoPubWorldDotum" w:eastAsia="KoPubWorldDotum"/>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KoPubWorldDotum" w:hAnsi="KoPubWorldDotum" w:eastAsia="KoPubWorldDotum"/>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KoPubWorldDotum"/>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KoPubWorldBatang"/>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KoPubWorldBatang"/>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