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반복 이미지 편집에서의 얼굴 보존과 </w:t>
        <w:br/>
        <w:t>원본 기반 재생성 비교</w:t>
      </w:r>
    </w:p>
    <w:p>
      <w:r>
        <w:t>A Comparison of Facial Preservation and Original-Referenced Regeneration in Iterative Image Editing</w:t>
      </w:r>
    </w:p>
    <w:p>
      <w:pPr>
        <w:pStyle w:val="Heading1"/>
      </w:pPr>
      <w:r>
        <w:t>초록</w:t>
      </w:r>
    </w:p>
    <w:p>
      <w:r>
        <w:t>이미지 편집 시스템에서 앞선 생성물을 다음 입력으로 사용하면 요청하지 않은 얼굴 변화가 누적될 수 있다. 본 연구는 순차 편집과 최초 원본에 누적 요구사항을 적용하는 재생성을 비교한다. 초기 실험에서는 합성 인물 6명에게 각각 10단계 순차 편집을 진행했다.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편집기에서 합성 인물 6명에게 두 편집 방식을 세 번씩 적용한 18쌍에서 평균 얼굴 LPIPS는 일괄 0.087120, 순차 0.108710이었으며, 일괄 방식이 18쌍 모두 낮았다. 원본 대비 ArcFace 코사인 유사도는 일괄 0.922054, 순차 0.713703이며 18쌍 모두 일괄 방식이 높았다.</w:t>
      </w:r>
    </w:p>
    <w:p>
      <w:r>
        <w:t>주요어: 순차 이미지 편집, 얼굴 보존, 원본 기반 재생성, 지각 유사도, 탐색적 평가</w:t>
      </w:r>
    </w:p>
    <w:p>
      <w:pPr>
        <w:pStyle w:val="Heading1"/>
      </w:pPr>
      <w:r>
        <w:t>1. 서론</w:t>
      </w:r>
    </w:p>
    <w:p>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r>
        <w:t>본 연구는 직전 출력과 최초 원본을 사용하는 두 입력 정책을 비교하고, 얼굴 전체 거리와 피부 내부 지표가 다른 방향을 보이는 사례를 분석하며, 누적 요청을 관리하는 웹 편집기에 두 방식을 구현하였다.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r>
        <w:t>ArcFace는 각도 마진으로 학습한 얼굴 인식 임베딩을 통해 얼굴 정체성 특징을 비교한다[9]. 본 연구는 원본과 출력의 512차원 임베딩 사이 코사인 유사도를 얼굴 특징 보존 지표로 사용한다.</w:t>
      </w:r>
    </w:p>
    <w:p>
      <w:pPr>
        <w:pStyle w:val="Heading1"/>
      </w:pPr>
      <w:r>
        <w:t>3. 연구 설계</w:t>
      </w:r>
    </w:p>
    <w:p>
      <w:pPr>
        <w:pStyle w:val="Heading2"/>
      </w:pPr>
      <w:r>
        <w:t>3.1 자료 범위와 분석 단위</w:t>
      </w:r>
    </w:p>
    <w:p>
      <w:r>
        <w:t>인물 P01–P06은 합성 이미지다. 초기 실험에서는 6명에게 각각 10단계 순차 편집을 한 번씩 진행했다. 정책 비교는 인물과 편집 방식을 조합한 18개 실험의 178단계 출력을 포함한다. 편집 과정 간 공유 출력을 구분하고, 미완료 단계는 결측으로 처리하였다. 분석별 자료 범위는 표 1에 제시하였다.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6명 × 각 10단계 순차 편집; 수치 분석 고유 103개</w:t>
            </w:r>
          </w:p>
        </w:tc>
        <w:tc>
          <w:tcPr>
            <w:tcW w:type="dxa" w:w="3175"/>
          </w:tcPr>
          <w:p>
            <w:pPr>
              <w:spacing w:after="80" w:before="80" w:line="252" w:lineRule="auto"/>
            </w:pPr>
            <w:r>
              <w:rPr>
                <w:b w:val="0"/>
                <w:sz w:val="18"/>
              </w:rPr>
              <w:t>AI 고유 101개·두 세션</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분석</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기존 출력의 지표 재분석</w:t>
            </w:r>
          </w:p>
        </w:tc>
      </w:tr>
      <w:tr>
        <w:trPr>
          <w:cantSplit/>
        </w:trPr>
        <w:tc>
          <w:tcPr>
            <w:tcW w:type="dxa" w:w="3175"/>
          </w:tcPr>
          <w:p>
            <w:pPr>
              <w:spacing w:after="80" w:before="80" w:line="252" w:lineRule="auto"/>
            </w:pPr>
            <w:r>
              <w:rPr>
                <w:b w:val="0"/>
                <w:sz w:val="18"/>
              </w:rPr>
              <w:t>웹 편집기 정책 비교</w:t>
            </w:r>
          </w:p>
        </w:tc>
        <w:tc>
          <w:tcPr>
            <w:tcW w:type="dxa" w:w="3175"/>
          </w:tcPr>
          <w:p>
            <w:pPr>
              <w:spacing w:after="80" w:before="80" w:line="252" w:lineRule="auto"/>
            </w:pPr>
            <w:r>
              <w:rPr>
                <w:b w:val="0"/>
                <w:sz w:val="18"/>
              </w:rPr>
              <w:t>P04 예비 2시드·8개 출력; 6인물 확장, 인물당 3회·72개 출력</w:t>
            </w:r>
          </w:p>
        </w:tc>
        <w:tc>
          <w:tcPr>
            <w:tcW w:type="dxa" w:w="3175"/>
          </w:tcPr>
          <w:p>
            <w:pPr>
              <w:spacing w:after="80" w:before="80" w:line="252" w:lineRule="auto"/>
            </w:pPr>
            <w:r>
              <w:rPr>
                <w:b w:val="0"/>
                <w:sz w:val="18"/>
              </w:rPr>
              <w:t>자동 지표 분석</w:t>
            </w:r>
          </w:p>
        </w:tc>
      </w:tr>
    </w:tbl>
    <w:p>
      <w:pPr>
        <w:spacing w:after="20"/>
      </w:pPr>
    </w:p>
    <w:p>
      <w:r>
        <w:t>초기 수치 분석은 확정 출력 101개와 개입 전 후보 2개를 포함하며, AI 평가는 확정 출력을 대상으로 하였다. 후속 AI 평가에는 98개 중 최종 출력 12개를 선정하였다. 원본 대조와 개발용 이미지는 검증용 자료로 별도 관리하였다. 초기 도구 기반 생성기의 재현 범위는 보존된 입력·출력·프롬프트·분석 기록이다.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단계별 입력 이미지와 호출 수를 비교하였다.</w:t>
      </w:r>
    </w:p>
    <w:p>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r>
        <w:t>98개 후속 출력은 예비 분해 실험 14개, 편집 순서 실험 38개, P05·P06 재현 16개, 색·재질 요인 실험 24개, 무변경 반복 연장 6개로 구성된다. 순서 실험은 세 편집의 여섯 순열을 포함한다. 무변경 반복은 동일한 요청으로 생성을 반복할 때의 변화를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r>
        <w:t>웹 편집기 실험의 6인물·18쌍에는 InsightFace 0.7.3 `buffalo_l`을 적용하였다. 640×640 검출과 5점 얼굴 정렬 후 `w600k_r50` 모델의 512차원 임베딩을 추출하고, 원본과 최종 출력 사이 코사인 유사도를 계산하였다. 42개 입력에서 모두 얼굴 하나가 검출되었다. 사전학습 가중치는 비상업적 연구 용도로 제공된다.</w:t>
      </w:r>
    </w:p>
    <w:p>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3.4 AI 평가</w:t>
      </w:r>
    </w:p>
    <w:p>
      <w:r>
        <w:t>AI 열화 등급은 없음(0), 약함(1), 뚜렷함(2), 심함(3)이다. 초기 AI 평가는 같은 기반 모델의 두 세션이 고유 101개 출력을 평가한 것이다. 원본 대조 10개와 숨은 반복 10개를 세션별로 추가하였다. 후속 평가는 별도 세션에서 익명 최종 후보 12개와 원본 대조 3개를 평가하였다.  세션 간 일치율로 동일 모델의 평가 일관성을 분석하였다.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편집 과정에서는 같은 시드를 유지하고, 반복 간 방법 실행 순서를 반대로 하였다. 각 호출의 첫 출력을 분석에 사용하였다.</w:t>
      </w:r>
    </w:p>
    <w:p>
      <w:r>
        <w:t>로컬 영역 민감도 분석은 고정 얼굴 결과를 확인한 후 설계한 사후 분석이다. 모든 보정 설정을 인물과 시드별 기술 통계로 비교하였다.</w:t>
      </w:r>
    </w:p>
    <w:p>
      <w:pPr>
        <w:pStyle w:val="Heading1"/>
      </w:pPr>
      <w:r>
        <w:t>4. 결과</w:t>
      </w:r>
    </w:p>
    <w:p>
      <w:pPr>
        <w:pStyle w:val="Heading2"/>
      </w:pPr>
      <w:r>
        <w:t>4.1 초기 순차 편집 과정과 원본 기반 정책</w:t>
      </w:r>
    </w:p>
    <w:p>
      <w:r>
        <w:t>P04의 10단계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pPr>
      <w:r>
        <w:t>표 2. P04 정책별 호출 수와 10단계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여섯 대응 최종 비교에서 고정 영역 지표는 각 지표별 5/6이 원본 기반에 유리했고 위치 보정 후에는 6/6이었다. P01의 고정 LPIPS는 순차 0.270484, 원본 기반 0.276156으로 반대 사례였다. 원본 기반 방식의 이득은 인물과 위치 보정 조건에 따라 차이를 보였다.</w:t>
      </w:r>
    </w:p>
    <w:p>
      <w:pPr>
        <w:pStyle w:val="Heading2"/>
      </w:pPr>
      <w:r>
        <w:t>4.2 후속 통제 실험</w:t>
      </w:r>
    </w:p>
    <w:p>
      <w:r>
        <w:t>세 인물의 후속 비교에서 일괄 방식의 평균 얼굴 LPIPS가 순차 방식보다 낮았다. P04 값은 편집 순서 실험의 일괄 및 셔츠→배경→핀 편집 순서를 기준으로 하였다.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r>
        <w:t>변경 없이 재생성을 6단계씩 두 번 진행한 실험의 평균 얼굴 LPIPS는 1단계 0.020250에서 3단계 0.062738, 6단계 0.106249로 증가하였다. 고정 MAE와 LPIPS는 두 실험 모두에서 단조 증가하였다. 이는 명시적인 추가 편집 없이도 반복 생성이 원본과의 차이를 누적시킬 수 있음을 보여준다.</w:t>
      </w:r>
    </w:p>
    <w:p>
      <w:r>
        <w:t>피부 분석으로 색 이동과 세부 구조 변화를 구분했다. P04 단일 배경 편집의 피부 MAE는 0.049207로 셔츠 0.015323과 핀 0.014845보다 컸다.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4.3 AI 등급</w:t>
      </w:r>
    </w:p>
    <w:p>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pPr>
      <w:r>
        <w:t>표 4. 후속 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초기 AI 두 세션의 정확 일치율은 90.10%, 선형 가중 κ는 0.908이었다.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4.5 영역과 위치 보정에 따른 차이</w:t>
      </w:r>
    </w:p>
    <w:p>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편집 과정을 시작한다.</w:t>
      </w:r>
    </w:p>
    <w:p>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5.1 웹 편집기의 입력 정책 비교</w:t>
      </w:r>
    </w:p>
    <w:p>
      <w:r>
        <w:t>웹 화면과 동일한 HTTP 생성 기능에서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pPr>
      <w:r>
        <w:t>표 7. 웹 편집기 두 모드의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0.120129</w:t>
            </w:r>
          </w:p>
        </w:tc>
        <w:tc>
          <w:tcPr>
            <w:tcW w:type="dxa" w:w="2381"/>
          </w:tcPr>
          <w:p>
            <w:pPr>
              <w:spacing w:after="80" w:before="80" w:line="252" w:lineRule="auto"/>
            </w:pPr>
            <w:r>
              <w:rPr>
                <w:b w:val="0"/>
                <w:sz w:val="18"/>
              </w:rPr>
              <w:t>0.865709</w:t>
            </w:r>
          </w:p>
        </w:tc>
        <w:tc>
          <w:tcPr>
            <w:tcW w:type="dxa" w:w="2381"/>
          </w:tcPr>
          <w:p>
            <w:pPr>
              <w:spacing w:after="80" w:before="80" w:line="252" w:lineRule="auto"/>
            </w:pPr>
            <w:r>
              <w:rPr>
                <w:b w:val="0"/>
                <w:sz w:val="18"/>
              </w:rPr>
              <w:t>0.081454</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0.123059</w:t>
            </w:r>
          </w:p>
        </w:tc>
        <w:tc>
          <w:tcPr>
            <w:tcW w:type="dxa" w:w="2381"/>
          </w:tcPr>
          <w:p>
            <w:pPr>
              <w:spacing w:after="80" w:before="80" w:line="252" w:lineRule="auto"/>
            </w:pPr>
            <w:r>
              <w:rPr>
                <w:b w:val="0"/>
                <w:sz w:val="18"/>
              </w:rPr>
              <w:t>0.790706</w:t>
            </w:r>
          </w:p>
        </w:tc>
        <w:tc>
          <w:tcPr>
            <w:tcW w:type="dxa" w:w="2381"/>
          </w:tcPr>
          <w:p>
            <w:pPr>
              <w:spacing w:after="80" w:before="80" w:line="252" w:lineRule="auto"/>
            </w:pPr>
            <w:r>
              <w:rPr>
                <w:b w:val="0"/>
                <w:sz w:val="18"/>
              </w:rPr>
              <w:t>0.102202</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0.127843</w:t>
            </w:r>
          </w:p>
        </w:tc>
        <w:tc>
          <w:tcPr>
            <w:tcW w:type="dxa" w:w="2381"/>
          </w:tcPr>
          <w:p>
            <w:pPr>
              <w:spacing w:after="80" w:before="80" w:line="252" w:lineRule="auto"/>
            </w:pPr>
            <w:r>
              <w:rPr>
                <w:b w:val="0"/>
                <w:sz w:val="18"/>
              </w:rPr>
              <w:t>0.856951</w:t>
            </w:r>
          </w:p>
        </w:tc>
        <w:tc>
          <w:tcPr>
            <w:tcW w:type="dxa" w:w="2381"/>
          </w:tcPr>
          <w:p>
            <w:pPr>
              <w:spacing w:after="80" w:before="80" w:line="252" w:lineRule="auto"/>
            </w:pPr>
            <w:r>
              <w:rPr>
                <w:b w:val="0"/>
                <w:sz w:val="18"/>
              </w:rPr>
              <w:t>0.080738</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0.139762</w:t>
            </w:r>
          </w:p>
        </w:tc>
        <w:tc>
          <w:tcPr>
            <w:tcW w:type="dxa" w:w="2381"/>
          </w:tcPr>
          <w:p>
            <w:pPr>
              <w:spacing w:after="80" w:before="80" w:line="252" w:lineRule="auto"/>
            </w:pPr>
            <w:r>
              <w:rPr>
                <w:b w:val="0"/>
                <w:sz w:val="18"/>
              </w:rPr>
              <w:t>0.772908</w:t>
            </w:r>
          </w:p>
        </w:tc>
        <w:tc>
          <w:tcPr>
            <w:tcW w:type="dxa" w:w="2381"/>
          </w:tcPr>
          <w:p>
            <w:pPr>
              <w:spacing w:after="80" w:before="80" w:line="252" w:lineRule="auto"/>
            </w:pPr>
            <w:r>
              <w:rPr>
                <w:b w:val="0"/>
                <w:sz w:val="18"/>
              </w:rPr>
              <w:t>0.104861</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0.123986</w:t>
            </w:r>
          </w:p>
        </w:tc>
        <w:tc>
          <w:tcPr>
            <w:tcW w:type="dxa" w:w="2381"/>
          </w:tcPr>
          <w:p>
            <w:pPr>
              <w:spacing w:after="80" w:before="80" w:line="252" w:lineRule="auto"/>
            </w:pPr>
            <w:r>
              <w:rPr>
                <w:b w:val="0"/>
                <w:sz w:val="18"/>
              </w:rPr>
              <w:t>0.861330</w:t>
            </w:r>
          </w:p>
        </w:tc>
        <w:tc>
          <w:tcPr>
            <w:tcW w:type="dxa" w:w="2381"/>
          </w:tcPr>
          <w:p>
            <w:pPr>
              <w:spacing w:after="80" w:before="80" w:line="252" w:lineRule="auto"/>
            </w:pPr>
            <w:r>
              <w:rPr>
                <w:b w:val="0"/>
                <w:sz w:val="18"/>
              </w:rPr>
              <w:t>0.081096</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0.131411</w:t>
            </w:r>
          </w:p>
        </w:tc>
        <w:tc>
          <w:tcPr>
            <w:tcW w:type="dxa" w:w="2381"/>
          </w:tcPr>
          <w:p>
            <w:pPr>
              <w:spacing w:after="80" w:before="80" w:line="252" w:lineRule="auto"/>
            </w:pPr>
            <w:r>
              <w:rPr>
                <w:b w:val="0"/>
                <w:sz w:val="18"/>
              </w:rPr>
              <w:t>0.781807</w:t>
            </w:r>
          </w:p>
        </w:tc>
        <w:tc>
          <w:tcPr>
            <w:tcW w:type="dxa" w:w="2381"/>
          </w:tcPr>
          <w:p>
            <w:pPr>
              <w:spacing w:after="80" w:before="80" w:line="252" w:lineRule="auto"/>
            </w:pPr>
            <w:r>
              <w:rPr>
                <w:b w:val="0"/>
                <w:sz w:val="18"/>
              </w:rPr>
              <w:t>0.103531</w:t>
            </w:r>
          </w:p>
        </w:tc>
      </w:tr>
    </w:tbl>
    <w:p>
      <w:pPr>
        <w:spacing w:after="20"/>
      </w:pPr>
    </w:p>
    <w:p>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전체 처리 시간은 일괄 1회 115.1초, 순차 3회 합계 373.4초였다. 이 표는 한 합성 인물·두 시드의 예비 비교다.</w:t>
      </w:r>
    </w:p>
    <w:p>
      <w:r>
        <w:t>같은 웹 편집기에서 P01–P06의 합성 인물 6명에게 두 편집 방식을 세 번씩 적용하였다. 각 반복에서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원본 대비 ArcFace 코사인 유사도는 일괄 0.922054, 순차 0.713703으로 평균 차이는 0.208351이었다. 18쌍 모두와 인물별 평균 6명 모두에서 일괄 방식이 높았다.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회는 인물 내 반복 관측이다.</w:t>
      </w:r>
    </w:p>
    <w:p>
      <w:pPr>
        <w:pStyle w:val="Heading1"/>
      </w:pPr>
      <w:r>
        <w:t>6. 논의와 한계</w:t>
      </w:r>
    </w:p>
    <w:p>
      <w:r>
        <w:t>원본 기반 생성은 여러 비교에서 순차 편집보다 낮은 얼굴 원본 거리를 보였다. ArcFace에서도 원본 기반 재생성의 얼굴 특징 유사도가 18쌍 모두 높았다.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r>
        <w:t>웹 편집기 비교에는 합성 인물 6명과 인물당 세 번의 생성 반복을 사용했다. 후속 통제 비교에는 그중 3명이 포함되었다. 동일 인물의 반복과 정책 간 공유 출력은 종속된 관측값이다. 초기 생성기의 백엔드 버전과 시드는 확보되지 않았고, AI 등급은 동일 기반 모델의 편향을 공유할 수 있다. ROI 민감도 분석은 결과를 확인한 뒤 설계했다.</w:t>
      </w:r>
    </w:p>
    <w:p>
      <w:pPr>
        <w:pStyle w:val="Heading1"/>
      </w:pPr>
      <w:r>
        <w:t>7. 결론</w:t>
      </w:r>
    </w:p>
    <w:p>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SSIM과 ArcFace 얼굴 특징 유사도가 높았다. LPIPS·SSIM·ArcFace는 모든 쌍에서 같은 방향이었다.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r>
        <w:t>[9] J. Deng, J. Guo, N. Xue, and S. Zafeiriou. ArcFace: Additive Angular Margin Loss for Deep Face Recognition. CVPR, 2019. https://openaccess.thecvf.com/content_CVPR_2019/html/Deng_ArcFace_Additive_Angular_Margin_Loss_for_Deep_Face_Recognition_CVPR_2019_paper.html</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AI 평가는 experiments/followup-ai-v1/, 로컬 비교는 experiments/local-policy-v1/, 추가 민감도 분석은 experiments/local-policy-robustness-v1/, 웹 편집기의 예비 두 모드 비교는 experiments/studio-policy-v1/, 6인물 확대 비교와 ArcFace 원자료는 experiments/studio-multiperson-v1/에 있다. 본문 표와 원자료의 연결은 paper/evidence.json에 기록한다.</w:t>
      </w:r>
    </w:p>
    <w:p>
      <w:r>
        <w:t>코드·요약·지표·합성 이미지와 검증 기록을 저장소에 보존한다. 수치 분석은 명시된 의존성과 입력 이미지를 갖춘 환경에서 재실행할 수 있다. 모델 가중치와 실행 환경은 별도로 준비한다.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KoPubWorldDotum" w:hAnsi="KoPubWorldDotum" w:eastAsia="KoPubWorldDotum" w:cs="KoPubWorldDotum"/>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KoPubWorldDotum" w:hAnsi="KoPubWorldDotum" w:eastAsia="KoPubWorldDotum" w:cs="KoPubWorldDotum"/>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KoPubWorldDotum" w:hAnsi="KoPubWorldDotum" w:eastAsia="KoPubWorldDotum" w:cs="KoPubWorldDotum"/>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KoPubWorldDotum" w:hAnsi="KoPubWorldDotum" w:eastAsia="KoPubWorldDotum" w:cs="KoPubWorldDotum"/>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KoPubWorldDotum" w:hAnsi="KoPubWorldDotum" w:eastAsia="KoPubWorldDotum" w:cs="KoPubWorldDotum"/>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KoPubWorldDotum" w:hAnsi="KoPubWorldDotum" w:eastAsia="KoPubWorldDotum" w:cs="KoPubWorldDotum"/>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KoPubWorldDotum" w:hAnsi="KoPubWorldDotum" w:eastAsia="KoPubWorldDotum" w:cs="KoPubWorldDotum"/>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KoPubWorldDotum" w:hAnsi="KoPubWorldDotum" w:eastAsia="KoPubWorldDotum" w:cs="KoPubWorldDotum"/>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KoPubWorldDotum" w:hAnsi="KoPubWorldDotum" w:eastAsia="KoPubWorldDotum" w:cs="KoPubWorldDotum"/>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KoPubWorldDotum" w:hAnsi="KoPubWorldDotum" w:eastAsia="KoPubWorldDotum" w:cs="KoPubWorldDotum"/>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KoPubWorldDotum" w:hAnsi="KoPubWorldDotum" w:eastAsia="KoPubWorldDotum" w:cs="KoPubWorldDotum"/>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KoPubWorldDotum" w:hAnsi="KoPubWorldDotum" w:eastAsia="KoPubWorldDotum" w:cs="KoPubWorldDotum"/>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KoPubWorldDotum" w:hAnsi="KoPubWorldDotum" w:eastAsia="KoPubWorldDotum" w:cs="KoPubWorldDotum"/>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KoPubWorldDotum" w:hAnsi="KoPubWorldDotum" w:eastAsia="KoPubWorldDotum" w:cs="KoPubWorldDotum"/>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KoPubWorldDotum" w:hAnsi="KoPubWorldDotum" w:eastAsia="KoPubWorldDotum" w:cs="KoPubWorldDotum"/>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KoPubWorldDotum" w:hAnsi="KoPubWorldDotum" w:eastAsia="KoPubWorldDotum" w:cs="KoPubWorldDotum"/>
    </w:rPr>
  </w:style>
  <w:style w:type="paragraph" w:styleId="BodyText">
    <w:name w:val="Body Text"/>
    <w:basedOn w:val="Normal"/>
    <w:link w:val="BodyTextChar"/>
    <w:uiPriority w:val="99"/>
    <w:unhideWhenUsed/>
    <w:rsid w:val="00AA1D8D"/>
    <w:pPr>
      <w:spacing w:after="120"/>
    </w:pPr>
    <w:rPr>
      <w:rFonts w:ascii="KoPubWorldDotum" w:hAnsi="KoPubWorldDotum" w:eastAsia="KoPubWorldDotum" w:cs="KoPubWorldDotum"/>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KoPubWorldDotum" w:hAnsi="KoPubWorldDotum" w:eastAsia="KoPubWorldDotum" w:cs="KoPubWorldDotum"/>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KoPubWorldDotum" w:hAnsi="KoPubWorldDotum" w:eastAsia="KoPubWorldDotum" w:cs="KoPubWorldDotum"/>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KoPubWorldDotum" w:hAnsi="KoPubWorldDotum" w:eastAsia="KoPubWorldDotum" w:cs="KoPubWorldDotum"/>
    </w:rPr>
  </w:style>
  <w:style w:type="paragraph" w:styleId="List2">
    <w:name w:val="List 2"/>
    <w:basedOn w:val="Normal"/>
    <w:uiPriority w:val="99"/>
    <w:unhideWhenUsed/>
    <w:rsid w:val="00326F90"/>
    <w:pPr>
      <w:ind w:left="720" w:hanging="360"/>
      <w:contextualSpacing/>
    </w:pPr>
    <w:rPr>
      <w:rFonts w:ascii="KoPubWorldDotum" w:hAnsi="KoPubWorldDotum" w:eastAsia="KoPubWorldDotum" w:cs="KoPubWorldDotum"/>
    </w:rPr>
  </w:style>
  <w:style w:type="paragraph" w:styleId="List3">
    <w:name w:val="List 3"/>
    <w:basedOn w:val="Normal"/>
    <w:uiPriority w:val="99"/>
    <w:unhideWhenUsed/>
    <w:rsid w:val="00326F90"/>
    <w:pPr>
      <w:ind w:left="1080" w:hanging="360"/>
      <w:contextualSpacing/>
    </w:pPr>
    <w:rPr>
      <w:rFonts w:ascii="KoPubWorldDotum" w:hAnsi="KoPubWorldDotum" w:eastAsia="KoPubWorldDotum" w:cs="KoPubWorldDotum"/>
    </w:rPr>
  </w:style>
  <w:style w:type="paragraph" w:styleId="ListBullet">
    <w:name w:val="List Bullet"/>
    <w:basedOn w:val="Normal"/>
    <w:uiPriority w:val="99"/>
    <w:unhideWhenUsed/>
    <w:rsid w:val="00326F90"/>
    <w:pPr>
      <w:numPr>
        <w:numId w:val="1"/>
      </w:numPr>
      <w:contextualSpacing/>
    </w:pPr>
    <w:rPr>
      <w:rFonts w:ascii="KoPubWorldDotum" w:hAnsi="KoPubWorldDotum" w:eastAsia="KoPubWorldDotum" w:cs="KoPubWorldDotum"/>
    </w:rPr>
  </w:style>
  <w:style w:type="paragraph" w:styleId="ListBullet2">
    <w:name w:val="List Bullet 2"/>
    <w:basedOn w:val="Normal"/>
    <w:uiPriority w:val="99"/>
    <w:unhideWhenUsed/>
    <w:rsid w:val="00326F90"/>
    <w:pPr>
      <w:numPr>
        <w:numId w:val="2"/>
      </w:numPr>
      <w:contextualSpacing/>
    </w:pPr>
    <w:rPr>
      <w:rFonts w:ascii="KoPubWorldDotum" w:hAnsi="KoPubWorldDotum" w:eastAsia="KoPubWorldDotum" w:cs="KoPubWorldDotum"/>
    </w:rPr>
  </w:style>
  <w:style w:type="paragraph" w:styleId="ListBullet3">
    <w:name w:val="List Bullet 3"/>
    <w:basedOn w:val="Normal"/>
    <w:uiPriority w:val="99"/>
    <w:unhideWhenUsed/>
    <w:rsid w:val="00326F90"/>
    <w:pPr>
      <w:numPr>
        <w:numId w:val="3"/>
      </w:numPr>
      <w:contextualSpacing/>
    </w:pPr>
    <w:rPr>
      <w:rFonts w:ascii="KoPubWorldDotum" w:hAnsi="KoPubWorldDotum" w:eastAsia="KoPubWorldDotum" w:cs="KoPubWorldDotum"/>
    </w:rPr>
  </w:style>
  <w:style w:type="paragraph" w:styleId="ListNumber">
    <w:name w:val="List Number"/>
    <w:basedOn w:val="Normal"/>
    <w:uiPriority w:val="99"/>
    <w:unhideWhenUsed/>
    <w:rsid w:val="00326F90"/>
    <w:pPr>
      <w:numPr>
        <w:numId w:val="5"/>
      </w:numPr>
      <w:contextualSpacing/>
    </w:pPr>
    <w:rPr>
      <w:rFonts w:ascii="KoPubWorldDotum" w:hAnsi="KoPubWorldDotum" w:eastAsia="KoPubWorldDotum" w:cs="KoPubWorldDotum"/>
    </w:rPr>
  </w:style>
  <w:style w:type="paragraph" w:styleId="ListNumber2">
    <w:name w:val="List Number 2"/>
    <w:basedOn w:val="Normal"/>
    <w:uiPriority w:val="99"/>
    <w:unhideWhenUsed/>
    <w:rsid w:val="0029639D"/>
    <w:pPr>
      <w:numPr>
        <w:numId w:val="6"/>
      </w:numPr>
      <w:contextualSpacing/>
    </w:pPr>
    <w:rPr>
      <w:rFonts w:ascii="KoPubWorldDotum" w:hAnsi="KoPubWorldDotum" w:eastAsia="KoPubWorldDotum" w:cs="KoPubWorldDotum"/>
    </w:rPr>
  </w:style>
  <w:style w:type="paragraph" w:styleId="ListNumber3">
    <w:name w:val="List Number 3"/>
    <w:basedOn w:val="Normal"/>
    <w:uiPriority w:val="99"/>
    <w:unhideWhenUsed/>
    <w:rsid w:val="0029639D"/>
    <w:pPr>
      <w:numPr>
        <w:numId w:val="7"/>
      </w:numPr>
      <w:contextualSpacing/>
    </w:pPr>
    <w:rPr>
      <w:rFonts w:ascii="KoPubWorldDotum" w:hAnsi="KoPubWorldDotum" w:eastAsia="KoPubWorldDotum" w:cs="KoPubWorldDotum"/>
    </w:rPr>
  </w:style>
  <w:style w:type="paragraph" w:styleId="ListContinue">
    <w:name w:val="List Continue"/>
    <w:basedOn w:val="Normal"/>
    <w:uiPriority w:val="99"/>
    <w:unhideWhenUsed/>
    <w:rsid w:val="0029639D"/>
    <w:pPr>
      <w:spacing w:after="120"/>
      <w:ind w:left="360"/>
      <w:contextualSpacing/>
    </w:pPr>
    <w:rPr>
      <w:rFonts w:ascii="KoPubWorldDotum" w:hAnsi="KoPubWorldDotum" w:eastAsia="KoPubWorldDotum" w:cs="KoPubWorldDotum"/>
    </w:rPr>
  </w:style>
  <w:style w:type="paragraph" w:styleId="ListContinue2">
    <w:name w:val="List Continue 2"/>
    <w:basedOn w:val="Normal"/>
    <w:uiPriority w:val="99"/>
    <w:unhideWhenUsed/>
    <w:rsid w:val="0029639D"/>
    <w:pPr>
      <w:spacing w:after="120"/>
      <w:ind w:left="720"/>
      <w:contextualSpacing/>
    </w:pPr>
    <w:rPr>
      <w:rFonts w:ascii="KoPubWorldDotum" w:hAnsi="KoPubWorldDotum" w:eastAsia="KoPubWorldDotum" w:cs="KoPubWorldDotum"/>
    </w:rPr>
  </w:style>
  <w:style w:type="paragraph" w:styleId="ListContinue3">
    <w:name w:val="List Continue 3"/>
    <w:basedOn w:val="Normal"/>
    <w:uiPriority w:val="99"/>
    <w:unhideWhenUsed/>
    <w:rsid w:val="0029639D"/>
    <w:pPr>
      <w:spacing w:after="120"/>
      <w:ind w:left="1080"/>
      <w:contextualSpacing/>
    </w:pPr>
    <w:rPr>
      <w:rFonts w:ascii="KoPubWorldDotum" w:hAnsi="KoPubWorldDotum" w:eastAsia="KoPubWorldDotum" w:cs="KoPubWorldDotum"/>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KoPubWorldDotum" w:hAnsi="KoPubWorldDotum" w:eastAsia="KoPubWorldDotum" w:cs="KoPubWorldDotum"/>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KoPubWorldDotum" w:hAnsi="KoPubWorldDotum" w:eastAsia="KoPubWorldDotum" w:cs="KoPubWorldDotum"/>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KoPubWorldDotum" w:hAnsi="KoPubWorldDotum" w:eastAsia="KoPubWorldDotum" w:cs="KoPubWorldDotum"/>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KoPubWorldDotum" w:hAnsi="KoPubWorldDotum" w:eastAsia="KoPubWorldDotum" w:cs="KoPubWorldDotum"/>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KoPubWorldDotum" w:hAnsi="KoPubWorldDotum" w:eastAsia="KoPubWorldDotum" w:cs="KoPubWorldDotum"/>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