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6명·3시드로 확장한 18쌍에서 평균 얼굴 LPIPS는 일괄 0.087120, 순차 0.108710이었으며, 일괄 방식이 18쌍 모두 낮았다. 실험 결과는 원본 기반 입력 정책의 효과가 측정 영역과 지표에 따라 달라짐을 보여주며, 누적 요구사항을 관리하는 편집기의 구현 근거를 제공한다.</w:t>
      </w:r>
    </w:p>
    <w:p>
      <w:r>
        <w:t>주요어: 순차 이미지 편집, 얼굴 보존, 원본 기반 재생성, 지각 유사도, 탐색적 평가</w:t>
      </w:r>
    </w:p>
    <w:p>
      <w:pPr>
        <w:pStyle w:val="Heading1"/>
      </w:pPr>
      <w:r>
        <w:t>1. 서론</w:t>
      </w:r>
    </w:p>
    <w:p>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r>
        <w:t>본 연구의 기여는 세 가지다. 입력 정책과 후속 통제 실험을 연결한 탐색적 기록을 제시하고, 거리·열화·보존·요청 이행을 분리하여 결과를 해석하며, 피부 내부 영역의 민감도 분석을 제공한다. 표본 규모와 생성 조건에는 제한이 있으므로 결과는 가설 형성 및 후속 실험 설계의 근거로 사용한다.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3. 연구 설계</w:t>
      </w:r>
    </w:p>
    <w:p>
      <w:pPr>
        <w:pStyle w:val="Heading2"/>
      </w:pPr>
      <w:r>
        <w:t>3.1 자료 범위와 분석 단위</w:t>
      </w:r>
    </w:p>
    <w:p>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7경로; 수치 분석 고유 113개</w:t>
            </w:r>
          </w:p>
        </w:tc>
        <w:tc>
          <w:tcPr>
            <w:tcW w:type="dxa" w:w="3175"/>
          </w:tcPr>
          <w:p>
            <w:pPr>
              <w:spacing w:after="80" w:before="80" w:line="252" w:lineRule="auto"/>
            </w:pPr>
            <w:r>
              <w:rPr>
                <w:b w:val="0"/>
                <w:sz w:val="18"/>
              </w:rPr>
              <w:t>AI 고유 111개·두 세션</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기존 출력의 지표 재분석</w:t>
            </w:r>
          </w:p>
        </w:tc>
      </w:tr>
      <w:tr>
        <w:trPr>
          <w:cantSplit/>
        </w:trPr>
        <w:tc>
          <w:tcPr>
            <w:tcW w:type="dxa" w:w="3175"/>
          </w:tcPr>
          <w:p>
            <w:pPr>
              <w:spacing w:after="80" w:before="80" w:line="252" w:lineRule="auto"/>
            </w:pPr>
            <w:r>
              <w:rPr>
                <w:b w:val="0"/>
                <w:sz w:val="18"/>
              </w:rPr>
              <w:t>웹 편집기 정책 비교</w:t>
            </w:r>
          </w:p>
        </w:tc>
        <w:tc>
          <w:tcPr>
            <w:tcW w:type="dxa" w:w="3175"/>
          </w:tcPr>
          <w:p>
            <w:pPr>
              <w:spacing w:after="80" w:before="80" w:line="252" w:lineRule="auto"/>
            </w:pPr>
            <w:r>
              <w:rPr>
                <w:b w:val="0"/>
                <w:sz w:val="18"/>
              </w:rPr>
              <w:t>P04 예비 2시드·8개 출력; 6인물 확장 3시드·72개 출력</w:t>
            </w:r>
          </w:p>
        </w:tc>
        <w:tc>
          <w:tcPr>
            <w:tcW w:type="dxa" w:w="3175"/>
          </w:tcPr>
          <w:p>
            <w:pPr>
              <w:spacing w:after="80" w:before="80" w:line="252" w:lineRule="auto"/>
            </w:pPr>
            <w:r>
              <w:rPr>
                <w:b w:val="0"/>
                <w:sz w:val="18"/>
              </w:rPr>
              <w:t>자동 지표 분석</w:t>
            </w:r>
          </w:p>
        </w:tc>
      </w:tr>
    </w:tbl>
    <w:p>
      <w:pPr>
        <w:spacing w:after="20"/>
      </w:pPr>
    </w:p>
    <w:p>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3.4 AI 평가</w:t>
      </w:r>
    </w:p>
    <w:p>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r>
        <w:t>로컬 영역 민감도 분석은 고정 얼굴 결과를 확인한 후 설계한 사후 분석이다. 모든 보정 설정을 인물과 시드별 기술 통계로 비교하였다.</w:t>
      </w:r>
    </w:p>
    <w:p>
      <w:pPr>
        <w:pStyle w:val="Heading1"/>
      </w:pPr>
      <w:r>
        <w:t>4. 결과</w:t>
      </w:r>
    </w:p>
    <w:p>
      <w:pPr>
        <w:pStyle w:val="Heading2"/>
      </w:pPr>
      <w:r>
        <w:t>4.1 초기 순차 경로와 원본 기반 정책</w:t>
      </w:r>
    </w:p>
    <w:p>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4.2 후속 통제 실험</w:t>
      </w:r>
    </w:p>
    <w:p>
      <w:r>
        <w:t>세 인물의 후속 비교에서 일괄 방식의 평균 얼굴 LPIPS가 순차 방식보다 낮았다. P04 값은 편집 순서 실험의 일괄 및 셔츠→배경→핀 경로를 기준으로 하였다.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4.3 AI 등급</w:t>
      </w:r>
    </w:p>
    <w:p>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pPr>
      <w:r>
        <w:t>표 4. 후속 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초기 AI 두 세션의 정확 일치율은 89.19%, 선형 가중 κ는 0.897이었다.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4.5 영역과 위치 보정에 따른 차이</w:t>
      </w:r>
    </w:p>
    <w:p>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5.1 웹 편집기의 입력 정책 비교</w:t>
      </w:r>
    </w:p>
    <w:p>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pPr>
      <w:r>
        <w:t>표 7. 웹 편집기 두 모드의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0.120129</w:t>
            </w:r>
          </w:p>
        </w:tc>
        <w:tc>
          <w:tcPr>
            <w:tcW w:type="dxa" w:w="2381"/>
          </w:tcPr>
          <w:p>
            <w:pPr>
              <w:spacing w:after="80" w:before="80" w:line="252" w:lineRule="auto"/>
            </w:pPr>
            <w:r>
              <w:rPr>
                <w:b w:val="0"/>
                <w:sz w:val="18"/>
              </w:rPr>
              <w:t>0.865709</w:t>
            </w:r>
          </w:p>
        </w:tc>
        <w:tc>
          <w:tcPr>
            <w:tcW w:type="dxa" w:w="2381"/>
          </w:tcPr>
          <w:p>
            <w:pPr>
              <w:spacing w:after="80" w:before="80" w:line="252" w:lineRule="auto"/>
            </w:pPr>
            <w:r>
              <w:rPr>
                <w:b w:val="0"/>
                <w:sz w:val="18"/>
              </w:rPr>
              <w:t>0.081454</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0.123059</w:t>
            </w:r>
          </w:p>
        </w:tc>
        <w:tc>
          <w:tcPr>
            <w:tcW w:type="dxa" w:w="2381"/>
          </w:tcPr>
          <w:p>
            <w:pPr>
              <w:spacing w:after="80" w:before="80" w:line="252" w:lineRule="auto"/>
            </w:pPr>
            <w:r>
              <w:rPr>
                <w:b w:val="0"/>
                <w:sz w:val="18"/>
              </w:rPr>
              <w:t>0.790706</w:t>
            </w:r>
          </w:p>
        </w:tc>
        <w:tc>
          <w:tcPr>
            <w:tcW w:type="dxa" w:w="2381"/>
          </w:tcPr>
          <w:p>
            <w:pPr>
              <w:spacing w:after="80" w:before="80" w:line="252" w:lineRule="auto"/>
            </w:pPr>
            <w:r>
              <w:rPr>
                <w:b w:val="0"/>
                <w:sz w:val="18"/>
              </w:rPr>
              <w:t>0.102202</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0.127843</w:t>
            </w:r>
          </w:p>
        </w:tc>
        <w:tc>
          <w:tcPr>
            <w:tcW w:type="dxa" w:w="2381"/>
          </w:tcPr>
          <w:p>
            <w:pPr>
              <w:spacing w:after="80" w:before="80" w:line="252" w:lineRule="auto"/>
            </w:pPr>
            <w:r>
              <w:rPr>
                <w:b w:val="0"/>
                <w:sz w:val="18"/>
              </w:rPr>
              <w:t>0.856951</w:t>
            </w:r>
          </w:p>
        </w:tc>
        <w:tc>
          <w:tcPr>
            <w:tcW w:type="dxa" w:w="2381"/>
          </w:tcPr>
          <w:p>
            <w:pPr>
              <w:spacing w:after="80" w:before="80" w:line="252" w:lineRule="auto"/>
            </w:pPr>
            <w:r>
              <w:rPr>
                <w:b w:val="0"/>
                <w:sz w:val="18"/>
              </w:rPr>
              <w:t>0.080738</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0.139762</w:t>
            </w:r>
          </w:p>
        </w:tc>
        <w:tc>
          <w:tcPr>
            <w:tcW w:type="dxa" w:w="2381"/>
          </w:tcPr>
          <w:p>
            <w:pPr>
              <w:spacing w:after="80" w:before="80" w:line="252" w:lineRule="auto"/>
            </w:pPr>
            <w:r>
              <w:rPr>
                <w:b w:val="0"/>
                <w:sz w:val="18"/>
              </w:rPr>
              <w:t>0.772908</w:t>
            </w:r>
          </w:p>
        </w:tc>
        <w:tc>
          <w:tcPr>
            <w:tcW w:type="dxa" w:w="2381"/>
          </w:tcPr>
          <w:p>
            <w:pPr>
              <w:spacing w:after="80" w:before="80" w:line="252" w:lineRule="auto"/>
            </w:pPr>
            <w:r>
              <w:rPr>
                <w:b w:val="0"/>
                <w:sz w:val="18"/>
              </w:rPr>
              <w:t>0.104861</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0.123986</w:t>
            </w:r>
          </w:p>
        </w:tc>
        <w:tc>
          <w:tcPr>
            <w:tcW w:type="dxa" w:w="2381"/>
          </w:tcPr>
          <w:p>
            <w:pPr>
              <w:spacing w:after="80" w:before="80" w:line="252" w:lineRule="auto"/>
            </w:pPr>
            <w:r>
              <w:rPr>
                <w:b w:val="0"/>
                <w:sz w:val="18"/>
              </w:rPr>
              <w:t>0.861330</w:t>
            </w:r>
          </w:p>
        </w:tc>
        <w:tc>
          <w:tcPr>
            <w:tcW w:type="dxa" w:w="2381"/>
          </w:tcPr>
          <w:p>
            <w:pPr>
              <w:spacing w:after="80" w:before="80" w:line="252" w:lineRule="auto"/>
            </w:pPr>
            <w:r>
              <w:rPr>
                <w:b w:val="0"/>
                <w:sz w:val="18"/>
              </w:rPr>
              <w:t>0.081096</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0.131411</w:t>
            </w:r>
          </w:p>
        </w:tc>
        <w:tc>
          <w:tcPr>
            <w:tcW w:type="dxa" w:w="2381"/>
          </w:tcPr>
          <w:p>
            <w:pPr>
              <w:spacing w:after="80" w:before="80" w:line="252" w:lineRule="auto"/>
            </w:pPr>
            <w:r>
              <w:rPr>
                <w:b w:val="0"/>
                <w:sz w:val="18"/>
              </w:rPr>
              <w:t>0.781807</w:t>
            </w:r>
          </w:p>
        </w:tc>
        <w:tc>
          <w:tcPr>
            <w:tcW w:type="dxa" w:w="2381"/>
          </w:tcPr>
          <w:p>
            <w:pPr>
              <w:spacing w:after="80" w:before="80" w:line="252" w:lineRule="auto"/>
            </w:pPr>
            <w:r>
              <w:rPr>
                <w:b w:val="0"/>
                <w:sz w:val="18"/>
              </w:rPr>
              <w:t>0.103531</w:t>
            </w:r>
          </w:p>
        </w:tc>
      </w:tr>
    </w:tbl>
    <w:p>
      <w:pPr>
        <w:spacing w:after="20"/>
      </w:pPr>
    </w:p>
    <w:p>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r>
        <w:t>같은 웹 생성 경로를 P01–P06의 합성 인물 6명과 시드 42·314·2026으로 확장하였다. 인물·시드마다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시드는 인물 내 반복 관측이다. 얼굴 원본 거리의 우세를 요청 이행이나 전체 화질의 우세로 해석하지 않았다.</w:t>
      </w:r>
    </w:p>
    <w:p>
      <w:pPr>
        <w:pStyle w:val="Heading1"/>
      </w:pPr>
      <w:r>
        <w:t>6. 논의와 한계</w:t>
      </w:r>
    </w:p>
    <w:p>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r>
        <w:t>자료는 합성 인물 6명에 집중되어 있으며 후속 비교는 그중 3명, 웹 편집기 확대 비교는 기존 6명과 인물당 세 시드로 구성되었다. 동일 인물의 반복과 정책 간 공유 출력에 따른 종속성이 존재한다. 초기 생성기의 백엔드 버전·시드 불확실성과 사후에 설계한 ROI 민감도 분석도 해석 범위를 제한한다. AI 등급은 동일 기반 모델의 편향을 공유할 수 있다. 웹 편집기 확대 비교 결과는 해당 6명의 가상 인물, 단일 모델, 동일한 세 편집 요청 및 얼굴 거리 지표에 적용된다.</w:t>
      </w:r>
    </w:p>
    <w:p>
      <w:pPr>
        <w:pStyle w:val="Heading1"/>
      </w:pPr>
      <w:r>
        <w:t>7. 결론</w:t>
      </w:r>
    </w:p>
    <w:p>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SSIM이 높았다. LPIPS와 SSIM은 모든 쌍에서 같은 방향이었다.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AI 평가는 experiments/followup-ai-v1/, 로컬 비교는 experiments/local-policy-v1/, 추가 민감도 분석은 experiments/local-policy-robustness-v1/, 웹 편집기의 예비 두 모드 비교는 experiments/studio-policy-v1/, 6인물 확대 비교는 experiments/studio-multiperson-v1/에 있다. 본문 표와 원자료의 연결은 paper/evidence.json에 기록한다.</w:t>
      </w:r>
    </w:p>
    <w:p>
      <w:r>
        <w:t>코드·요약·지표·합성 이미지와 검증 기록을 저장소에 보존한다. 수치 분석은 명시된 의존성과 입력 이미지를 갖춘 환경에서 재실행할 수 있다. 모델 가중치와 실행 환경은 별도로 준비한다.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Noto Sans CJK KR" w:hAnsi="Noto Sans CJK KR" w:eastAsia="Noto Sans CJK KR" w:cs="Noto Sans CJK KR"/>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Noto Sans CJK KR" w:hAnsi="Noto Sans CJK KR" w:eastAsia="Noto Sans CJK KR" w:cs="Noto Sans CJK KR"/>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Noto Sans CJK KR" w:hAnsi="Noto Sans CJK KR" w:eastAsia="Noto Sans CJK KR" w:cs="Noto Sans CJK KR"/>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Noto Sans CJK KR" w:hAnsi="Noto Sans CJK KR" w:eastAsia="Noto Sans CJK KR" w:cs="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Noto Sans CJK KR" w:hAnsi="Noto Sans CJK KR" w:eastAsia="Noto Sans CJK KR" w:cs="Noto Sans CJK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Noto Sans CJK KR" w:hAnsi="Noto Sans CJK KR" w:eastAsia="Noto Sans CJK KR" w:cs="Noto Sans CJK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Noto Sans CJK KR" w:hAnsi="Noto Sans CJK KR" w:eastAsia="Noto Sans CJK KR" w:cs="Noto Sans CJK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Noto Sans CJK KR" w:hAnsi="Noto Sans CJK KR" w:eastAsia="Noto Sans CJK KR" w:cs="Noto Sans CJK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Noto Sans CJK KR" w:hAnsi="Noto Sans CJK KR" w:eastAsia="Noto Sans CJK KR" w:cs="Noto Sans CJK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Noto Sans CJK KR" w:hAnsi="Noto Sans CJK KR" w:eastAsia="Noto Sans CJK KR" w:cs="Noto Sans CJK K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CJK KR" w:hAnsi="Noto Sans CJK KR" w:eastAsia="Noto Sans CJK KR" w:cs="Noto Sans CJK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Noto Sans CJK KR" w:hAnsi="Noto Sans CJK KR" w:eastAsia="Noto Sans CJK KR" w:cs="Noto Sans CJK KR"/>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Noto Sans CJK KR" w:hAnsi="Noto Sans CJK KR" w:eastAsia="Noto Sans CJK KR" w:cs="Noto Sans CJK KR"/>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KR" w:hAnsi="Noto Sans CJK KR" w:eastAsia="Noto Sans CJK KR" w:cs="Noto Sans CJK KR"/>
    </w:rPr>
  </w:style>
  <w:style w:type="paragraph" w:styleId="BodyText">
    <w:name w:val="Body Text"/>
    <w:basedOn w:val="Normal"/>
    <w:link w:val="BodyTextChar"/>
    <w:uiPriority w:val="99"/>
    <w:unhideWhenUsed/>
    <w:rsid w:val="00AA1D8D"/>
    <w:pPr>
      <w:spacing w:after="120"/>
    </w:pPr>
    <w:rPr>
      <w:rFonts w:ascii="Noto Sans CJK KR" w:hAnsi="Noto Sans CJK KR" w:eastAsia="Noto Sans CJK KR" w:cs="Noto Sans CJK 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oto Sans CJK KR" w:hAnsi="Noto Sans CJK KR" w:eastAsia="Noto Sans CJK KR" w:cs="Noto Sans CJK 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oto Sans CJK KR" w:hAnsi="Noto Sans CJK KR" w:eastAsia="Noto Sans CJK KR" w:cs="Noto Sans CJK K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oto Sans CJK KR" w:hAnsi="Noto Sans CJK KR" w:eastAsia="Noto Sans CJK KR" w:cs="Noto Sans CJK KR"/>
    </w:rPr>
  </w:style>
  <w:style w:type="paragraph" w:styleId="List2">
    <w:name w:val="List 2"/>
    <w:basedOn w:val="Normal"/>
    <w:uiPriority w:val="99"/>
    <w:unhideWhenUsed/>
    <w:rsid w:val="00326F90"/>
    <w:pPr>
      <w:ind w:left="720" w:hanging="360"/>
      <w:contextualSpacing/>
    </w:pPr>
    <w:rPr>
      <w:rFonts w:ascii="Noto Sans CJK KR" w:hAnsi="Noto Sans CJK KR" w:eastAsia="Noto Sans CJK KR" w:cs="Noto Sans CJK KR"/>
    </w:rPr>
  </w:style>
  <w:style w:type="paragraph" w:styleId="List3">
    <w:name w:val="List 3"/>
    <w:basedOn w:val="Normal"/>
    <w:uiPriority w:val="99"/>
    <w:unhideWhenUsed/>
    <w:rsid w:val="00326F90"/>
    <w:pPr>
      <w:ind w:left="1080" w:hanging="360"/>
      <w:contextualSpacing/>
    </w:pPr>
    <w:rPr>
      <w:rFonts w:ascii="Noto Sans CJK KR" w:hAnsi="Noto Sans CJK KR" w:eastAsia="Noto Sans CJK KR" w:cs="Noto Sans CJK KR"/>
    </w:r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cs="Noto Sans CJK KR"/>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cs="Noto Sans CJK KR"/>
    </w:rPr>
  </w:style>
  <w:style w:type="paragraph" w:styleId="ListBullet3">
    <w:name w:val="List Bullet 3"/>
    <w:basedOn w:val="Normal"/>
    <w:uiPriority w:val="99"/>
    <w:unhideWhenUsed/>
    <w:rsid w:val="00326F90"/>
    <w:pPr>
      <w:numPr>
        <w:numId w:val="3"/>
      </w:numPr>
      <w:contextualSpacing/>
    </w:pPr>
    <w:rPr>
      <w:rFonts w:ascii="Noto Sans CJK KR" w:hAnsi="Noto Sans CJK KR" w:eastAsia="Noto Sans CJK KR" w:cs="Noto Sans CJK KR"/>
    </w:r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cs="Noto Sans CJK KR"/>
    </w:rPr>
  </w:style>
  <w:style w:type="paragraph" w:styleId="ListNumber2">
    <w:name w:val="List Number 2"/>
    <w:basedOn w:val="Normal"/>
    <w:uiPriority w:val="99"/>
    <w:unhideWhenUsed/>
    <w:rsid w:val="0029639D"/>
    <w:pPr>
      <w:numPr>
        <w:numId w:val="6"/>
      </w:numPr>
      <w:contextualSpacing/>
    </w:pPr>
    <w:rPr>
      <w:rFonts w:ascii="Noto Sans CJK KR" w:hAnsi="Noto Sans CJK KR" w:eastAsia="Noto Sans CJK KR" w:cs="Noto Sans CJK KR"/>
    </w:rPr>
  </w:style>
  <w:style w:type="paragraph" w:styleId="ListNumber3">
    <w:name w:val="List Number 3"/>
    <w:basedOn w:val="Normal"/>
    <w:uiPriority w:val="99"/>
    <w:unhideWhenUsed/>
    <w:rsid w:val="0029639D"/>
    <w:pPr>
      <w:numPr>
        <w:numId w:val="7"/>
      </w:numPr>
      <w:contextualSpacing/>
    </w:pPr>
    <w:rPr>
      <w:rFonts w:ascii="Noto Sans CJK KR" w:hAnsi="Noto Sans CJK KR" w:eastAsia="Noto Sans CJK KR" w:cs="Noto Sans CJK KR"/>
    </w:rPr>
  </w:style>
  <w:style w:type="paragraph" w:styleId="ListContinue">
    <w:name w:val="List Continue"/>
    <w:basedOn w:val="Normal"/>
    <w:uiPriority w:val="99"/>
    <w:unhideWhenUsed/>
    <w:rsid w:val="0029639D"/>
    <w:pPr>
      <w:spacing w:after="120"/>
      <w:ind w:left="360"/>
      <w:contextualSpacing/>
    </w:pPr>
    <w:rPr>
      <w:rFonts w:ascii="Noto Sans CJK KR" w:hAnsi="Noto Sans CJK KR" w:eastAsia="Noto Sans CJK KR" w:cs="Noto Sans CJK KR"/>
    </w:rPr>
  </w:style>
  <w:style w:type="paragraph" w:styleId="ListContinue2">
    <w:name w:val="List Continue 2"/>
    <w:basedOn w:val="Normal"/>
    <w:uiPriority w:val="99"/>
    <w:unhideWhenUsed/>
    <w:rsid w:val="0029639D"/>
    <w:pPr>
      <w:spacing w:after="120"/>
      <w:ind w:left="720"/>
      <w:contextualSpacing/>
    </w:pPr>
    <w:rPr>
      <w:rFonts w:ascii="Noto Sans CJK KR" w:hAnsi="Noto Sans CJK KR" w:eastAsia="Noto Sans CJK KR" w:cs="Noto Sans CJK KR"/>
    </w:rPr>
  </w:style>
  <w:style w:type="paragraph" w:styleId="ListContinue3">
    <w:name w:val="List Continue 3"/>
    <w:basedOn w:val="Normal"/>
    <w:uiPriority w:val="99"/>
    <w:unhideWhenUsed/>
    <w:rsid w:val="0029639D"/>
    <w:pPr>
      <w:spacing w:after="120"/>
      <w:ind w:left="1080"/>
      <w:contextualSpacing/>
    </w:pPr>
    <w:rPr>
      <w:rFonts w:ascii="Noto Sans CJK KR" w:hAnsi="Noto Sans CJK KR" w:eastAsia="Noto Sans CJK KR" w:cs="Noto Sans CJK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KR" w:hAnsi="Noto Sans CJK KR" w:eastAsia="Noto Sans CJK KR" w:cs="Noto Sans CJK K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oto Sans CJK KR" w:hAnsi="Noto Sans CJK KR" w:eastAsia="Noto Sans CJK KR" w:cs="Noto Sans CJK K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eastAsia="Noto Sans CJK KR" w:cs="Noto Sans CJK KR"/>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oto Sans CJK KR" w:hAnsi="Noto Sans CJK KR" w:eastAsia="Noto Sans CJK KR" w:cs="Noto Sans CJK K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KR" w:hAnsi="Noto Sans CJK KR" w:eastAsia="Noto Sans CJK KR" w:cs="Noto Sans CJK 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