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6명·3시드로 확장한 18쌍에서 평균 얼굴 LPIPS는 일괄 0.087120, 순차 0.108710이었으며, 일괄 방식이 18쌍 모두 낮았다.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예비 2시드·8개 출력; 6인물 확장 3시드·72개 출력</w:t>
            </w:r>
          </w:p>
        </w:tc>
        <w:tc>
          <w:tcPr>
            <w:tcW w:type="dxa" w:w="3175"/>
          </w:tcPr>
          <w:p>
            <w:pPr>
              <w:spacing w:after="80" w:before="80" w:line="252" w:lineRule="auto"/>
            </w:pPr>
            <w:r>
              <w:rPr>
                <w:b w:val="0"/>
                <w:sz w:val="18"/>
              </w:rPr>
              <w:t>자동 지표 분석</w:t>
            </w:r>
          </w:p>
        </w:tc>
      </w:tr>
    </w:tbl>
    <w:p>
      <w:pPr>
        <w:spacing w:after="20"/>
      </w:pPr>
    </w:p>
    <w:p>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로컬 영역 민감도 분석은 고정 얼굴 결과를 확인한 후 설계한 사후 분석이다. 모든 보정 설정을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세션의 정확 일치율은 89.19%, 선형 가중 κ는 0.897이었다.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영역과 위치 보정에 따른 차이</w:t>
      </w:r>
    </w:p>
    <w:p>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5.1 웹 편집기의 입력 정책 비교</w:t>
      </w:r>
    </w:p>
    <w:p>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r>
        <w:t>같은 웹 생성 경로를 P01–P06의 합성 인물 6명과 시드 42·314·2026으로 확장하였다. 인물·시드마다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시드는 인물 내 반복 관측이다.</w:t>
      </w:r>
    </w:p>
    <w:p>
      <w:pPr>
        <w:pStyle w:val="Heading1"/>
      </w:pPr>
      <w:r>
        <w:t>6. 논의와 한계</w:t>
      </w:r>
    </w:p>
    <w:p>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SSIM이 높았다. LPIPS와 SSIM은 모든 쌍에서 같은 방향이었다.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예비 두 모드 비교는 experiments/studio-policy-v1/, 6인물 확대 비교는 experiments/studio-multiperson-v1/에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