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10065"/>
      </w:tblGrid>
      <w:tr w:rsidR="005011CE" w:rsidRPr="00344D09" w14:paraId="157377CE" w14:textId="77777777" w:rsidTr="007658A8">
        <w:tc>
          <w:tcPr>
            <w:tcW w:w="10065" w:type="dxa"/>
            <w:tcBorders>
              <w:top w:val="none" w:sz="0" w:space="0" w:color="FFFFFF"/>
              <w:left w:val="none" w:sz="0" w:space="0" w:color="FFFFFF"/>
              <w:bottom w:val="none" w:sz="0" w:space="0" w:color="FFFFFF"/>
              <w:right w:val="none" w:sz="0" w:space="0" w:color="FFFFFF"/>
            </w:tcBorders>
            <w:shd w:val="clear" w:color="auto" w:fill="000000" w:themeFill="text1"/>
            <w:tcMar>
              <w:top w:w="220" w:type="dxa"/>
              <w:left w:w="300" w:type="dxa"/>
              <w:bottom w:w="220" w:type="dxa"/>
              <w:right w:w="300" w:type="dxa"/>
            </w:tcMar>
          </w:tcPr>
          <w:p w14:paraId="6B1996EC" w14:textId="77777777" w:rsidR="005011CE" w:rsidRPr="00344D09" w:rsidRDefault="00000000">
            <w:pPr>
              <w:spacing w:before="20" w:after="30"/>
              <w:rPr>
                <w:sz w:val="24"/>
                <w:szCs w:val="24"/>
              </w:rPr>
            </w:pPr>
            <w:proofErr w:type="spellStart"/>
            <w:r w:rsidRPr="00344D09">
              <w:rPr>
                <w:rFonts w:eastAsia="Arial"/>
                <w:b/>
                <w:bCs/>
                <w:color w:val="FFFFFF"/>
                <w:sz w:val="24"/>
                <w:szCs w:val="24"/>
              </w:rPr>
              <w:t>MotoChain</w:t>
            </w:r>
            <w:proofErr w:type="spellEnd"/>
            <w:r w:rsidRPr="00344D09">
              <w:rPr>
                <w:rFonts w:eastAsia="Arial"/>
                <w:b/>
                <w:bCs/>
                <w:color w:val="FFFFFF"/>
                <w:sz w:val="24"/>
                <w:szCs w:val="24"/>
              </w:rPr>
              <w:t xml:space="preserve"> &amp; </w:t>
            </w:r>
            <w:proofErr w:type="spellStart"/>
            <w:r w:rsidRPr="00344D09">
              <w:rPr>
                <w:rFonts w:eastAsia="Arial"/>
                <w:b/>
                <w:bCs/>
                <w:color w:val="FFFFFF"/>
                <w:sz w:val="24"/>
                <w:szCs w:val="24"/>
              </w:rPr>
              <w:t>RideTrue</w:t>
            </w:r>
            <w:proofErr w:type="spellEnd"/>
          </w:p>
          <w:p w14:paraId="0BA7F77E" w14:textId="6BEA14AB" w:rsidR="005011CE" w:rsidRPr="00930C43" w:rsidRDefault="00000000" w:rsidP="00FD4EDA">
            <w:pPr>
              <w:spacing w:before="50" w:after="50"/>
              <w:rPr>
                <w:color w:val="FFFFFF" w:themeColor="background1"/>
                <w:sz w:val="24"/>
                <w:szCs w:val="24"/>
              </w:rPr>
            </w:pPr>
            <w:r w:rsidRPr="00930C43">
              <w:rPr>
                <w:rFonts w:eastAsia="Arial"/>
                <w:i/>
                <w:iCs/>
                <w:color w:val="FFFFFF" w:themeColor="background1"/>
                <w:sz w:val="24"/>
                <w:szCs w:val="24"/>
              </w:rPr>
              <w:t>Motorcycle History Registry + Behavior-Based Rider Insurance</w:t>
            </w:r>
          </w:p>
          <w:p w14:paraId="1919FFB5" w14:textId="0EB0ABDD" w:rsidR="005011CE" w:rsidRPr="00344D09" w:rsidRDefault="00FD4EDA">
            <w:pPr>
              <w:spacing w:before="50" w:after="50"/>
              <w:rPr>
                <w:sz w:val="24"/>
                <w:szCs w:val="24"/>
              </w:rPr>
            </w:pPr>
            <w:r w:rsidRPr="00344D09">
              <w:rPr>
                <w:rFonts w:eastAsia="Arial"/>
                <w:color w:val="FFFFFF"/>
                <w:sz w:val="24"/>
                <w:szCs w:val="24"/>
              </w:rPr>
              <w:t>Group1: Mireu Kim (2025462112</w:t>
            </w:r>
            <w:proofErr w:type="gramStart"/>
            <w:r w:rsidRPr="00344D09">
              <w:rPr>
                <w:rFonts w:eastAsia="Arial"/>
                <w:color w:val="FFFFFF"/>
                <w:sz w:val="24"/>
                <w:szCs w:val="24"/>
              </w:rPr>
              <w:t>)  &amp;</w:t>
            </w:r>
            <w:proofErr w:type="gramEnd"/>
            <w:r w:rsidRPr="00344D09">
              <w:rPr>
                <w:rFonts w:eastAsia="Arial"/>
                <w:color w:val="FFFFFF"/>
                <w:sz w:val="24"/>
                <w:szCs w:val="24"/>
              </w:rPr>
              <w:t xml:space="preserve">  Enxhi Topalli (2026460049)     </w:t>
            </w:r>
          </w:p>
        </w:tc>
      </w:tr>
    </w:tbl>
    <w:p w14:paraId="54919FE7" w14:textId="1BA13E2C" w:rsidR="005011CE" w:rsidRPr="00344D09" w:rsidRDefault="00000000">
      <w:pPr>
        <w:pBdr>
          <w:bottom w:val="single" w:sz="2" w:space="2" w:color="9B2226"/>
        </w:pBdr>
        <w:spacing w:before="160" w:after="40"/>
        <w:rPr>
          <w:sz w:val="24"/>
          <w:szCs w:val="24"/>
        </w:rPr>
      </w:pPr>
      <w:r w:rsidRPr="00344D09">
        <w:rPr>
          <w:rFonts w:eastAsia="Arial"/>
          <w:b/>
          <w:bCs/>
          <w:color w:val="1A1A2E"/>
          <w:sz w:val="24"/>
          <w:szCs w:val="24"/>
        </w:rPr>
        <w:t>Problem Statement</w:t>
      </w:r>
    </w:p>
    <w:p w14:paraId="1D844741" w14:textId="5F893F1B" w:rsidR="005011CE" w:rsidRDefault="00000000" w:rsidP="007658A8">
      <w:pPr>
        <w:spacing w:before="50" w:after="50"/>
        <w:rPr>
          <w:rFonts w:eastAsia="Arial"/>
          <w:color w:val="000000" w:themeColor="text1"/>
          <w:sz w:val="22"/>
          <w:szCs w:val="22"/>
          <w:shd w:val="clear" w:color="auto" w:fill="FFFF00"/>
        </w:rPr>
      </w:pPr>
      <w:r w:rsidRPr="00344D09">
        <w:rPr>
          <w:rFonts w:eastAsia="Arial"/>
          <w:color w:val="000000" w:themeColor="text1"/>
          <w:sz w:val="22"/>
          <w:szCs w:val="22"/>
        </w:rPr>
        <w:t xml:space="preserve">The secondhand motorcycle market lacks any </w:t>
      </w:r>
      <w:r w:rsidRPr="00344D09">
        <w:rPr>
          <w:rFonts w:eastAsia="Arial"/>
          <w:b/>
          <w:bCs/>
          <w:color w:val="000000" w:themeColor="text1"/>
          <w:sz w:val="22"/>
          <w:szCs w:val="22"/>
        </w:rPr>
        <w:t>trusted verification layer</w:t>
      </w:r>
      <w:r w:rsidRPr="00344D09">
        <w:rPr>
          <w:rFonts w:eastAsia="Arial"/>
          <w:color w:val="000000" w:themeColor="text1"/>
          <w:sz w:val="22"/>
          <w:szCs w:val="22"/>
        </w:rPr>
        <w:t xml:space="preserve">. Odometers are tampered, accident records concealed, and titles manipulated — costing </w:t>
      </w:r>
      <w:proofErr w:type="gramStart"/>
      <w:r w:rsidRPr="00344D09">
        <w:rPr>
          <w:rFonts w:eastAsia="Arial"/>
          <w:color w:val="000000" w:themeColor="text1"/>
          <w:sz w:val="22"/>
          <w:szCs w:val="22"/>
        </w:rPr>
        <w:t>buyers</w:t>
      </w:r>
      <w:proofErr w:type="gramEnd"/>
      <w:r w:rsidRPr="00344D09">
        <w:rPr>
          <w:rFonts w:eastAsia="Arial"/>
          <w:color w:val="000000" w:themeColor="text1"/>
          <w:sz w:val="22"/>
          <w:szCs w:val="22"/>
        </w:rPr>
        <w:t xml:space="preserve"> money and creating real safety risks. At the same time, motorcycle insurance in Korea uses age and years of registration as blunt pricing proxies rather than actual behavior. Safe young riders who have ridden for years under family plans face premiums that nearly double the moment they register independently — despite no change in real risk.</w:t>
      </w:r>
      <w:r w:rsidR="00344D09" w:rsidRPr="00344D09">
        <w:rPr>
          <w:color w:val="000000" w:themeColor="text1"/>
          <w:sz w:val="22"/>
          <w:szCs w:val="22"/>
        </w:rPr>
        <w:t xml:space="preserve"> </w:t>
      </w:r>
      <w:r w:rsidRPr="00344D09">
        <w:rPr>
          <w:rFonts w:eastAsia="Arial"/>
          <w:color w:val="000000" w:themeColor="text1"/>
          <w:sz w:val="22"/>
          <w:szCs w:val="22"/>
        </w:rPr>
        <w:t xml:space="preserve">Both problems share the same structural root: </w:t>
      </w:r>
      <w:r w:rsidRPr="00344D09">
        <w:rPr>
          <w:rFonts w:eastAsia="Arial"/>
          <w:color w:val="000000" w:themeColor="text1"/>
          <w:sz w:val="22"/>
          <w:szCs w:val="22"/>
          <w:shd w:val="clear" w:color="auto" w:fill="FFFF00"/>
        </w:rPr>
        <w:t xml:space="preserve">there is no trustless, tamper-proof record of what </w:t>
      </w:r>
      <w:proofErr w:type="gramStart"/>
      <w:r w:rsidRPr="00344D09">
        <w:rPr>
          <w:rFonts w:eastAsia="Arial"/>
          <w:color w:val="000000" w:themeColor="text1"/>
          <w:sz w:val="22"/>
          <w:szCs w:val="22"/>
          <w:shd w:val="clear" w:color="auto" w:fill="FFFF00"/>
        </w:rPr>
        <w:t>actually happened</w:t>
      </w:r>
      <w:proofErr w:type="gramEnd"/>
      <w:r w:rsidRPr="00344D09">
        <w:rPr>
          <w:rFonts w:eastAsia="Arial"/>
          <w:color w:val="000000" w:themeColor="text1"/>
          <w:sz w:val="22"/>
          <w:szCs w:val="22"/>
          <w:shd w:val="clear" w:color="auto" w:fill="FFFF00"/>
        </w:rPr>
        <w:t xml:space="preserve"> — to the bike or to the rider.</w:t>
      </w:r>
    </w:p>
    <w:p w14:paraId="4C0677C8" w14:textId="77777777" w:rsidR="00930C43" w:rsidRPr="00344D09" w:rsidRDefault="00930C43" w:rsidP="007658A8">
      <w:pPr>
        <w:spacing w:before="50" w:after="50"/>
        <w:rPr>
          <w:color w:val="000000" w:themeColor="text1"/>
          <w:sz w:val="22"/>
          <w:szCs w:val="22"/>
        </w:rPr>
      </w:pPr>
    </w:p>
    <w:p w14:paraId="76AE44A1" w14:textId="13DAE5D8" w:rsidR="005011CE" w:rsidRPr="00344D09" w:rsidRDefault="00000000">
      <w:pPr>
        <w:pBdr>
          <w:bottom w:val="single" w:sz="2" w:space="2" w:color="9B2226"/>
        </w:pBdr>
        <w:spacing w:before="160" w:after="40"/>
        <w:rPr>
          <w:sz w:val="24"/>
          <w:szCs w:val="24"/>
        </w:rPr>
      </w:pPr>
      <w:r w:rsidRPr="00344D09">
        <w:rPr>
          <w:rFonts w:eastAsia="Arial"/>
          <w:b/>
          <w:bCs/>
          <w:color w:val="1A1A2E"/>
          <w:sz w:val="24"/>
          <w:szCs w:val="24"/>
        </w:rPr>
        <w:t>Proposed Solution</w:t>
      </w:r>
    </w:p>
    <w:p w14:paraId="70F9210A" w14:textId="77777777" w:rsidR="00344D09" w:rsidRPr="00344D09" w:rsidRDefault="00000000" w:rsidP="00344D09">
      <w:pPr>
        <w:spacing w:before="50" w:after="50"/>
        <w:rPr>
          <w:rFonts w:eastAsia="Arial"/>
          <w:b/>
          <w:bCs/>
          <w:color w:val="000000" w:themeColor="text1"/>
          <w:sz w:val="22"/>
          <w:szCs w:val="22"/>
        </w:rPr>
      </w:pPr>
      <w:proofErr w:type="spellStart"/>
      <w:r w:rsidRPr="00344D09">
        <w:rPr>
          <w:rFonts w:eastAsia="Arial"/>
          <w:color w:val="000000" w:themeColor="text1"/>
          <w:sz w:val="22"/>
          <w:szCs w:val="22"/>
        </w:rPr>
        <w:t>MotoChain</w:t>
      </w:r>
      <w:proofErr w:type="spellEnd"/>
      <w:r w:rsidRPr="00344D09">
        <w:rPr>
          <w:rFonts w:eastAsia="Arial"/>
          <w:color w:val="000000" w:themeColor="text1"/>
          <w:sz w:val="22"/>
          <w:szCs w:val="22"/>
        </w:rPr>
        <w:t xml:space="preserve"> and </w:t>
      </w:r>
      <w:proofErr w:type="spellStart"/>
      <w:r w:rsidRPr="00344D09">
        <w:rPr>
          <w:rFonts w:eastAsia="Arial"/>
          <w:color w:val="000000" w:themeColor="text1"/>
          <w:sz w:val="22"/>
          <w:szCs w:val="22"/>
        </w:rPr>
        <w:t>RideTrue</w:t>
      </w:r>
      <w:proofErr w:type="spellEnd"/>
      <w:r w:rsidRPr="00344D09">
        <w:rPr>
          <w:rFonts w:eastAsia="Arial"/>
          <w:color w:val="000000" w:themeColor="text1"/>
          <w:sz w:val="22"/>
          <w:szCs w:val="22"/>
        </w:rPr>
        <w:t xml:space="preserve"> are two complementary on-chain protocols that together create a complete decentralized identity layer for motorcycles and their riders. Instead of relying on any single company or institution, the system coordinates mechanics, insurers, inspectors, and riders through cryptographic verification and economic incentives.</w:t>
      </w:r>
      <w:r w:rsidR="00344D09" w:rsidRPr="00344D09">
        <w:rPr>
          <w:rFonts w:eastAsia="Arial"/>
          <w:b/>
          <w:bCs/>
          <w:color w:val="000000" w:themeColor="text1"/>
          <w:sz w:val="22"/>
          <w:szCs w:val="22"/>
        </w:rPr>
        <w:t xml:space="preserve"> </w:t>
      </w:r>
    </w:p>
    <w:p w14:paraId="56A1CB25" w14:textId="77777777" w:rsidR="00344D09" w:rsidRPr="00344D09" w:rsidRDefault="00344D09" w:rsidP="00344D09">
      <w:pPr>
        <w:spacing w:before="50" w:after="50"/>
        <w:rPr>
          <w:rFonts w:eastAsia="Arial"/>
          <w:b/>
          <w:bCs/>
          <w:color w:val="000000" w:themeColor="text1"/>
          <w:sz w:val="24"/>
          <w:szCs w:val="24"/>
        </w:rPr>
      </w:pPr>
    </w:p>
    <w:p w14:paraId="03D93850" w14:textId="20757F4F" w:rsidR="00344D09" w:rsidRPr="00344D09" w:rsidRDefault="00344D09" w:rsidP="00344D09">
      <w:pPr>
        <w:spacing w:before="50" w:after="50"/>
        <w:rPr>
          <w:rFonts w:eastAsia="Arial"/>
          <w:b/>
          <w:bCs/>
          <w:color w:val="000000" w:themeColor="text1"/>
          <w:sz w:val="24"/>
          <w:szCs w:val="24"/>
        </w:rPr>
      </w:pPr>
      <w:r w:rsidRPr="00344D09">
        <w:rPr>
          <w:rFonts w:eastAsia="Arial"/>
          <w:b/>
          <w:bCs/>
          <w:color w:val="000000" w:themeColor="text1"/>
          <w:sz w:val="24"/>
          <w:szCs w:val="24"/>
        </w:rPr>
        <w:t xml:space="preserve">Blockchain features used: </w:t>
      </w:r>
    </w:p>
    <w:p w14:paraId="3F51FF3F" w14:textId="336023C9" w:rsidR="00344D09" w:rsidRPr="00344D09" w:rsidRDefault="00930C43" w:rsidP="00344D09">
      <w:pPr>
        <w:pStyle w:val="a4"/>
        <w:numPr>
          <w:ilvl w:val="0"/>
          <w:numId w:val="3"/>
        </w:numPr>
        <w:spacing w:before="50" w:after="50"/>
        <w:rPr>
          <w:rFonts w:eastAsia="Arial"/>
          <w:color w:val="000000" w:themeColor="text1"/>
          <w:sz w:val="22"/>
          <w:szCs w:val="22"/>
        </w:rPr>
      </w:pPr>
      <w:r>
        <w:rPr>
          <w:rFonts w:eastAsia="Arial"/>
          <w:color w:val="000000" w:themeColor="text1"/>
          <w:sz w:val="22"/>
          <w:szCs w:val="22"/>
        </w:rPr>
        <w:t>I</w:t>
      </w:r>
      <w:r w:rsidR="00344D09" w:rsidRPr="00344D09">
        <w:rPr>
          <w:rFonts w:eastAsia="Arial"/>
          <w:color w:val="000000" w:themeColor="text1"/>
          <w:sz w:val="22"/>
          <w:szCs w:val="22"/>
        </w:rPr>
        <w:t>mmutability (no retroactive alteration of any record)</w:t>
      </w:r>
    </w:p>
    <w:p w14:paraId="47B9F7D7" w14:textId="47C2A4F3" w:rsidR="00344D09" w:rsidRPr="00344D09" w:rsidRDefault="00930C43" w:rsidP="00344D09">
      <w:pPr>
        <w:pStyle w:val="a4"/>
        <w:numPr>
          <w:ilvl w:val="0"/>
          <w:numId w:val="3"/>
        </w:numPr>
        <w:spacing w:before="50" w:after="50"/>
        <w:rPr>
          <w:rFonts w:eastAsia="Arial"/>
          <w:color w:val="000000" w:themeColor="text1"/>
          <w:sz w:val="22"/>
          <w:szCs w:val="22"/>
        </w:rPr>
      </w:pPr>
      <w:r>
        <w:rPr>
          <w:rFonts w:eastAsia="Arial"/>
          <w:color w:val="000000" w:themeColor="text1"/>
          <w:sz w:val="22"/>
          <w:szCs w:val="22"/>
        </w:rPr>
        <w:t>D</w:t>
      </w:r>
      <w:r w:rsidR="00344D09" w:rsidRPr="00344D09">
        <w:rPr>
          <w:rFonts w:eastAsia="Arial"/>
          <w:color w:val="000000" w:themeColor="text1"/>
          <w:sz w:val="22"/>
          <w:szCs w:val="22"/>
        </w:rPr>
        <w:t>ecentralization (no single entity controls data or fund release)</w:t>
      </w:r>
    </w:p>
    <w:p w14:paraId="4465D8C9" w14:textId="4F993274" w:rsidR="00344D09" w:rsidRPr="00344D09" w:rsidRDefault="00930C43" w:rsidP="00344D09">
      <w:pPr>
        <w:pStyle w:val="a4"/>
        <w:numPr>
          <w:ilvl w:val="0"/>
          <w:numId w:val="3"/>
        </w:numPr>
        <w:spacing w:before="50" w:after="50"/>
        <w:rPr>
          <w:rFonts w:eastAsia="Arial"/>
          <w:color w:val="000000" w:themeColor="text1"/>
          <w:sz w:val="22"/>
          <w:szCs w:val="22"/>
        </w:rPr>
      </w:pPr>
      <w:r>
        <w:rPr>
          <w:rFonts w:eastAsia="Arial"/>
          <w:color w:val="000000" w:themeColor="text1"/>
          <w:sz w:val="22"/>
          <w:szCs w:val="22"/>
        </w:rPr>
        <w:t>T</w:t>
      </w:r>
      <w:r w:rsidR="00344D09" w:rsidRPr="00344D09">
        <w:rPr>
          <w:rFonts w:eastAsia="Arial"/>
          <w:color w:val="000000" w:themeColor="text1"/>
          <w:sz w:val="22"/>
          <w:szCs w:val="22"/>
        </w:rPr>
        <w:t>okenization (VIN identity tokens, staking tokens)</w:t>
      </w:r>
    </w:p>
    <w:p w14:paraId="123A5D28" w14:textId="1681BE65" w:rsidR="00344D09" w:rsidRPr="00344D09" w:rsidRDefault="00930C43" w:rsidP="00344D09">
      <w:pPr>
        <w:pStyle w:val="a4"/>
        <w:numPr>
          <w:ilvl w:val="0"/>
          <w:numId w:val="3"/>
        </w:numPr>
        <w:spacing w:before="50" w:after="50"/>
        <w:rPr>
          <w:rFonts w:eastAsia="Arial"/>
          <w:color w:val="000000" w:themeColor="text1"/>
          <w:sz w:val="22"/>
          <w:szCs w:val="22"/>
        </w:rPr>
      </w:pPr>
      <w:r>
        <w:rPr>
          <w:rFonts w:eastAsia="Arial"/>
          <w:color w:val="000000" w:themeColor="text1"/>
          <w:sz w:val="22"/>
          <w:szCs w:val="22"/>
        </w:rPr>
        <w:t>S</w:t>
      </w:r>
      <w:r w:rsidR="00344D09" w:rsidRPr="00344D09">
        <w:rPr>
          <w:rFonts w:eastAsia="Arial"/>
          <w:color w:val="000000" w:themeColor="text1"/>
          <w:sz w:val="22"/>
          <w:szCs w:val="22"/>
        </w:rPr>
        <w:t>mart contract automation (premium calculation, claims payout, redistribution)</w:t>
      </w:r>
    </w:p>
    <w:p w14:paraId="64147B9B" w14:textId="61E8F7F9" w:rsidR="00344D09" w:rsidRPr="00344D09" w:rsidRDefault="00930C43" w:rsidP="00344D09">
      <w:pPr>
        <w:pStyle w:val="a4"/>
        <w:numPr>
          <w:ilvl w:val="0"/>
          <w:numId w:val="3"/>
        </w:numPr>
        <w:spacing w:before="50" w:after="50"/>
        <w:rPr>
          <w:rFonts w:eastAsia="Arial"/>
          <w:color w:val="000000" w:themeColor="text1"/>
          <w:sz w:val="22"/>
          <w:szCs w:val="22"/>
        </w:rPr>
      </w:pPr>
      <w:r>
        <w:rPr>
          <w:rFonts w:eastAsia="Arial"/>
          <w:color w:val="000000" w:themeColor="text1"/>
          <w:sz w:val="22"/>
          <w:szCs w:val="22"/>
        </w:rPr>
        <w:t>O</w:t>
      </w:r>
      <w:r w:rsidR="00344D09" w:rsidRPr="00344D09">
        <w:rPr>
          <w:rFonts w:eastAsia="Arial"/>
          <w:color w:val="000000" w:themeColor="text1"/>
          <w:sz w:val="22"/>
          <w:szCs w:val="22"/>
        </w:rPr>
        <w:t>racle integration (telematics + inspection data)</w:t>
      </w:r>
    </w:p>
    <w:p w14:paraId="00D6CC5E" w14:textId="77777777" w:rsidR="00344D09" w:rsidRPr="00344D09" w:rsidRDefault="00344D09" w:rsidP="00344D09">
      <w:pPr>
        <w:pStyle w:val="a4"/>
        <w:numPr>
          <w:ilvl w:val="0"/>
          <w:numId w:val="3"/>
        </w:numPr>
        <w:spacing w:before="50" w:after="50"/>
        <w:rPr>
          <w:sz w:val="22"/>
          <w:szCs w:val="22"/>
        </w:rPr>
      </w:pPr>
      <w:r w:rsidRPr="00344D09">
        <w:rPr>
          <w:rFonts w:eastAsia="Arial"/>
          <w:color w:val="000000" w:themeColor="text1"/>
          <w:sz w:val="22"/>
          <w:szCs w:val="22"/>
        </w:rPr>
        <w:t xml:space="preserve">Zero-Knowledge proofs </w:t>
      </w:r>
    </w:p>
    <w:p w14:paraId="07C9E2FE" w14:textId="4B6AEA92" w:rsidR="007658A8" w:rsidRPr="00344D09" w:rsidRDefault="007658A8" w:rsidP="007658A8">
      <w:pPr>
        <w:spacing w:before="50" w:after="50"/>
        <w:rPr>
          <w:color w:val="000000" w:themeColor="text1"/>
          <w:sz w:val="22"/>
          <w:szCs w:val="22"/>
        </w:rPr>
      </w:pPr>
    </w:p>
    <w:p w14:paraId="5977172A" w14:textId="77777777" w:rsidR="005011CE" w:rsidRPr="00344D09" w:rsidRDefault="00000000">
      <w:pPr>
        <w:spacing w:before="50" w:after="50"/>
        <w:rPr>
          <w:color w:val="074F6A" w:themeColor="accent4" w:themeShade="80"/>
          <w:sz w:val="24"/>
          <w:szCs w:val="24"/>
        </w:rPr>
      </w:pPr>
      <w:proofErr w:type="spellStart"/>
      <w:r w:rsidRPr="00344D09">
        <w:rPr>
          <w:rFonts w:eastAsia="Arial"/>
          <w:b/>
          <w:bCs/>
          <w:color w:val="074F6A" w:themeColor="accent4" w:themeShade="80"/>
          <w:sz w:val="24"/>
          <w:szCs w:val="24"/>
        </w:rPr>
        <w:t>MotoChain</w:t>
      </w:r>
      <w:proofErr w:type="spellEnd"/>
      <w:r w:rsidRPr="00344D09">
        <w:rPr>
          <w:rFonts w:eastAsia="Arial"/>
          <w:b/>
          <w:bCs/>
          <w:color w:val="074F6A" w:themeColor="accent4" w:themeShade="80"/>
          <w:sz w:val="24"/>
          <w:szCs w:val="24"/>
        </w:rPr>
        <w:t xml:space="preserve"> — Motorcycle Identity &amp; History Registry</w:t>
      </w:r>
    </w:p>
    <w:p w14:paraId="1CF645A2" w14:textId="5180DE4C" w:rsidR="005011CE" w:rsidRPr="00344D09" w:rsidRDefault="00000000" w:rsidP="00344D09">
      <w:pPr>
        <w:spacing w:before="50" w:after="50"/>
        <w:rPr>
          <w:color w:val="000000" w:themeColor="text1"/>
          <w:sz w:val="22"/>
          <w:szCs w:val="22"/>
        </w:rPr>
      </w:pPr>
      <w:r w:rsidRPr="00344D09">
        <w:rPr>
          <w:rFonts w:eastAsia="Arial"/>
          <w:color w:val="000000" w:themeColor="text1"/>
          <w:sz w:val="22"/>
          <w:szCs w:val="22"/>
        </w:rPr>
        <w:t xml:space="preserve">Each motorcycle is assigned a permanent on-chain identity token anchored to its VIN — an immutable digital passport that cannot be replicated or altered. All updates to the bike's history are written </w:t>
      </w:r>
      <w:proofErr w:type="gramStart"/>
      <w:r w:rsidRPr="00344D09">
        <w:rPr>
          <w:rFonts w:eastAsia="Arial"/>
          <w:color w:val="000000" w:themeColor="text1"/>
          <w:sz w:val="22"/>
          <w:szCs w:val="22"/>
        </w:rPr>
        <w:t>on-chain</w:t>
      </w:r>
      <w:proofErr w:type="gramEnd"/>
      <w:r w:rsidRPr="00344D09">
        <w:rPr>
          <w:rFonts w:eastAsia="Arial"/>
          <w:color w:val="000000" w:themeColor="text1"/>
          <w:sz w:val="22"/>
          <w:szCs w:val="22"/>
        </w:rPr>
        <w:t xml:space="preserve"> by permissioned, economically accountable participants:</w:t>
      </w:r>
    </w:p>
    <w:tbl>
      <w:tblPr>
        <w:tblStyle w:val="5-1"/>
        <w:tblW w:w="10064" w:type="dxa"/>
        <w:tblLook w:val="0420" w:firstRow="1" w:lastRow="0" w:firstColumn="0" w:lastColumn="0" w:noHBand="0" w:noVBand="1"/>
      </w:tblPr>
      <w:tblGrid>
        <w:gridCol w:w="737"/>
        <w:gridCol w:w="2093"/>
        <w:gridCol w:w="7234"/>
      </w:tblGrid>
      <w:tr w:rsidR="005011CE" w:rsidRPr="00344D09" w14:paraId="51FD621B" w14:textId="77777777" w:rsidTr="00930C43">
        <w:trPr>
          <w:cnfStyle w:val="100000000000" w:firstRow="1" w:lastRow="0" w:firstColumn="0" w:lastColumn="0" w:oddVBand="0" w:evenVBand="0" w:oddHBand="0" w:evenHBand="0" w:firstRowFirstColumn="0" w:firstRowLastColumn="0" w:lastRowFirstColumn="0" w:lastRowLastColumn="0"/>
        </w:trPr>
        <w:tc>
          <w:tcPr>
            <w:tcW w:w="737" w:type="dxa"/>
          </w:tcPr>
          <w:p w14:paraId="2EDA281A" w14:textId="77777777" w:rsidR="005011CE" w:rsidRPr="00344D09" w:rsidRDefault="00000000">
            <w:pPr>
              <w:spacing w:before="50" w:after="50"/>
              <w:rPr>
                <w:sz w:val="22"/>
                <w:szCs w:val="22"/>
              </w:rPr>
            </w:pPr>
            <w:r w:rsidRPr="00344D09">
              <w:rPr>
                <w:rFonts w:eastAsia="Arial"/>
                <w:color w:val="FFFFFF"/>
                <w:sz w:val="22"/>
                <w:szCs w:val="22"/>
              </w:rPr>
              <w:t>Step</w:t>
            </w:r>
          </w:p>
        </w:tc>
        <w:tc>
          <w:tcPr>
            <w:tcW w:w="2093" w:type="dxa"/>
          </w:tcPr>
          <w:p w14:paraId="02413588" w14:textId="77777777" w:rsidR="005011CE" w:rsidRPr="00344D09" w:rsidRDefault="00000000">
            <w:pPr>
              <w:spacing w:before="50" w:after="50"/>
              <w:rPr>
                <w:sz w:val="22"/>
                <w:szCs w:val="22"/>
              </w:rPr>
            </w:pPr>
            <w:r w:rsidRPr="00344D09">
              <w:rPr>
                <w:rFonts w:eastAsia="Arial"/>
                <w:color w:val="FFFFFF"/>
                <w:sz w:val="22"/>
                <w:szCs w:val="22"/>
              </w:rPr>
              <w:t>Action</w:t>
            </w:r>
          </w:p>
        </w:tc>
        <w:tc>
          <w:tcPr>
            <w:tcW w:w="7234" w:type="dxa"/>
          </w:tcPr>
          <w:p w14:paraId="1AAF4BD8" w14:textId="77777777" w:rsidR="005011CE" w:rsidRPr="00344D09" w:rsidRDefault="00000000">
            <w:pPr>
              <w:spacing w:before="50" w:after="50"/>
              <w:rPr>
                <w:sz w:val="22"/>
                <w:szCs w:val="22"/>
              </w:rPr>
            </w:pPr>
            <w:r w:rsidRPr="00344D09">
              <w:rPr>
                <w:rFonts w:eastAsia="Arial"/>
                <w:color w:val="FFFFFF"/>
                <w:sz w:val="22"/>
                <w:szCs w:val="22"/>
              </w:rPr>
              <w:t xml:space="preserve">How it works </w:t>
            </w:r>
            <w:proofErr w:type="gramStart"/>
            <w:r w:rsidRPr="00344D09">
              <w:rPr>
                <w:rFonts w:eastAsia="Arial"/>
                <w:color w:val="FFFFFF"/>
                <w:sz w:val="22"/>
                <w:szCs w:val="22"/>
              </w:rPr>
              <w:t>on-chain</w:t>
            </w:r>
            <w:proofErr w:type="gramEnd"/>
          </w:p>
        </w:tc>
      </w:tr>
      <w:tr w:rsidR="005011CE" w:rsidRPr="00344D09" w14:paraId="2559A385" w14:textId="77777777" w:rsidTr="00930C43">
        <w:trPr>
          <w:cnfStyle w:val="000000100000" w:firstRow="0" w:lastRow="0" w:firstColumn="0" w:lastColumn="0" w:oddVBand="0" w:evenVBand="0" w:oddHBand="1" w:evenHBand="0" w:firstRowFirstColumn="0" w:firstRowLastColumn="0" w:lastRowFirstColumn="0" w:lastRowLastColumn="0"/>
        </w:trPr>
        <w:tc>
          <w:tcPr>
            <w:tcW w:w="737" w:type="dxa"/>
          </w:tcPr>
          <w:p w14:paraId="00A97EFA" w14:textId="77777777" w:rsidR="005011CE" w:rsidRPr="009F5449" w:rsidRDefault="00000000">
            <w:pPr>
              <w:spacing w:before="50" w:after="50"/>
              <w:jc w:val="center"/>
              <w:rPr>
                <w:sz w:val="22"/>
                <w:szCs w:val="22"/>
              </w:rPr>
            </w:pPr>
            <w:r w:rsidRPr="009F5449">
              <w:rPr>
                <w:rFonts w:eastAsia="Arial"/>
                <w:sz w:val="22"/>
                <w:szCs w:val="22"/>
              </w:rPr>
              <w:t>1</w:t>
            </w:r>
          </w:p>
        </w:tc>
        <w:tc>
          <w:tcPr>
            <w:tcW w:w="2093" w:type="dxa"/>
          </w:tcPr>
          <w:p w14:paraId="0178F625" w14:textId="77777777" w:rsidR="005011CE" w:rsidRPr="00344D09" w:rsidRDefault="00000000">
            <w:pPr>
              <w:spacing w:before="50" w:after="50"/>
              <w:rPr>
                <w:sz w:val="22"/>
                <w:szCs w:val="22"/>
              </w:rPr>
            </w:pPr>
            <w:r w:rsidRPr="00344D09">
              <w:rPr>
                <w:rFonts w:eastAsia="Arial"/>
                <w:b/>
                <w:bCs/>
                <w:color w:val="1A1A2E"/>
                <w:sz w:val="22"/>
                <w:szCs w:val="22"/>
              </w:rPr>
              <w:t>VIN Registration</w:t>
            </w:r>
          </w:p>
        </w:tc>
        <w:tc>
          <w:tcPr>
            <w:tcW w:w="7234" w:type="dxa"/>
          </w:tcPr>
          <w:p w14:paraId="18879B33"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Manufacturer, dealer, or first owner mints a unique token tied to the bike's VIN. This becomes the bike's permanent on-chain identity. One-time registration fee is paid.</w:t>
            </w:r>
          </w:p>
        </w:tc>
      </w:tr>
      <w:tr w:rsidR="005011CE" w:rsidRPr="00344D09" w14:paraId="009D309F" w14:textId="77777777" w:rsidTr="00930C43">
        <w:tc>
          <w:tcPr>
            <w:tcW w:w="737" w:type="dxa"/>
          </w:tcPr>
          <w:p w14:paraId="7AE2E20B" w14:textId="77777777" w:rsidR="005011CE" w:rsidRPr="009F5449" w:rsidRDefault="00000000">
            <w:pPr>
              <w:spacing w:before="50" w:after="50"/>
              <w:jc w:val="center"/>
              <w:rPr>
                <w:sz w:val="22"/>
                <w:szCs w:val="22"/>
              </w:rPr>
            </w:pPr>
            <w:r w:rsidRPr="009F5449">
              <w:rPr>
                <w:rFonts w:eastAsia="Arial"/>
                <w:sz w:val="22"/>
                <w:szCs w:val="22"/>
              </w:rPr>
              <w:t>2</w:t>
            </w:r>
          </w:p>
        </w:tc>
        <w:tc>
          <w:tcPr>
            <w:tcW w:w="2093" w:type="dxa"/>
          </w:tcPr>
          <w:p w14:paraId="6D06B572" w14:textId="77777777" w:rsidR="005011CE" w:rsidRPr="00344D09" w:rsidRDefault="00000000">
            <w:pPr>
              <w:spacing w:before="50" w:after="50"/>
              <w:rPr>
                <w:sz w:val="22"/>
                <w:szCs w:val="22"/>
              </w:rPr>
            </w:pPr>
            <w:r w:rsidRPr="00344D09">
              <w:rPr>
                <w:rFonts w:eastAsia="Arial"/>
                <w:b/>
                <w:bCs/>
                <w:color w:val="1A1A2E"/>
                <w:sz w:val="22"/>
                <w:szCs w:val="22"/>
              </w:rPr>
              <w:t>Ownership Transfer</w:t>
            </w:r>
          </w:p>
        </w:tc>
        <w:tc>
          <w:tcPr>
            <w:tcW w:w="7234" w:type="dxa"/>
          </w:tcPr>
          <w:p w14:paraId="356BB8CC"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Each sale is recorded as a wallet-to-wallet transfer on-chain, replacing forgeable paper titles. The new owner's wallet becomes the verified title holder.</w:t>
            </w:r>
          </w:p>
        </w:tc>
      </w:tr>
      <w:tr w:rsidR="005011CE" w:rsidRPr="00344D09" w14:paraId="7A8FBC11" w14:textId="77777777" w:rsidTr="00930C43">
        <w:trPr>
          <w:cnfStyle w:val="000000100000" w:firstRow="0" w:lastRow="0" w:firstColumn="0" w:lastColumn="0" w:oddVBand="0" w:evenVBand="0" w:oddHBand="1" w:evenHBand="0" w:firstRowFirstColumn="0" w:firstRowLastColumn="0" w:lastRowFirstColumn="0" w:lastRowLastColumn="0"/>
        </w:trPr>
        <w:tc>
          <w:tcPr>
            <w:tcW w:w="737" w:type="dxa"/>
          </w:tcPr>
          <w:p w14:paraId="295EF451" w14:textId="77777777" w:rsidR="005011CE" w:rsidRPr="009F5449" w:rsidRDefault="00000000">
            <w:pPr>
              <w:spacing w:before="50" w:after="50"/>
              <w:jc w:val="center"/>
              <w:rPr>
                <w:sz w:val="22"/>
                <w:szCs w:val="22"/>
              </w:rPr>
            </w:pPr>
            <w:r w:rsidRPr="009F5449">
              <w:rPr>
                <w:rFonts w:eastAsia="Arial"/>
                <w:sz w:val="22"/>
                <w:szCs w:val="22"/>
              </w:rPr>
              <w:t>3</w:t>
            </w:r>
          </w:p>
        </w:tc>
        <w:tc>
          <w:tcPr>
            <w:tcW w:w="2093" w:type="dxa"/>
          </w:tcPr>
          <w:p w14:paraId="3ACF95E1" w14:textId="77777777" w:rsidR="005011CE" w:rsidRPr="00344D09" w:rsidRDefault="00000000">
            <w:pPr>
              <w:spacing w:before="50" w:after="50"/>
              <w:rPr>
                <w:sz w:val="22"/>
                <w:szCs w:val="22"/>
              </w:rPr>
            </w:pPr>
            <w:r w:rsidRPr="00344D09">
              <w:rPr>
                <w:rFonts w:eastAsia="Arial"/>
                <w:b/>
                <w:bCs/>
                <w:color w:val="1A1A2E"/>
                <w:sz w:val="22"/>
                <w:szCs w:val="22"/>
              </w:rPr>
              <w:t>Service &amp; Maintenance</w:t>
            </w:r>
          </w:p>
        </w:tc>
        <w:tc>
          <w:tcPr>
            <w:tcW w:w="7234" w:type="dxa"/>
          </w:tcPr>
          <w:p w14:paraId="48B59E89"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Verified mechanics stake protocol tokens to gain write access. Each service entry is cryptographically signed and publicly auditable. Fraudulent entries trigger an automatic slash of the writer's staked tokens.</w:t>
            </w:r>
          </w:p>
        </w:tc>
      </w:tr>
      <w:tr w:rsidR="005011CE" w:rsidRPr="00344D09" w14:paraId="6DC75A1A" w14:textId="77777777" w:rsidTr="00930C43">
        <w:tc>
          <w:tcPr>
            <w:tcW w:w="737" w:type="dxa"/>
          </w:tcPr>
          <w:p w14:paraId="772ED142" w14:textId="77777777" w:rsidR="005011CE" w:rsidRPr="009F5449" w:rsidRDefault="00000000">
            <w:pPr>
              <w:spacing w:before="50" w:after="50"/>
              <w:jc w:val="center"/>
              <w:rPr>
                <w:sz w:val="22"/>
                <w:szCs w:val="22"/>
              </w:rPr>
            </w:pPr>
            <w:r w:rsidRPr="009F5449">
              <w:rPr>
                <w:rFonts w:eastAsia="Arial"/>
                <w:sz w:val="22"/>
                <w:szCs w:val="22"/>
              </w:rPr>
              <w:t>4</w:t>
            </w:r>
          </w:p>
        </w:tc>
        <w:tc>
          <w:tcPr>
            <w:tcW w:w="2093" w:type="dxa"/>
          </w:tcPr>
          <w:p w14:paraId="5A1EBF32" w14:textId="77777777" w:rsidR="005011CE" w:rsidRPr="00344D09" w:rsidRDefault="00000000">
            <w:pPr>
              <w:spacing w:before="50" w:after="50"/>
              <w:rPr>
                <w:sz w:val="22"/>
                <w:szCs w:val="22"/>
              </w:rPr>
            </w:pPr>
            <w:r w:rsidRPr="00344D09">
              <w:rPr>
                <w:rFonts w:eastAsia="Arial"/>
                <w:b/>
                <w:bCs/>
                <w:color w:val="1A1A2E"/>
                <w:sz w:val="22"/>
                <w:szCs w:val="22"/>
              </w:rPr>
              <w:t>Accident &amp; Inspection</w:t>
            </w:r>
          </w:p>
        </w:tc>
        <w:tc>
          <w:tcPr>
            <w:tcW w:w="7234" w:type="dxa"/>
          </w:tcPr>
          <w:p w14:paraId="6899C27E"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 xml:space="preserve">Oracle networks aggregate data from insurers, inspection centers, and public registries. Multiple independent sources must reach consensus before a record is finalized </w:t>
            </w:r>
            <w:proofErr w:type="gramStart"/>
            <w:r w:rsidRPr="00344D09">
              <w:rPr>
                <w:rFonts w:eastAsia="Arial"/>
                <w:color w:val="000000" w:themeColor="text1"/>
                <w:sz w:val="22"/>
                <w:szCs w:val="22"/>
              </w:rPr>
              <w:t>on-chain</w:t>
            </w:r>
            <w:proofErr w:type="gramEnd"/>
            <w:r w:rsidRPr="00344D09">
              <w:rPr>
                <w:rFonts w:eastAsia="Arial"/>
                <w:color w:val="000000" w:themeColor="text1"/>
                <w:sz w:val="22"/>
                <w:szCs w:val="22"/>
              </w:rPr>
              <w:t>.</w:t>
            </w:r>
          </w:p>
        </w:tc>
      </w:tr>
      <w:tr w:rsidR="005011CE" w:rsidRPr="00344D09" w14:paraId="2AE95D77" w14:textId="77777777" w:rsidTr="00930C43">
        <w:trPr>
          <w:cnfStyle w:val="000000100000" w:firstRow="0" w:lastRow="0" w:firstColumn="0" w:lastColumn="0" w:oddVBand="0" w:evenVBand="0" w:oddHBand="1" w:evenHBand="0" w:firstRowFirstColumn="0" w:firstRowLastColumn="0" w:lastRowFirstColumn="0" w:lastRowLastColumn="0"/>
        </w:trPr>
        <w:tc>
          <w:tcPr>
            <w:tcW w:w="737" w:type="dxa"/>
          </w:tcPr>
          <w:p w14:paraId="13D87ABA" w14:textId="77777777" w:rsidR="005011CE" w:rsidRPr="009F5449" w:rsidRDefault="00000000">
            <w:pPr>
              <w:spacing w:before="50" w:after="50"/>
              <w:jc w:val="center"/>
              <w:rPr>
                <w:sz w:val="22"/>
                <w:szCs w:val="22"/>
              </w:rPr>
            </w:pPr>
            <w:r w:rsidRPr="009F5449">
              <w:rPr>
                <w:rFonts w:eastAsia="Arial"/>
                <w:sz w:val="22"/>
                <w:szCs w:val="22"/>
              </w:rPr>
              <w:t>5</w:t>
            </w:r>
          </w:p>
        </w:tc>
        <w:tc>
          <w:tcPr>
            <w:tcW w:w="2093" w:type="dxa"/>
          </w:tcPr>
          <w:p w14:paraId="72E8FEF8" w14:textId="77777777" w:rsidR="005011CE" w:rsidRPr="00344D09" w:rsidRDefault="00000000">
            <w:pPr>
              <w:spacing w:before="50" w:after="50"/>
              <w:rPr>
                <w:sz w:val="22"/>
                <w:szCs w:val="22"/>
              </w:rPr>
            </w:pPr>
            <w:r w:rsidRPr="00344D09">
              <w:rPr>
                <w:rFonts w:eastAsia="Arial"/>
                <w:b/>
                <w:bCs/>
                <w:color w:val="1A1A2E"/>
                <w:sz w:val="22"/>
                <w:szCs w:val="22"/>
              </w:rPr>
              <w:t>Data Integrity Check</w:t>
            </w:r>
          </w:p>
        </w:tc>
        <w:tc>
          <w:tcPr>
            <w:tcW w:w="7234" w:type="dxa"/>
          </w:tcPr>
          <w:p w14:paraId="6F8A6248"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Protocol-level validation rules automatically flag inconsistencies — e.g. an odometer reading lower than a previous entry — without any centralized enforcement.</w:t>
            </w:r>
          </w:p>
        </w:tc>
      </w:tr>
    </w:tbl>
    <w:p w14:paraId="4B15668C" w14:textId="0A49B063" w:rsidR="00344D09" w:rsidRDefault="00344D09">
      <w:pPr>
        <w:widowControl/>
        <w:wordWrap/>
        <w:autoSpaceDE/>
        <w:autoSpaceDN/>
        <w:rPr>
          <w:rFonts w:eastAsia="Arial"/>
          <w:b/>
          <w:bCs/>
          <w:color w:val="196B24" w:themeColor="accent3"/>
          <w:sz w:val="24"/>
          <w:szCs w:val="24"/>
        </w:rPr>
      </w:pPr>
    </w:p>
    <w:p w14:paraId="61851709" w14:textId="286F2619" w:rsidR="005011CE" w:rsidRPr="00930C43" w:rsidRDefault="00000000">
      <w:pPr>
        <w:spacing w:before="50" w:after="50"/>
        <w:rPr>
          <w:color w:val="156082" w:themeColor="accent1"/>
          <w:sz w:val="24"/>
          <w:szCs w:val="24"/>
        </w:rPr>
      </w:pPr>
      <w:proofErr w:type="spellStart"/>
      <w:r w:rsidRPr="00930C43">
        <w:rPr>
          <w:rFonts w:eastAsia="Arial"/>
          <w:b/>
          <w:bCs/>
          <w:color w:val="156082" w:themeColor="accent1"/>
          <w:sz w:val="24"/>
          <w:szCs w:val="24"/>
        </w:rPr>
        <w:lastRenderedPageBreak/>
        <w:t>RideTrue</w:t>
      </w:r>
      <w:proofErr w:type="spellEnd"/>
      <w:r w:rsidRPr="00930C43">
        <w:rPr>
          <w:rFonts w:eastAsia="Arial"/>
          <w:b/>
          <w:bCs/>
          <w:color w:val="156082" w:themeColor="accent1"/>
          <w:sz w:val="24"/>
          <w:szCs w:val="24"/>
        </w:rPr>
        <w:t xml:space="preserve"> — Behavior-Based Rider Insurance Pool</w:t>
      </w:r>
    </w:p>
    <w:p w14:paraId="0B3F2C11" w14:textId="70D36455" w:rsidR="005011CE" w:rsidRPr="00344D09" w:rsidRDefault="00000000" w:rsidP="007658A8">
      <w:pPr>
        <w:spacing w:before="50" w:after="50"/>
        <w:rPr>
          <w:color w:val="000000" w:themeColor="text1"/>
          <w:sz w:val="22"/>
          <w:szCs w:val="22"/>
        </w:rPr>
      </w:pPr>
      <w:proofErr w:type="spellStart"/>
      <w:r w:rsidRPr="00344D09">
        <w:rPr>
          <w:rFonts w:eastAsia="Arial"/>
          <w:color w:val="000000" w:themeColor="text1"/>
          <w:sz w:val="22"/>
          <w:szCs w:val="22"/>
        </w:rPr>
        <w:t>RideTrue</w:t>
      </w:r>
      <w:proofErr w:type="spellEnd"/>
      <w:r w:rsidRPr="00344D09">
        <w:rPr>
          <w:rFonts w:eastAsia="Arial"/>
          <w:color w:val="000000" w:themeColor="text1"/>
          <w:sz w:val="22"/>
          <w:szCs w:val="22"/>
        </w:rPr>
        <w:t xml:space="preserve"> builds a portable, privacy-preserving behavioral profile for each rider, enabling fair insurance pricing without exposing sensitive personal data to the public.</w:t>
      </w:r>
    </w:p>
    <w:tbl>
      <w:tblPr>
        <w:tblStyle w:val="5-1"/>
        <w:tblW w:w="10064" w:type="dxa"/>
        <w:tblLook w:val="0420" w:firstRow="1" w:lastRow="0" w:firstColumn="0" w:lastColumn="0" w:noHBand="0" w:noVBand="1"/>
      </w:tblPr>
      <w:tblGrid>
        <w:gridCol w:w="735"/>
        <w:gridCol w:w="1708"/>
        <w:gridCol w:w="7621"/>
      </w:tblGrid>
      <w:tr w:rsidR="005011CE" w:rsidRPr="00344D09" w14:paraId="692999E1" w14:textId="77777777" w:rsidTr="00930C43">
        <w:trPr>
          <w:cnfStyle w:val="100000000000" w:firstRow="1" w:lastRow="0" w:firstColumn="0" w:lastColumn="0" w:oddVBand="0" w:evenVBand="0" w:oddHBand="0" w:evenHBand="0" w:firstRowFirstColumn="0" w:firstRowLastColumn="0" w:lastRowFirstColumn="0" w:lastRowLastColumn="0"/>
        </w:trPr>
        <w:tc>
          <w:tcPr>
            <w:tcW w:w="737" w:type="dxa"/>
          </w:tcPr>
          <w:p w14:paraId="118A3A28" w14:textId="77777777" w:rsidR="005011CE" w:rsidRPr="00344D09" w:rsidRDefault="00000000">
            <w:pPr>
              <w:spacing w:before="50" w:after="50"/>
              <w:rPr>
                <w:sz w:val="22"/>
                <w:szCs w:val="22"/>
              </w:rPr>
            </w:pPr>
            <w:r w:rsidRPr="00344D09">
              <w:rPr>
                <w:rFonts w:eastAsia="Arial"/>
                <w:color w:val="FFFFFF"/>
                <w:sz w:val="22"/>
                <w:szCs w:val="22"/>
              </w:rPr>
              <w:t>Step</w:t>
            </w:r>
          </w:p>
        </w:tc>
        <w:tc>
          <w:tcPr>
            <w:tcW w:w="1385" w:type="dxa"/>
          </w:tcPr>
          <w:p w14:paraId="7EE5C9EC" w14:textId="77777777" w:rsidR="005011CE" w:rsidRPr="00344D09" w:rsidRDefault="00000000">
            <w:pPr>
              <w:spacing w:before="50" w:after="50"/>
              <w:rPr>
                <w:sz w:val="22"/>
                <w:szCs w:val="22"/>
              </w:rPr>
            </w:pPr>
            <w:r w:rsidRPr="00344D09">
              <w:rPr>
                <w:rFonts w:eastAsia="Arial"/>
                <w:color w:val="FFFFFF"/>
                <w:sz w:val="22"/>
                <w:szCs w:val="22"/>
              </w:rPr>
              <w:t>Action</w:t>
            </w:r>
          </w:p>
        </w:tc>
        <w:tc>
          <w:tcPr>
            <w:tcW w:w="7942" w:type="dxa"/>
          </w:tcPr>
          <w:p w14:paraId="5080682E" w14:textId="77777777" w:rsidR="005011CE" w:rsidRPr="00344D09" w:rsidRDefault="00000000">
            <w:pPr>
              <w:spacing w:before="50" w:after="50"/>
              <w:rPr>
                <w:sz w:val="22"/>
                <w:szCs w:val="22"/>
              </w:rPr>
            </w:pPr>
            <w:r w:rsidRPr="00344D09">
              <w:rPr>
                <w:rFonts w:eastAsia="Arial"/>
                <w:color w:val="FFFFFF"/>
                <w:sz w:val="22"/>
                <w:szCs w:val="22"/>
              </w:rPr>
              <w:t xml:space="preserve">How it works </w:t>
            </w:r>
            <w:proofErr w:type="gramStart"/>
            <w:r w:rsidRPr="00344D09">
              <w:rPr>
                <w:rFonts w:eastAsia="Arial"/>
                <w:color w:val="FFFFFF"/>
                <w:sz w:val="22"/>
                <w:szCs w:val="22"/>
              </w:rPr>
              <w:t>on-chain</w:t>
            </w:r>
            <w:proofErr w:type="gramEnd"/>
          </w:p>
        </w:tc>
      </w:tr>
      <w:tr w:rsidR="005011CE" w:rsidRPr="00344D09" w14:paraId="2E99CFE2" w14:textId="77777777" w:rsidTr="00930C43">
        <w:trPr>
          <w:cnfStyle w:val="000000100000" w:firstRow="0" w:lastRow="0" w:firstColumn="0" w:lastColumn="0" w:oddVBand="0" w:evenVBand="0" w:oddHBand="1" w:evenHBand="0" w:firstRowFirstColumn="0" w:firstRowLastColumn="0" w:lastRowFirstColumn="0" w:lastRowLastColumn="0"/>
        </w:trPr>
        <w:tc>
          <w:tcPr>
            <w:tcW w:w="737" w:type="dxa"/>
          </w:tcPr>
          <w:p w14:paraId="7C013F86" w14:textId="77777777" w:rsidR="005011CE" w:rsidRPr="009F5449" w:rsidRDefault="00000000">
            <w:pPr>
              <w:spacing w:before="50" w:after="50"/>
              <w:jc w:val="center"/>
              <w:rPr>
                <w:sz w:val="22"/>
                <w:szCs w:val="22"/>
              </w:rPr>
            </w:pPr>
            <w:r w:rsidRPr="009F5449">
              <w:rPr>
                <w:rFonts w:eastAsia="Arial"/>
                <w:sz w:val="22"/>
                <w:szCs w:val="22"/>
              </w:rPr>
              <w:t>1</w:t>
            </w:r>
          </w:p>
        </w:tc>
        <w:tc>
          <w:tcPr>
            <w:tcW w:w="1385" w:type="dxa"/>
          </w:tcPr>
          <w:p w14:paraId="56EF025F" w14:textId="77777777" w:rsidR="005011CE" w:rsidRPr="00344D09" w:rsidRDefault="00000000">
            <w:pPr>
              <w:spacing w:before="50" w:after="50"/>
              <w:rPr>
                <w:sz w:val="22"/>
                <w:szCs w:val="22"/>
              </w:rPr>
            </w:pPr>
            <w:r w:rsidRPr="00344D09">
              <w:rPr>
                <w:rFonts w:eastAsia="Arial"/>
                <w:b/>
                <w:bCs/>
                <w:color w:val="1A1A2E"/>
                <w:sz w:val="22"/>
                <w:szCs w:val="22"/>
              </w:rPr>
              <w:t>Behavioral Scoring</w:t>
            </w:r>
          </w:p>
        </w:tc>
        <w:tc>
          <w:tcPr>
            <w:tcW w:w="7942" w:type="dxa"/>
          </w:tcPr>
          <w:p w14:paraId="2A3AD8BF"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 xml:space="preserve">A mobile app tracks riding patterns — speed adherence, braking intensity, riding times, and GPS routes. Instead of uploading raw data, users generate Zero-Knowledge (ZK) proofs that attest to safe behavior metrics. Only aggregated scores are stored </w:t>
            </w:r>
            <w:proofErr w:type="gramStart"/>
            <w:r w:rsidRPr="00344D09">
              <w:rPr>
                <w:rFonts w:eastAsia="Arial"/>
                <w:color w:val="000000" w:themeColor="text1"/>
                <w:sz w:val="22"/>
                <w:szCs w:val="22"/>
              </w:rPr>
              <w:t>on-chain</w:t>
            </w:r>
            <w:proofErr w:type="gramEnd"/>
            <w:r w:rsidRPr="00344D09">
              <w:rPr>
                <w:rFonts w:eastAsia="Arial"/>
                <w:color w:val="000000" w:themeColor="text1"/>
                <w:sz w:val="22"/>
                <w:szCs w:val="22"/>
              </w:rPr>
              <w:t>.</w:t>
            </w:r>
          </w:p>
        </w:tc>
      </w:tr>
      <w:tr w:rsidR="005011CE" w:rsidRPr="00344D09" w14:paraId="4ABA35EC" w14:textId="77777777" w:rsidTr="00930C43">
        <w:tc>
          <w:tcPr>
            <w:tcW w:w="737" w:type="dxa"/>
          </w:tcPr>
          <w:p w14:paraId="5DC8E94A" w14:textId="77777777" w:rsidR="005011CE" w:rsidRPr="009F5449" w:rsidRDefault="00000000">
            <w:pPr>
              <w:spacing w:before="50" w:after="50"/>
              <w:jc w:val="center"/>
              <w:rPr>
                <w:sz w:val="22"/>
                <w:szCs w:val="22"/>
              </w:rPr>
            </w:pPr>
            <w:r w:rsidRPr="009F5449">
              <w:rPr>
                <w:rFonts w:eastAsia="Arial"/>
                <w:sz w:val="22"/>
                <w:szCs w:val="22"/>
              </w:rPr>
              <w:t>2</w:t>
            </w:r>
          </w:p>
        </w:tc>
        <w:tc>
          <w:tcPr>
            <w:tcW w:w="1385" w:type="dxa"/>
          </w:tcPr>
          <w:p w14:paraId="7FAAB410" w14:textId="77777777" w:rsidR="005011CE" w:rsidRPr="00344D09" w:rsidRDefault="00000000">
            <w:pPr>
              <w:spacing w:before="50" w:after="50"/>
              <w:rPr>
                <w:sz w:val="22"/>
                <w:szCs w:val="22"/>
              </w:rPr>
            </w:pPr>
            <w:r w:rsidRPr="00344D09">
              <w:rPr>
                <w:rFonts w:eastAsia="Arial"/>
                <w:b/>
                <w:bCs/>
                <w:color w:val="1A1A2E"/>
                <w:sz w:val="22"/>
                <w:szCs w:val="22"/>
              </w:rPr>
              <w:t>Staking &amp; Premium</w:t>
            </w:r>
          </w:p>
        </w:tc>
        <w:tc>
          <w:tcPr>
            <w:tcW w:w="7942" w:type="dxa"/>
          </w:tcPr>
          <w:p w14:paraId="52CAD780"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Riders stake USDC into a shared smart contract pool. Premiums are automatically calculated and adjusted monthly based on the rider's on-chain behavioral score and current pool liquidity.</w:t>
            </w:r>
          </w:p>
        </w:tc>
      </w:tr>
      <w:tr w:rsidR="005011CE" w:rsidRPr="00344D09" w14:paraId="30B3CD3D" w14:textId="77777777" w:rsidTr="00930C43">
        <w:trPr>
          <w:cnfStyle w:val="000000100000" w:firstRow="0" w:lastRow="0" w:firstColumn="0" w:lastColumn="0" w:oddVBand="0" w:evenVBand="0" w:oddHBand="1" w:evenHBand="0" w:firstRowFirstColumn="0" w:firstRowLastColumn="0" w:lastRowFirstColumn="0" w:lastRowLastColumn="0"/>
        </w:trPr>
        <w:tc>
          <w:tcPr>
            <w:tcW w:w="737" w:type="dxa"/>
          </w:tcPr>
          <w:p w14:paraId="64B37234" w14:textId="77777777" w:rsidR="005011CE" w:rsidRPr="009F5449" w:rsidRDefault="00000000">
            <w:pPr>
              <w:spacing w:before="50" w:after="50"/>
              <w:jc w:val="center"/>
              <w:rPr>
                <w:sz w:val="22"/>
                <w:szCs w:val="22"/>
              </w:rPr>
            </w:pPr>
            <w:r w:rsidRPr="009F5449">
              <w:rPr>
                <w:rFonts w:eastAsia="Arial"/>
                <w:sz w:val="22"/>
                <w:szCs w:val="22"/>
              </w:rPr>
              <w:t>3</w:t>
            </w:r>
          </w:p>
        </w:tc>
        <w:tc>
          <w:tcPr>
            <w:tcW w:w="1385" w:type="dxa"/>
          </w:tcPr>
          <w:p w14:paraId="53311C11" w14:textId="77777777" w:rsidR="005011CE" w:rsidRPr="00344D09" w:rsidRDefault="00000000">
            <w:pPr>
              <w:spacing w:before="50" w:after="50"/>
              <w:rPr>
                <w:sz w:val="22"/>
                <w:szCs w:val="22"/>
              </w:rPr>
            </w:pPr>
            <w:r w:rsidRPr="00344D09">
              <w:rPr>
                <w:rFonts w:eastAsia="Arial"/>
                <w:b/>
                <w:bCs/>
                <w:color w:val="1A1A2E"/>
                <w:sz w:val="22"/>
                <w:szCs w:val="22"/>
              </w:rPr>
              <w:t>Claims Processing</w:t>
            </w:r>
          </w:p>
        </w:tc>
        <w:tc>
          <w:tcPr>
            <w:tcW w:w="7942" w:type="dxa"/>
          </w:tcPr>
          <w:p w14:paraId="1E0E9696" w14:textId="057C39B0" w:rsidR="005011CE" w:rsidRPr="00344D09" w:rsidRDefault="00000000">
            <w:pPr>
              <w:spacing w:before="50" w:after="50"/>
              <w:rPr>
                <w:color w:val="000000" w:themeColor="text1"/>
                <w:sz w:val="22"/>
                <w:szCs w:val="22"/>
              </w:rPr>
            </w:pPr>
            <w:r w:rsidRPr="00344D09">
              <w:rPr>
                <w:rFonts w:eastAsia="Arial"/>
                <w:color w:val="000000" w:themeColor="text1"/>
                <w:sz w:val="22"/>
                <w:szCs w:val="22"/>
              </w:rPr>
              <w:t xml:space="preserve">Claims are handled through a tiered hybrid model: </w:t>
            </w:r>
            <w:r w:rsidR="00FD4EDA" w:rsidRPr="00344D09">
              <w:rPr>
                <w:rFonts w:eastAsia="Arial"/>
                <w:color w:val="000000" w:themeColor="text1"/>
                <w:sz w:val="22"/>
                <w:szCs w:val="22"/>
              </w:rPr>
              <w:br/>
            </w:r>
            <w:r w:rsidRPr="00344D09">
              <w:rPr>
                <w:rFonts w:eastAsia="Arial"/>
                <w:color w:val="000000" w:themeColor="text1"/>
                <w:sz w:val="22"/>
                <w:szCs w:val="22"/>
              </w:rPr>
              <w:t xml:space="preserve">(1) Fully automated — easily verifiable events such as theft with policy confirmation. </w:t>
            </w:r>
            <w:r w:rsidR="00FD4EDA" w:rsidRPr="00344D09">
              <w:rPr>
                <w:rFonts w:eastAsia="Arial"/>
                <w:color w:val="000000" w:themeColor="text1"/>
                <w:sz w:val="22"/>
                <w:szCs w:val="22"/>
              </w:rPr>
              <w:br/>
            </w:r>
            <w:r w:rsidRPr="00344D09">
              <w:rPr>
                <w:rFonts w:eastAsia="Arial"/>
                <w:color w:val="000000" w:themeColor="text1"/>
                <w:sz w:val="22"/>
                <w:szCs w:val="22"/>
              </w:rPr>
              <w:t xml:space="preserve">(2) Semi-automated — oracle + validator consensus for minor accidents. </w:t>
            </w:r>
            <w:r w:rsidR="00FD4EDA" w:rsidRPr="00344D09">
              <w:rPr>
                <w:rFonts w:eastAsia="Arial"/>
                <w:color w:val="000000" w:themeColor="text1"/>
                <w:sz w:val="22"/>
                <w:szCs w:val="22"/>
              </w:rPr>
              <w:br/>
            </w:r>
            <w:r w:rsidRPr="00344D09">
              <w:rPr>
                <w:rFonts w:eastAsia="Arial"/>
                <w:color w:val="000000" w:themeColor="text1"/>
                <w:sz w:val="22"/>
                <w:szCs w:val="22"/>
              </w:rPr>
              <w:t>(3) Disputed — resolved via decentralized arbitration.</w:t>
            </w:r>
          </w:p>
        </w:tc>
      </w:tr>
      <w:tr w:rsidR="005011CE" w:rsidRPr="00344D09" w14:paraId="672CE3DF" w14:textId="77777777" w:rsidTr="00930C43">
        <w:tc>
          <w:tcPr>
            <w:tcW w:w="737" w:type="dxa"/>
          </w:tcPr>
          <w:p w14:paraId="7CD56157" w14:textId="77777777" w:rsidR="005011CE" w:rsidRPr="009F5449" w:rsidRDefault="00000000">
            <w:pPr>
              <w:spacing w:before="50" w:after="50"/>
              <w:jc w:val="center"/>
              <w:rPr>
                <w:sz w:val="22"/>
                <w:szCs w:val="22"/>
              </w:rPr>
            </w:pPr>
            <w:r w:rsidRPr="009F5449">
              <w:rPr>
                <w:rFonts w:eastAsia="Arial"/>
                <w:sz w:val="22"/>
                <w:szCs w:val="22"/>
              </w:rPr>
              <w:t>4</w:t>
            </w:r>
          </w:p>
        </w:tc>
        <w:tc>
          <w:tcPr>
            <w:tcW w:w="1385" w:type="dxa"/>
          </w:tcPr>
          <w:p w14:paraId="2104520D" w14:textId="77777777" w:rsidR="005011CE" w:rsidRPr="00344D09" w:rsidRDefault="00000000">
            <w:pPr>
              <w:spacing w:before="50" w:after="50"/>
              <w:rPr>
                <w:sz w:val="22"/>
                <w:szCs w:val="22"/>
              </w:rPr>
            </w:pPr>
            <w:r w:rsidRPr="00344D09">
              <w:rPr>
                <w:rFonts w:eastAsia="Arial"/>
                <w:b/>
                <w:bCs/>
                <w:color w:val="1A1A2E"/>
                <w:sz w:val="22"/>
                <w:szCs w:val="22"/>
              </w:rPr>
              <w:t>Year-End Redistribution</w:t>
            </w:r>
          </w:p>
        </w:tc>
        <w:tc>
          <w:tcPr>
            <w:tcW w:w="7942" w:type="dxa"/>
          </w:tcPr>
          <w:p w14:paraId="3DCC718C"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Unclaimed premiums are partially redistributed to safe riders as a rebate at year end. Risky riders pay more; consistent safe riders are financially rewarded.</w:t>
            </w:r>
          </w:p>
        </w:tc>
      </w:tr>
      <w:tr w:rsidR="005011CE" w:rsidRPr="00344D09" w14:paraId="02DFFC8A" w14:textId="77777777" w:rsidTr="00930C43">
        <w:trPr>
          <w:cnfStyle w:val="000000100000" w:firstRow="0" w:lastRow="0" w:firstColumn="0" w:lastColumn="0" w:oddVBand="0" w:evenVBand="0" w:oddHBand="1" w:evenHBand="0" w:firstRowFirstColumn="0" w:firstRowLastColumn="0" w:lastRowFirstColumn="0" w:lastRowLastColumn="0"/>
        </w:trPr>
        <w:tc>
          <w:tcPr>
            <w:tcW w:w="737" w:type="dxa"/>
          </w:tcPr>
          <w:p w14:paraId="402EBDF3" w14:textId="77777777" w:rsidR="005011CE" w:rsidRPr="009F5449" w:rsidRDefault="00000000">
            <w:pPr>
              <w:spacing w:before="50" w:after="50"/>
              <w:jc w:val="center"/>
              <w:rPr>
                <w:sz w:val="22"/>
                <w:szCs w:val="22"/>
              </w:rPr>
            </w:pPr>
            <w:r w:rsidRPr="009F5449">
              <w:rPr>
                <w:rFonts w:eastAsia="Arial"/>
                <w:sz w:val="22"/>
                <w:szCs w:val="22"/>
              </w:rPr>
              <w:t>5</w:t>
            </w:r>
          </w:p>
        </w:tc>
        <w:tc>
          <w:tcPr>
            <w:tcW w:w="1385" w:type="dxa"/>
          </w:tcPr>
          <w:p w14:paraId="5C39E83F" w14:textId="77777777" w:rsidR="005011CE" w:rsidRPr="00344D09" w:rsidRDefault="00000000">
            <w:pPr>
              <w:spacing w:before="50" w:after="50"/>
              <w:rPr>
                <w:sz w:val="22"/>
                <w:szCs w:val="22"/>
              </w:rPr>
            </w:pPr>
            <w:r w:rsidRPr="00344D09">
              <w:rPr>
                <w:rFonts w:eastAsia="Arial"/>
                <w:b/>
                <w:bCs/>
                <w:color w:val="1A1A2E"/>
                <w:sz w:val="22"/>
                <w:szCs w:val="22"/>
              </w:rPr>
              <w:t>Portable Reputation</w:t>
            </w:r>
          </w:p>
        </w:tc>
        <w:tc>
          <w:tcPr>
            <w:tcW w:w="7942" w:type="dxa"/>
          </w:tcPr>
          <w:p w14:paraId="348F91FA"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Each rider's behavioral record is stored on-chain and is fully portable across insurers and platforms — permanently eliminating the blank-slate penalty when leaving a family plan.</w:t>
            </w:r>
          </w:p>
        </w:tc>
      </w:tr>
    </w:tbl>
    <w:p w14:paraId="786A4509" w14:textId="77777777" w:rsidR="00344D09" w:rsidRPr="00344D09" w:rsidRDefault="00344D09" w:rsidP="00344D09">
      <w:pPr>
        <w:spacing w:before="50" w:after="50"/>
        <w:rPr>
          <w:rFonts w:eastAsia="Arial"/>
          <w:b/>
          <w:bCs/>
          <w:color w:val="9B2226"/>
          <w:sz w:val="24"/>
          <w:szCs w:val="24"/>
        </w:rPr>
      </w:pPr>
    </w:p>
    <w:p w14:paraId="46E1A905" w14:textId="167797EE" w:rsidR="005011CE" w:rsidRPr="00344D09" w:rsidRDefault="00000000" w:rsidP="00344D09">
      <w:pPr>
        <w:spacing w:before="50" w:after="50"/>
        <w:rPr>
          <w:sz w:val="24"/>
          <w:szCs w:val="24"/>
        </w:rPr>
      </w:pPr>
      <w:r w:rsidRPr="00344D09">
        <w:rPr>
          <w:rFonts w:eastAsia="Arial"/>
          <w:b/>
          <w:bCs/>
          <w:color w:val="1A1A2E"/>
          <w:sz w:val="24"/>
          <w:szCs w:val="24"/>
        </w:rPr>
        <w:t>Target Users</w:t>
      </w:r>
    </w:p>
    <w:tbl>
      <w:tblPr>
        <w:tblStyle w:val="2-4"/>
        <w:tblW w:w="9922" w:type="dxa"/>
        <w:tblLook w:val="0400" w:firstRow="0" w:lastRow="0" w:firstColumn="0" w:lastColumn="0" w:noHBand="0" w:noVBand="1"/>
      </w:tblPr>
      <w:tblGrid>
        <w:gridCol w:w="2000"/>
        <w:gridCol w:w="7922"/>
      </w:tblGrid>
      <w:tr w:rsidR="005011CE" w:rsidRPr="00344D09" w14:paraId="05C187F4" w14:textId="77777777" w:rsidTr="00344D09">
        <w:trPr>
          <w:cnfStyle w:val="000000100000" w:firstRow="0" w:lastRow="0" w:firstColumn="0" w:lastColumn="0" w:oddVBand="0" w:evenVBand="0" w:oddHBand="1" w:evenHBand="0" w:firstRowFirstColumn="0" w:firstRowLastColumn="0" w:lastRowFirstColumn="0" w:lastRowLastColumn="0"/>
        </w:trPr>
        <w:tc>
          <w:tcPr>
            <w:tcW w:w="2000" w:type="dxa"/>
          </w:tcPr>
          <w:p w14:paraId="5A1DFC7B" w14:textId="77777777" w:rsidR="005011CE" w:rsidRPr="00344D09" w:rsidRDefault="00000000">
            <w:pPr>
              <w:spacing w:before="50" w:after="50"/>
              <w:rPr>
                <w:sz w:val="22"/>
                <w:szCs w:val="22"/>
              </w:rPr>
            </w:pPr>
            <w:r w:rsidRPr="00344D09">
              <w:rPr>
                <w:rFonts w:eastAsia="Arial"/>
                <w:b/>
                <w:bCs/>
                <w:color w:val="1A1A2E"/>
                <w:sz w:val="22"/>
                <w:szCs w:val="22"/>
              </w:rPr>
              <w:t>Used bike buyers</w:t>
            </w:r>
          </w:p>
        </w:tc>
        <w:tc>
          <w:tcPr>
            <w:tcW w:w="7922" w:type="dxa"/>
          </w:tcPr>
          <w:p w14:paraId="4B6BE874"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 xml:space="preserve">Instantly verify any bike's full, unforgeable history before purchase. No longer dependent on trusting the seller's word on platforms like Naver Cafe or </w:t>
            </w:r>
            <w:proofErr w:type="spellStart"/>
            <w:r w:rsidRPr="00344D09">
              <w:rPr>
                <w:rFonts w:eastAsia="Arial"/>
                <w:color w:val="000000" w:themeColor="text1"/>
                <w:sz w:val="22"/>
                <w:szCs w:val="22"/>
              </w:rPr>
              <w:t>Bungae</w:t>
            </w:r>
            <w:proofErr w:type="spellEnd"/>
            <w:r w:rsidRPr="00344D09">
              <w:rPr>
                <w:rFonts w:eastAsia="Arial"/>
                <w:color w:val="000000" w:themeColor="text1"/>
                <w:sz w:val="22"/>
                <w:szCs w:val="22"/>
              </w:rPr>
              <w:t xml:space="preserve"> </w:t>
            </w:r>
            <w:proofErr w:type="spellStart"/>
            <w:r w:rsidRPr="00344D09">
              <w:rPr>
                <w:rFonts w:eastAsia="Arial"/>
                <w:color w:val="000000" w:themeColor="text1"/>
                <w:sz w:val="22"/>
                <w:szCs w:val="22"/>
              </w:rPr>
              <w:t>Jangter</w:t>
            </w:r>
            <w:proofErr w:type="spellEnd"/>
            <w:r w:rsidRPr="00344D09">
              <w:rPr>
                <w:rFonts w:eastAsia="Arial"/>
                <w:color w:val="000000" w:themeColor="text1"/>
                <w:sz w:val="22"/>
                <w:szCs w:val="22"/>
              </w:rPr>
              <w:t>.</w:t>
            </w:r>
          </w:p>
        </w:tc>
      </w:tr>
      <w:tr w:rsidR="005011CE" w:rsidRPr="00344D09" w14:paraId="5CBE823F" w14:textId="77777777" w:rsidTr="00344D09">
        <w:tc>
          <w:tcPr>
            <w:tcW w:w="2000" w:type="dxa"/>
          </w:tcPr>
          <w:p w14:paraId="6C895F00" w14:textId="77777777" w:rsidR="005011CE" w:rsidRPr="00344D09" w:rsidRDefault="00000000">
            <w:pPr>
              <w:spacing w:before="50" w:after="50"/>
              <w:rPr>
                <w:sz w:val="22"/>
                <w:szCs w:val="22"/>
              </w:rPr>
            </w:pPr>
            <w:r w:rsidRPr="00344D09">
              <w:rPr>
                <w:rFonts w:eastAsia="Arial"/>
                <w:b/>
                <w:bCs/>
                <w:color w:val="1A1A2E"/>
                <w:sz w:val="22"/>
                <w:szCs w:val="22"/>
              </w:rPr>
              <w:t>Safe young riders</w:t>
            </w:r>
          </w:p>
        </w:tc>
        <w:tc>
          <w:tcPr>
            <w:tcW w:w="7922" w:type="dxa"/>
          </w:tcPr>
          <w:p w14:paraId="6D0E6827"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Build a portable on-chain riding record from day one. Eliminates the arbitrary age penalty and blank-slate premium cliff when registering independently.</w:t>
            </w:r>
          </w:p>
        </w:tc>
      </w:tr>
      <w:tr w:rsidR="005011CE" w:rsidRPr="00344D09" w14:paraId="75EE0DD5" w14:textId="77777777" w:rsidTr="00344D09">
        <w:trPr>
          <w:cnfStyle w:val="000000100000" w:firstRow="0" w:lastRow="0" w:firstColumn="0" w:lastColumn="0" w:oddVBand="0" w:evenVBand="0" w:oddHBand="1" w:evenHBand="0" w:firstRowFirstColumn="0" w:firstRowLastColumn="0" w:lastRowFirstColumn="0" w:lastRowLastColumn="0"/>
        </w:trPr>
        <w:tc>
          <w:tcPr>
            <w:tcW w:w="2000" w:type="dxa"/>
          </w:tcPr>
          <w:p w14:paraId="1397A240" w14:textId="77777777" w:rsidR="005011CE" w:rsidRPr="00344D09" w:rsidRDefault="00000000">
            <w:pPr>
              <w:spacing w:before="50" w:after="50"/>
              <w:rPr>
                <w:sz w:val="22"/>
                <w:szCs w:val="22"/>
              </w:rPr>
            </w:pPr>
            <w:r w:rsidRPr="00344D09">
              <w:rPr>
                <w:rFonts w:eastAsia="Arial"/>
                <w:b/>
                <w:bCs/>
                <w:color w:val="1A1A2E"/>
                <w:sz w:val="22"/>
                <w:szCs w:val="22"/>
              </w:rPr>
              <w:t>Mechanics &amp; dealers</w:t>
            </w:r>
          </w:p>
        </w:tc>
        <w:tc>
          <w:tcPr>
            <w:tcW w:w="7922" w:type="dxa"/>
          </w:tcPr>
          <w:p w14:paraId="3B38324A"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Staking-based write access builds verified professional credibility. Honest participation earns fees; fraudulent entries slash their staked tokens.</w:t>
            </w:r>
          </w:p>
        </w:tc>
      </w:tr>
      <w:tr w:rsidR="005011CE" w:rsidRPr="00344D09" w14:paraId="23E96657" w14:textId="77777777" w:rsidTr="00344D09">
        <w:tc>
          <w:tcPr>
            <w:tcW w:w="2000" w:type="dxa"/>
          </w:tcPr>
          <w:p w14:paraId="4895931F" w14:textId="77777777" w:rsidR="005011CE" w:rsidRPr="00344D09" w:rsidRDefault="00000000">
            <w:pPr>
              <w:spacing w:before="50" w:after="50"/>
              <w:rPr>
                <w:sz w:val="22"/>
                <w:szCs w:val="22"/>
              </w:rPr>
            </w:pPr>
            <w:r w:rsidRPr="00344D09">
              <w:rPr>
                <w:rFonts w:eastAsia="Arial"/>
                <w:b/>
                <w:bCs/>
                <w:color w:val="1A1A2E"/>
                <w:sz w:val="22"/>
                <w:szCs w:val="22"/>
              </w:rPr>
              <w:t>Insurers &amp; lenders</w:t>
            </w:r>
          </w:p>
        </w:tc>
        <w:tc>
          <w:tcPr>
            <w:tcW w:w="7922" w:type="dxa"/>
          </w:tcPr>
          <w:p w14:paraId="2D39F7EF"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Real-time access to tamper-proof vehicle histories and behavioral rider profiles enables more accurate underwriting, risk assessment, and lending decisions.</w:t>
            </w:r>
          </w:p>
        </w:tc>
      </w:tr>
    </w:tbl>
    <w:p w14:paraId="351B41B9" w14:textId="77777777" w:rsidR="00344D09" w:rsidRPr="00344D09" w:rsidRDefault="00344D09">
      <w:pPr>
        <w:pBdr>
          <w:bottom w:val="single" w:sz="2" w:space="2" w:color="9B2226"/>
        </w:pBdr>
        <w:spacing w:before="160" w:after="40"/>
        <w:rPr>
          <w:rFonts w:eastAsia="Arial"/>
          <w:b/>
          <w:bCs/>
          <w:color w:val="9B2226"/>
          <w:sz w:val="24"/>
          <w:szCs w:val="24"/>
        </w:rPr>
      </w:pPr>
    </w:p>
    <w:p w14:paraId="64739A5D" w14:textId="050C3498" w:rsidR="005011CE" w:rsidRPr="00344D09" w:rsidRDefault="00000000">
      <w:pPr>
        <w:pBdr>
          <w:bottom w:val="single" w:sz="2" w:space="2" w:color="9B2226"/>
        </w:pBdr>
        <w:spacing w:before="160" w:after="40"/>
        <w:rPr>
          <w:sz w:val="24"/>
          <w:szCs w:val="24"/>
        </w:rPr>
      </w:pPr>
      <w:r w:rsidRPr="00344D09">
        <w:rPr>
          <w:rFonts w:eastAsia="Arial"/>
          <w:b/>
          <w:bCs/>
          <w:color w:val="1A1A2E"/>
          <w:sz w:val="24"/>
          <w:szCs w:val="24"/>
        </w:rPr>
        <w:t>Value Proposition</w:t>
      </w:r>
    </w:p>
    <w:tbl>
      <w:tblPr>
        <w:tblStyle w:val="2-4"/>
        <w:tblW w:w="9922" w:type="dxa"/>
        <w:tblLook w:val="0400" w:firstRow="0" w:lastRow="0" w:firstColumn="0" w:lastColumn="0" w:noHBand="0" w:noVBand="1"/>
      </w:tblPr>
      <w:tblGrid>
        <w:gridCol w:w="2200"/>
        <w:gridCol w:w="7722"/>
      </w:tblGrid>
      <w:tr w:rsidR="005011CE" w:rsidRPr="00344D09" w14:paraId="6D44D73C" w14:textId="77777777" w:rsidTr="00930C43">
        <w:trPr>
          <w:cnfStyle w:val="000000100000" w:firstRow="0" w:lastRow="0" w:firstColumn="0" w:lastColumn="0" w:oddVBand="0" w:evenVBand="0" w:oddHBand="1" w:evenHBand="0" w:firstRowFirstColumn="0" w:firstRowLastColumn="0" w:lastRowFirstColumn="0" w:lastRowLastColumn="0"/>
        </w:trPr>
        <w:tc>
          <w:tcPr>
            <w:tcW w:w="2200" w:type="dxa"/>
          </w:tcPr>
          <w:p w14:paraId="0FAF46D0" w14:textId="77777777" w:rsidR="005011CE" w:rsidRPr="00344D09" w:rsidRDefault="00000000">
            <w:pPr>
              <w:spacing w:before="50" w:after="50"/>
              <w:rPr>
                <w:sz w:val="22"/>
                <w:szCs w:val="22"/>
              </w:rPr>
            </w:pPr>
            <w:r w:rsidRPr="00344D09">
              <w:rPr>
                <w:rFonts w:eastAsia="Arial"/>
                <w:b/>
                <w:bCs/>
                <w:color w:val="1A1A2E"/>
                <w:sz w:val="22"/>
                <w:szCs w:val="22"/>
              </w:rPr>
              <w:t xml:space="preserve">vs. Naver Cafe / </w:t>
            </w:r>
            <w:proofErr w:type="spellStart"/>
            <w:r w:rsidRPr="00344D09">
              <w:rPr>
                <w:rFonts w:eastAsia="Arial"/>
                <w:b/>
                <w:bCs/>
                <w:color w:val="1A1A2E"/>
                <w:sz w:val="22"/>
                <w:szCs w:val="22"/>
              </w:rPr>
              <w:t>Bungae</w:t>
            </w:r>
            <w:proofErr w:type="spellEnd"/>
            <w:r w:rsidRPr="00344D09">
              <w:rPr>
                <w:rFonts w:eastAsia="Arial"/>
                <w:b/>
                <w:bCs/>
                <w:color w:val="1A1A2E"/>
                <w:sz w:val="22"/>
                <w:szCs w:val="22"/>
              </w:rPr>
              <w:t xml:space="preserve"> </w:t>
            </w:r>
            <w:proofErr w:type="spellStart"/>
            <w:r w:rsidRPr="00344D09">
              <w:rPr>
                <w:rFonts w:eastAsia="Arial"/>
                <w:b/>
                <w:bCs/>
                <w:color w:val="1A1A2E"/>
                <w:sz w:val="22"/>
                <w:szCs w:val="22"/>
              </w:rPr>
              <w:t>Jangter</w:t>
            </w:r>
            <w:proofErr w:type="spellEnd"/>
          </w:p>
        </w:tc>
        <w:tc>
          <w:tcPr>
            <w:tcW w:w="7722" w:type="dxa"/>
          </w:tcPr>
          <w:p w14:paraId="523C458B"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 xml:space="preserve">Zero verification today — listings rely entirely on seller honesty. </w:t>
            </w:r>
            <w:proofErr w:type="spellStart"/>
            <w:r w:rsidRPr="00344D09">
              <w:rPr>
                <w:rFonts w:eastAsia="Arial"/>
                <w:color w:val="000000" w:themeColor="text1"/>
                <w:sz w:val="22"/>
                <w:szCs w:val="22"/>
              </w:rPr>
              <w:t>MotoChain</w:t>
            </w:r>
            <w:proofErr w:type="spellEnd"/>
            <w:r w:rsidRPr="00344D09">
              <w:rPr>
                <w:rFonts w:eastAsia="Arial"/>
                <w:color w:val="000000" w:themeColor="text1"/>
                <w:sz w:val="22"/>
                <w:szCs w:val="22"/>
              </w:rPr>
              <w:t xml:space="preserve"> provides a tamper-proof, decentralized vehicle history secured by cryptographic signing and economic incentives that make fraud costly.</w:t>
            </w:r>
          </w:p>
        </w:tc>
      </w:tr>
      <w:tr w:rsidR="005011CE" w:rsidRPr="00344D09" w14:paraId="05FCF8D6" w14:textId="77777777" w:rsidTr="00930C43">
        <w:tc>
          <w:tcPr>
            <w:tcW w:w="2200" w:type="dxa"/>
          </w:tcPr>
          <w:p w14:paraId="05020EAA" w14:textId="77777777" w:rsidR="005011CE" w:rsidRPr="00344D09" w:rsidRDefault="00000000">
            <w:pPr>
              <w:spacing w:before="50" w:after="50"/>
              <w:rPr>
                <w:sz w:val="22"/>
                <w:szCs w:val="22"/>
              </w:rPr>
            </w:pPr>
            <w:r w:rsidRPr="00344D09">
              <w:rPr>
                <w:rFonts w:eastAsia="Arial"/>
                <w:b/>
                <w:bCs/>
                <w:color w:val="1A1A2E"/>
                <w:sz w:val="22"/>
                <w:szCs w:val="22"/>
              </w:rPr>
              <w:t>vs. Traditional Korean insurers</w:t>
            </w:r>
          </w:p>
        </w:tc>
        <w:tc>
          <w:tcPr>
            <w:tcW w:w="7722" w:type="dxa"/>
          </w:tcPr>
          <w:p w14:paraId="3AF93898"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 xml:space="preserve">Blunt demographic proxies (age, registration year) vs. real behavioral data. </w:t>
            </w:r>
            <w:proofErr w:type="spellStart"/>
            <w:r w:rsidRPr="00344D09">
              <w:rPr>
                <w:rFonts w:eastAsia="Arial"/>
                <w:color w:val="000000" w:themeColor="text1"/>
                <w:sz w:val="22"/>
                <w:szCs w:val="22"/>
              </w:rPr>
              <w:t>RideTrue</w:t>
            </w:r>
            <w:proofErr w:type="spellEnd"/>
            <w:r w:rsidRPr="00344D09">
              <w:rPr>
                <w:rFonts w:eastAsia="Arial"/>
                <w:color w:val="000000" w:themeColor="text1"/>
                <w:sz w:val="22"/>
                <w:szCs w:val="22"/>
              </w:rPr>
              <w:t xml:space="preserve"> is objectively fairer and more accurate — and impossible to game without </w:t>
            </w:r>
            <w:proofErr w:type="gramStart"/>
            <w:r w:rsidRPr="00344D09">
              <w:rPr>
                <w:rFonts w:eastAsia="Arial"/>
                <w:color w:val="000000" w:themeColor="text1"/>
                <w:sz w:val="22"/>
                <w:szCs w:val="22"/>
              </w:rPr>
              <w:t>actually riding</w:t>
            </w:r>
            <w:proofErr w:type="gramEnd"/>
            <w:r w:rsidRPr="00344D09">
              <w:rPr>
                <w:rFonts w:eastAsia="Arial"/>
                <w:color w:val="000000" w:themeColor="text1"/>
                <w:sz w:val="22"/>
                <w:szCs w:val="22"/>
              </w:rPr>
              <w:t xml:space="preserve"> safely.</w:t>
            </w:r>
          </w:p>
        </w:tc>
      </w:tr>
      <w:tr w:rsidR="005011CE" w:rsidRPr="00344D09" w14:paraId="0829E04A" w14:textId="77777777" w:rsidTr="00930C43">
        <w:trPr>
          <w:cnfStyle w:val="000000100000" w:firstRow="0" w:lastRow="0" w:firstColumn="0" w:lastColumn="0" w:oddVBand="0" w:evenVBand="0" w:oddHBand="1" w:evenHBand="0" w:firstRowFirstColumn="0" w:firstRowLastColumn="0" w:lastRowFirstColumn="0" w:lastRowLastColumn="0"/>
        </w:trPr>
        <w:tc>
          <w:tcPr>
            <w:tcW w:w="2200" w:type="dxa"/>
          </w:tcPr>
          <w:p w14:paraId="54E2E682" w14:textId="77777777" w:rsidR="005011CE" w:rsidRPr="00344D09" w:rsidRDefault="00000000">
            <w:pPr>
              <w:spacing w:before="50" w:after="50"/>
              <w:rPr>
                <w:sz w:val="22"/>
                <w:szCs w:val="22"/>
              </w:rPr>
            </w:pPr>
            <w:r w:rsidRPr="00344D09">
              <w:rPr>
                <w:rFonts w:eastAsia="Arial"/>
                <w:b/>
                <w:bCs/>
                <w:color w:val="1A1A2E"/>
                <w:sz w:val="22"/>
                <w:szCs w:val="22"/>
              </w:rPr>
              <w:t>vs. Web2 telematics (add-ons)</w:t>
            </w:r>
          </w:p>
        </w:tc>
        <w:tc>
          <w:tcPr>
            <w:tcW w:w="7722" w:type="dxa"/>
          </w:tcPr>
          <w:p w14:paraId="1FB1EEFB"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 xml:space="preserve">Insurer-owned data, siloed and non-portable. </w:t>
            </w:r>
            <w:proofErr w:type="spellStart"/>
            <w:r w:rsidRPr="00344D09">
              <w:rPr>
                <w:rFonts w:eastAsia="Arial"/>
                <w:color w:val="000000" w:themeColor="text1"/>
                <w:sz w:val="22"/>
                <w:szCs w:val="22"/>
              </w:rPr>
              <w:t>RideTrue</w:t>
            </w:r>
            <w:proofErr w:type="spellEnd"/>
            <w:r w:rsidRPr="00344D09">
              <w:rPr>
                <w:rFonts w:eastAsia="Arial"/>
                <w:color w:val="000000" w:themeColor="text1"/>
                <w:sz w:val="22"/>
                <w:szCs w:val="22"/>
              </w:rPr>
              <w:t xml:space="preserve"> makes the rider's record fully self-owned and portable across any provider or platform.</w:t>
            </w:r>
          </w:p>
        </w:tc>
      </w:tr>
      <w:tr w:rsidR="005011CE" w:rsidRPr="00344D09" w14:paraId="33704A40" w14:textId="77777777" w:rsidTr="00930C43">
        <w:tc>
          <w:tcPr>
            <w:tcW w:w="2200" w:type="dxa"/>
          </w:tcPr>
          <w:p w14:paraId="498E26D6" w14:textId="77777777" w:rsidR="005011CE" w:rsidRPr="00344D09" w:rsidRDefault="00000000">
            <w:pPr>
              <w:spacing w:before="50" w:after="50"/>
              <w:rPr>
                <w:sz w:val="22"/>
                <w:szCs w:val="22"/>
              </w:rPr>
            </w:pPr>
            <w:r w:rsidRPr="00344D09">
              <w:rPr>
                <w:rFonts w:eastAsia="Arial"/>
                <w:b/>
                <w:bCs/>
                <w:color w:val="1A1A2E"/>
                <w:sz w:val="22"/>
                <w:szCs w:val="22"/>
              </w:rPr>
              <w:t>vs. Existing Web3 projects</w:t>
            </w:r>
          </w:p>
        </w:tc>
        <w:tc>
          <w:tcPr>
            <w:tcW w:w="7722" w:type="dxa"/>
          </w:tcPr>
          <w:p w14:paraId="6D74C32B" w14:textId="77777777" w:rsidR="005011CE" w:rsidRPr="00344D09" w:rsidRDefault="00000000">
            <w:pPr>
              <w:spacing w:before="50" w:after="50"/>
              <w:rPr>
                <w:color w:val="000000" w:themeColor="text1"/>
                <w:sz w:val="22"/>
                <w:szCs w:val="22"/>
              </w:rPr>
            </w:pPr>
            <w:r w:rsidRPr="00344D09">
              <w:rPr>
                <w:rFonts w:eastAsia="Arial"/>
                <w:color w:val="000000" w:themeColor="text1"/>
                <w:sz w:val="22"/>
                <w:szCs w:val="22"/>
              </w:rPr>
              <w:t xml:space="preserve">Most DeFi insurance and NFT projects focus on speculation with no real utility. </w:t>
            </w:r>
            <w:proofErr w:type="spellStart"/>
            <w:r w:rsidRPr="00344D09">
              <w:rPr>
                <w:rFonts w:eastAsia="Arial"/>
                <w:color w:val="000000" w:themeColor="text1"/>
                <w:sz w:val="22"/>
                <w:szCs w:val="22"/>
              </w:rPr>
              <w:t>MotoChain</w:t>
            </w:r>
            <w:proofErr w:type="spellEnd"/>
            <w:r w:rsidRPr="00344D09">
              <w:rPr>
                <w:rFonts w:eastAsia="Arial"/>
                <w:color w:val="000000" w:themeColor="text1"/>
                <w:sz w:val="22"/>
                <w:szCs w:val="22"/>
              </w:rPr>
              <w:t xml:space="preserve"> and </w:t>
            </w:r>
            <w:proofErr w:type="spellStart"/>
            <w:r w:rsidRPr="00344D09">
              <w:rPr>
                <w:rFonts w:eastAsia="Arial"/>
                <w:color w:val="000000" w:themeColor="text1"/>
                <w:sz w:val="22"/>
                <w:szCs w:val="22"/>
              </w:rPr>
              <w:t>RideTrue</w:t>
            </w:r>
            <w:proofErr w:type="spellEnd"/>
            <w:r w:rsidRPr="00344D09">
              <w:rPr>
                <w:rFonts w:eastAsia="Arial"/>
                <w:color w:val="000000" w:themeColor="text1"/>
                <w:sz w:val="22"/>
                <w:szCs w:val="22"/>
              </w:rPr>
              <w:t xml:space="preserve"> solve a high-value real-world problem — fraud and mispriced risk — with verifiable, on-chain outcomes.</w:t>
            </w:r>
          </w:p>
        </w:tc>
      </w:tr>
    </w:tbl>
    <w:p w14:paraId="161CA3F9" w14:textId="77777777" w:rsidR="005011CE" w:rsidRPr="00344D09" w:rsidRDefault="005011CE">
      <w:pPr>
        <w:spacing w:before="120"/>
        <w:rPr>
          <w:sz w:val="24"/>
          <w:szCs w:val="24"/>
        </w:rPr>
      </w:pPr>
    </w:p>
    <w:p w14:paraId="091ED7CA" w14:textId="19C065ED" w:rsidR="005011CE" w:rsidRPr="00930C43" w:rsidRDefault="00000000" w:rsidP="00930C43">
      <w:pPr>
        <w:pBdr>
          <w:bottom w:val="single" w:sz="2" w:space="2" w:color="9B2226"/>
        </w:pBdr>
        <w:spacing w:before="160" w:after="40"/>
        <w:rPr>
          <w:sz w:val="24"/>
          <w:szCs w:val="24"/>
        </w:rPr>
      </w:pPr>
      <w:r w:rsidRPr="00344D09">
        <w:rPr>
          <w:rFonts w:eastAsia="Arial"/>
          <w:b/>
          <w:bCs/>
          <w:color w:val="1A1A2E"/>
          <w:sz w:val="24"/>
          <w:szCs w:val="24"/>
        </w:rPr>
        <w:lastRenderedPageBreak/>
        <w:t>Basic Revenue &amp; Incentive Model</w:t>
      </w:r>
    </w:p>
    <w:p w14:paraId="325AA749" w14:textId="73229A27" w:rsidR="005011CE" w:rsidRPr="00344D09" w:rsidRDefault="00000000" w:rsidP="00344D09">
      <w:pPr>
        <w:spacing w:before="50" w:after="50"/>
        <w:rPr>
          <w:color w:val="000000" w:themeColor="text1"/>
          <w:sz w:val="22"/>
          <w:szCs w:val="22"/>
        </w:rPr>
      </w:pPr>
      <w:r w:rsidRPr="00344D09">
        <w:rPr>
          <w:rFonts w:eastAsia="Arial"/>
          <w:color w:val="000000" w:themeColor="text1"/>
          <w:sz w:val="22"/>
          <w:szCs w:val="22"/>
        </w:rPr>
        <w:t>The protocol sustains itself through four revenue streams and a staking-based incentive mechanism that aligns all participants economically:</w:t>
      </w:r>
    </w:p>
    <w:tbl>
      <w:tblPr>
        <w:tblStyle w:val="4-1"/>
        <w:tblW w:w="10064" w:type="dxa"/>
        <w:tblLook w:val="0420" w:firstRow="1" w:lastRow="0" w:firstColumn="0" w:lastColumn="0" w:noHBand="0" w:noVBand="1"/>
      </w:tblPr>
      <w:tblGrid>
        <w:gridCol w:w="1838"/>
        <w:gridCol w:w="2268"/>
        <w:gridCol w:w="4394"/>
        <w:gridCol w:w="1564"/>
      </w:tblGrid>
      <w:tr w:rsidR="005011CE" w:rsidRPr="00344D09" w14:paraId="393AC3DA" w14:textId="77777777" w:rsidTr="00930C43">
        <w:trPr>
          <w:cnfStyle w:val="100000000000" w:firstRow="1" w:lastRow="0" w:firstColumn="0" w:lastColumn="0" w:oddVBand="0" w:evenVBand="0" w:oddHBand="0" w:evenHBand="0" w:firstRowFirstColumn="0" w:firstRowLastColumn="0" w:lastRowFirstColumn="0" w:lastRowLastColumn="0"/>
        </w:trPr>
        <w:tc>
          <w:tcPr>
            <w:tcW w:w="1838" w:type="dxa"/>
          </w:tcPr>
          <w:p w14:paraId="5AD058BC" w14:textId="77777777" w:rsidR="005011CE" w:rsidRPr="00344D09" w:rsidRDefault="00000000" w:rsidP="00344D09">
            <w:pPr>
              <w:spacing w:before="50" w:after="50"/>
              <w:jc w:val="both"/>
              <w:rPr>
                <w:sz w:val="22"/>
                <w:szCs w:val="22"/>
              </w:rPr>
            </w:pPr>
            <w:r w:rsidRPr="00344D09">
              <w:rPr>
                <w:rFonts w:eastAsia="Arial"/>
                <w:color w:val="FFFFFF"/>
                <w:sz w:val="22"/>
                <w:szCs w:val="22"/>
              </w:rPr>
              <w:t>Revenue Stream</w:t>
            </w:r>
          </w:p>
        </w:tc>
        <w:tc>
          <w:tcPr>
            <w:tcW w:w="2268" w:type="dxa"/>
          </w:tcPr>
          <w:p w14:paraId="05E90D80" w14:textId="77777777" w:rsidR="005011CE" w:rsidRPr="00344D09" w:rsidRDefault="00000000" w:rsidP="00344D09">
            <w:pPr>
              <w:spacing w:before="50" w:after="50"/>
              <w:jc w:val="both"/>
              <w:rPr>
                <w:sz w:val="22"/>
                <w:szCs w:val="22"/>
              </w:rPr>
            </w:pPr>
            <w:r w:rsidRPr="00344D09">
              <w:rPr>
                <w:rFonts w:eastAsia="Arial"/>
                <w:color w:val="FFFFFF"/>
                <w:sz w:val="22"/>
                <w:szCs w:val="22"/>
              </w:rPr>
              <w:t>Source</w:t>
            </w:r>
          </w:p>
        </w:tc>
        <w:tc>
          <w:tcPr>
            <w:tcW w:w="4394" w:type="dxa"/>
          </w:tcPr>
          <w:p w14:paraId="58B79BE0" w14:textId="77777777" w:rsidR="005011CE" w:rsidRPr="00344D09" w:rsidRDefault="00000000" w:rsidP="00344D09">
            <w:pPr>
              <w:spacing w:before="50" w:after="50"/>
              <w:jc w:val="both"/>
              <w:rPr>
                <w:sz w:val="22"/>
                <w:szCs w:val="22"/>
              </w:rPr>
            </w:pPr>
            <w:r w:rsidRPr="00344D09">
              <w:rPr>
                <w:rFonts w:eastAsia="Arial"/>
                <w:color w:val="FFFFFF"/>
                <w:sz w:val="22"/>
                <w:szCs w:val="22"/>
              </w:rPr>
              <w:t>How It Works</w:t>
            </w:r>
          </w:p>
        </w:tc>
        <w:tc>
          <w:tcPr>
            <w:tcW w:w="1564" w:type="dxa"/>
          </w:tcPr>
          <w:p w14:paraId="16E3B8F1" w14:textId="77777777" w:rsidR="005011CE" w:rsidRPr="00344D09" w:rsidRDefault="00000000" w:rsidP="00344D09">
            <w:pPr>
              <w:spacing w:before="50" w:after="50"/>
              <w:jc w:val="both"/>
              <w:rPr>
                <w:sz w:val="22"/>
                <w:szCs w:val="22"/>
              </w:rPr>
            </w:pPr>
            <w:r w:rsidRPr="00344D09">
              <w:rPr>
                <w:rFonts w:eastAsia="Arial"/>
                <w:color w:val="FFFFFF"/>
                <w:sz w:val="22"/>
                <w:szCs w:val="22"/>
              </w:rPr>
              <w:t>Who Pays</w:t>
            </w:r>
          </w:p>
        </w:tc>
      </w:tr>
      <w:tr w:rsidR="005011CE" w:rsidRPr="00344D09" w14:paraId="558F24FD" w14:textId="77777777" w:rsidTr="00930C43">
        <w:trPr>
          <w:cnfStyle w:val="000000100000" w:firstRow="0" w:lastRow="0" w:firstColumn="0" w:lastColumn="0" w:oddVBand="0" w:evenVBand="0" w:oddHBand="1" w:evenHBand="0" w:firstRowFirstColumn="0" w:firstRowLastColumn="0" w:lastRowFirstColumn="0" w:lastRowLastColumn="0"/>
        </w:trPr>
        <w:tc>
          <w:tcPr>
            <w:tcW w:w="1838" w:type="dxa"/>
          </w:tcPr>
          <w:p w14:paraId="1E7854EB"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Transaction Fees</w:t>
            </w:r>
          </w:p>
        </w:tc>
        <w:tc>
          <w:tcPr>
            <w:tcW w:w="2268" w:type="dxa"/>
          </w:tcPr>
          <w:p w14:paraId="095E833B"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VIN registration, ownership transfers, certified service entries</w:t>
            </w:r>
          </w:p>
        </w:tc>
        <w:tc>
          <w:tcPr>
            <w:tcW w:w="4394" w:type="dxa"/>
          </w:tcPr>
          <w:p w14:paraId="09DD2955"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Small fee on each key on-chain action — base revenue stream</w:t>
            </w:r>
          </w:p>
        </w:tc>
        <w:tc>
          <w:tcPr>
            <w:tcW w:w="1564" w:type="dxa"/>
          </w:tcPr>
          <w:p w14:paraId="04874C84"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Owners, dealers, mechanics</w:t>
            </w:r>
          </w:p>
        </w:tc>
      </w:tr>
      <w:tr w:rsidR="005011CE" w:rsidRPr="00344D09" w14:paraId="331ABBE8" w14:textId="77777777" w:rsidTr="00930C43">
        <w:tc>
          <w:tcPr>
            <w:tcW w:w="1838" w:type="dxa"/>
          </w:tcPr>
          <w:p w14:paraId="6F8AF139"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Staking &amp; Slashing</w:t>
            </w:r>
          </w:p>
        </w:tc>
        <w:tc>
          <w:tcPr>
            <w:tcW w:w="2268" w:type="dxa"/>
          </w:tcPr>
          <w:p w14:paraId="40550674"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Mechanics and data providers stake tokens for write access</w:t>
            </w:r>
          </w:p>
        </w:tc>
        <w:tc>
          <w:tcPr>
            <w:tcW w:w="4394" w:type="dxa"/>
          </w:tcPr>
          <w:p w14:paraId="18E55574"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Honest entries earn fees; fraudulent entries are penalized via automatic stake slash — enforces data integrity without a central authority</w:t>
            </w:r>
          </w:p>
        </w:tc>
        <w:tc>
          <w:tcPr>
            <w:tcW w:w="1564" w:type="dxa"/>
          </w:tcPr>
          <w:p w14:paraId="310BF74B"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Mechanics, inspectors, insurers</w:t>
            </w:r>
          </w:p>
        </w:tc>
      </w:tr>
      <w:tr w:rsidR="005011CE" w:rsidRPr="00344D09" w14:paraId="0A2F3F12" w14:textId="77777777" w:rsidTr="00930C43">
        <w:trPr>
          <w:cnfStyle w:val="000000100000" w:firstRow="0" w:lastRow="0" w:firstColumn="0" w:lastColumn="0" w:oddVBand="0" w:evenVBand="0" w:oddHBand="1" w:evenHBand="0" w:firstRowFirstColumn="0" w:firstRowLastColumn="0" w:lastRowFirstColumn="0" w:lastRowLastColumn="0"/>
        </w:trPr>
        <w:tc>
          <w:tcPr>
            <w:tcW w:w="1838" w:type="dxa"/>
          </w:tcPr>
          <w:p w14:paraId="23A78DF2"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Insurance Pool Fee</w:t>
            </w:r>
          </w:p>
        </w:tc>
        <w:tc>
          <w:tcPr>
            <w:tcW w:w="2268" w:type="dxa"/>
          </w:tcPr>
          <w:p w14:paraId="6DFD4E82" w14:textId="77777777" w:rsidR="005011CE" w:rsidRPr="00344D09" w:rsidRDefault="00000000" w:rsidP="00344D09">
            <w:pPr>
              <w:spacing w:before="50" w:after="50"/>
              <w:jc w:val="both"/>
              <w:rPr>
                <w:color w:val="000000" w:themeColor="text1"/>
                <w:sz w:val="22"/>
                <w:szCs w:val="22"/>
              </w:rPr>
            </w:pPr>
            <w:proofErr w:type="spellStart"/>
            <w:r w:rsidRPr="00344D09">
              <w:rPr>
                <w:rFonts w:eastAsia="Arial"/>
                <w:color w:val="000000" w:themeColor="text1"/>
                <w:sz w:val="22"/>
                <w:szCs w:val="22"/>
              </w:rPr>
              <w:t>RideTrue</w:t>
            </w:r>
            <w:proofErr w:type="spellEnd"/>
            <w:r w:rsidRPr="00344D09">
              <w:rPr>
                <w:rFonts w:eastAsia="Arial"/>
                <w:color w:val="000000" w:themeColor="text1"/>
                <w:sz w:val="22"/>
                <w:szCs w:val="22"/>
              </w:rPr>
              <w:t xml:space="preserve"> premium contributions (USDC)</w:t>
            </w:r>
          </w:p>
        </w:tc>
        <w:tc>
          <w:tcPr>
            <w:tcW w:w="4394" w:type="dxa"/>
          </w:tcPr>
          <w:p w14:paraId="29B9CA03"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 xml:space="preserve">Protocol retains a percentage of pool contributions. Idle capital deployed in </w:t>
            </w:r>
            <w:proofErr w:type="spellStart"/>
            <w:r w:rsidRPr="00344D09">
              <w:rPr>
                <w:rFonts w:eastAsia="Arial"/>
                <w:color w:val="000000" w:themeColor="text1"/>
                <w:sz w:val="22"/>
                <w:szCs w:val="22"/>
              </w:rPr>
              <w:t>Aave</w:t>
            </w:r>
            <w:proofErr w:type="spellEnd"/>
            <w:r w:rsidRPr="00344D09">
              <w:rPr>
                <w:rFonts w:eastAsia="Arial"/>
                <w:color w:val="000000" w:themeColor="text1"/>
                <w:sz w:val="22"/>
                <w:szCs w:val="22"/>
              </w:rPr>
              <w:t>/Compound for additional DeFi yield, partially redistributed to safe riders as year-end rebate</w:t>
            </w:r>
          </w:p>
        </w:tc>
        <w:tc>
          <w:tcPr>
            <w:tcW w:w="1564" w:type="dxa"/>
          </w:tcPr>
          <w:p w14:paraId="5787A76F"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 xml:space="preserve">Riders (premium </w:t>
            </w:r>
            <w:proofErr w:type="spellStart"/>
            <w:r w:rsidRPr="00344D09">
              <w:rPr>
                <w:rFonts w:eastAsia="Arial"/>
                <w:color w:val="000000" w:themeColor="text1"/>
                <w:sz w:val="22"/>
                <w:szCs w:val="22"/>
              </w:rPr>
              <w:t>stakers</w:t>
            </w:r>
            <w:proofErr w:type="spellEnd"/>
            <w:r w:rsidRPr="00344D09">
              <w:rPr>
                <w:rFonts w:eastAsia="Arial"/>
                <w:color w:val="000000" w:themeColor="text1"/>
                <w:sz w:val="22"/>
                <w:szCs w:val="22"/>
              </w:rPr>
              <w:t>)</w:t>
            </w:r>
          </w:p>
        </w:tc>
      </w:tr>
      <w:tr w:rsidR="005011CE" w:rsidRPr="00344D09" w14:paraId="6BBF6E0A" w14:textId="77777777" w:rsidTr="00930C43">
        <w:tc>
          <w:tcPr>
            <w:tcW w:w="1838" w:type="dxa"/>
          </w:tcPr>
          <w:p w14:paraId="51933EAD"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API / Data Access</w:t>
            </w:r>
          </w:p>
        </w:tc>
        <w:tc>
          <w:tcPr>
            <w:tcW w:w="2268" w:type="dxa"/>
          </w:tcPr>
          <w:p w14:paraId="18D841FA"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Insurers, lenders, marketplaces</w:t>
            </w:r>
          </w:p>
        </w:tc>
        <w:tc>
          <w:tcPr>
            <w:tcW w:w="4394" w:type="dxa"/>
          </w:tcPr>
          <w:p w14:paraId="3B67C01B"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Verified vehicle and rider data accessed via paid API. Partners pay recurring subscription for real-time, tamper-proof data feeds</w:t>
            </w:r>
          </w:p>
        </w:tc>
        <w:tc>
          <w:tcPr>
            <w:tcW w:w="1564" w:type="dxa"/>
          </w:tcPr>
          <w:p w14:paraId="16418CB3" w14:textId="77777777" w:rsidR="005011CE" w:rsidRPr="00344D09" w:rsidRDefault="00000000" w:rsidP="00344D09">
            <w:pPr>
              <w:spacing w:before="50" w:after="50"/>
              <w:jc w:val="both"/>
              <w:rPr>
                <w:color w:val="000000" w:themeColor="text1"/>
                <w:sz w:val="22"/>
                <w:szCs w:val="22"/>
              </w:rPr>
            </w:pPr>
            <w:r w:rsidRPr="00344D09">
              <w:rPr>
                <w:rFonts w:eastAsia="Arial"/>
                <w:color w:val="000000" w:themeColor="text1"/>
                <w:sz w:val="22"/>
                <w:szCs w:val="22"/>
              </w:rPr>
              <w:t>Insurance &amp; fintech partners</w:t>
            </w:r>
          </w:p>
        </w:tc>
      </w:tr>
    </w:tbl>
    <w:p w14:paraId="29ED6C9F" w14:textId="77777777" w:rsidR="005011CE" w:rsidRPr="00344D09" w:rsidRDefault="005011CE">
      <w:pPr>
        <w:spacing w:before="80"/>
        <w:rPr>
          <w:color w:val="000000" w:themeColor="text1"/>
          <w:sz w:val="24"/>
          <w:szCs w:val="24"/>
        </w:rPr>
      </w:pPr>
    </w:p>
    <w:p w14:paraId="2E1A2F59" w14:textId="318A9BA6" w:rsidR="005011CE" w:rsidRPr="00344D09" w:rsidRDefault="00000000" w:rsidP="00344D09">
      <w:pPr>
        <w:spacing w:before="50" w:after="50"/>
        <w:rPr>
          <w:color w:val="000000" w:themeColor="text1"/>
          <w:sz w:val="24"/>
          <w:szCs w:val="24"/>
        </w:rPr>
      </w:pPr>
      <w:r w:rsidRPr="00344D09">
        <w:rPr>
          <w:rFonts w:eastAsia="Arial"/>
          <w:b/>
          <w:bCs/>
          <w:color w:val="000000" w:themeColor="text1"/>
          <w:sz w:val="24"/>
          <w:szCs w:val="24"/>
        </w:rPr>
        <w:t>Incentive alignment summary:</w:t>
      </w:r>
    </w:p>
    <w:p w14:paraId="3D972FD7" w14:textId="77777777" w:rsidR="005011CE" w:rsidRPr="00696057" w:rsidRDefault="00000000">
      <w:pPr>
        <w:pStyle w:val="a4"/>
        <w:numPr>
          <w:ilvl w:val="0"/>
          <w:numId w:val="2"/>
        </w:numPr>
        <w:spacing w:before="28" w:after="28"/>
        <w:rPr>
          <w:color w:val="000000" w:themeColor="text1"/>
          <w:sz w:val="24"/>
          <w:szCs w:val="24"/>
        </w:rPr>
      </w:pPr>
      <w:r w:rsidRPr="00696057">
        <w:rPr>
          <w:rFonts w:eastAsia="Arial"/>
          <w:color w:val="000000" w:themeColor="text1"/>
          <w:sz w:val="24"/>
          <w:szCs w:val="24"/>
        </w:rPr>
        <w:t>Mechanics and data providers are incentivized to submit accurate records — honest participation earns protocol fees; dishonest entries slash their staked tokens.</w:t>
      </w:r>
    </w:p>
    <w:p w14:paraId="6C132205" w14:textId="77777777" w:rsidR="005011CE" w:rsidRPr="00696057" w:rsidRDefault="00000000">
      <w:pPr>
        <w:pStyle w:val="a4"/>
        <w:numPr>
          <w:ilvl w:val="0"/>
          <w:numId w:val="2"/>
        </w:numPr>
        <w:spacing w:before="28" w:after="28"/>
        <w:rPr>
          <w:color w:val="000000" w:themeColor="text1"/>
          <w:sz w:val="24"/>
          <w:szCs w:val="24"/>
        </w:rPr>
      </w:pPr>
      <w:r w:rsidRPr="00696057">
        <w:rPr>
          <w:rFonts w:eastAsia="Arial"/>
          <w:color w:val="000000" w:themeColor="text1"/>
          <w:sz w:val="24"/>
          <w:szCs w:val="24"/>
        </w:rPr>
        <w:t>Riders are incentivized to ride safely — better behavioral scores mean lower premiums and a year-end rebate from unclaimed pool funds.</w:t>
      </w:r>
    </w:p>
    <w:p w14:paraId="350D0EA1" w14:textId="77777777" w:rsidR="005011CE" w:rsidRPr="00696057" w:rsidRDefault="00000000">
      <w:pPr>
        <w:pStyle w:val="a4"/>
        <w:numPr>
          <w:ilvl w:val="0"/>
          <w:numId w:val="2"/>
        </w:numPr>
        <w:spacing w:before="28" w:after="28"/>
        <w:rPr>
          <w:color w:val="000000" w:themeColor="text1"/>
          <w:sz w:val="24"/>
          <w:szCs w:val="24"/>
        </w:rPr>
      </w:pPr>
      <w:r w:rsidRPr="00696057">
        <w:rPr>
          <w:rFonts w:eastAsia="Arial"/>
          <w:color w:val="000000" w:themeColor="text1"/>
          <w:sz w:val="24"/>
          <w:szCs w:val="24"/>
        </w:rPr>
        <w:t>Buyers and insurers are incentivized to use the protocol — because the data is verifiable and cannot be manipulated, it is worth more than any centralized alternative.</w:t>
      </w:r>
    </w:p>
    <w:p w14:paraId="3242AC4A" w14:textId="2263DB3D" w:rsidR="005011CE" w:rsidRPr="00696057" w:rsidRDefault="00000000" w:rsidP="00FD4EDA">
      <w:pPr>
        <w:pStyle w:val="a4"/>
        <w:numPr>
          <w:ilvl w:val="0"/>
          <w:numId w:val="2"/>
        </w:numPr>
        <w:spacing w:before="28" w:after="28"/>
        <w:rPr>
          <w:sz w:val="24"/>
          <w:szCs w:val="24"/>
        </w:rPr>
      </w:pPr>
      <w:r w:rsidRPr="00696057">
        <w:rPr>
          <w:rFonts w:eastAsia="Arial"/>
          <w:color w:val="000000" w:themeColor="text1"/>
          <w:sz w:val="24"/>
          <w:szCs w:val="24"/>
        </w:rPr>
        <w:t>Protocol sustainability: as usage grows, transaction volume and API revenue compound — creating a self-reinforcing ecosystem where trust, adoption, and economic returns grow together</w:t>
      </w:r>
      <w:r w:rsidRPr="00696057">
        <w:rPr>
          <w:rFonts w:eastAsia="Arial"/>
          <w:sz w:val="24"/>
          <w:szCs w:val="24"/>
        </w:rPr>
        <w:t>.</w:t>
      </w:r>
    </w:p>
    <w:p w14:paraId="1EEBA307" w14:textId="77777777" w:rsidR="00344D09" w:rsidRPr="00344D09" w:rsidRDefault="00344D09" w:rsidP="00344D09">
      <w:pPr>
        <w:spacing w:before="28" w:after="28"/>
        <w:rPr>
          <w:sz w:val="22"/>
          <w:szCs w:val="22"/>
        </w:rPr>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10065"/>
      </w:tblGrid>
      <w:tr w:rsidR="005011CE" w:rsidRPr="00344D09" w14:paraId="046AFFE6" w14:textId="77777777" w:rsidTr="00344D09">
        <w:tc>
          <w:tcPr>
            <w:tcW w:w="10065" w:type="dxa"/>
            <w:tcBorders>
              <w:top w:val="none" w:sz="0" w:space="0" w:color="FFFFFF"/>
              <w:left w:val="none" w:sz="0" w:space="0" w:color="FFFFFF"/>
              <w:bottom w:val="none" w:sz="0" w:space="0" w:color="FFFFFF"/>
              <w:right w:val="none" w:sz="0" w:space="0" w:color="FFFFFF"/>
            </w:tcBorders>
            <w:shd w:val="clear" w:color="auto" w:fill="000000" w:themeFill="text1"/>
            <w:tcMar>
              <w:top w:w="160" w:type="dxa"/>
              <w:left w:w="260" w:type="dxa"/>
              <w:bottom w:w="160" w:type="dxa"/>
              <w:right w:w="260" w:type="dxa"/>
            </w:tcMar>
          </w:tcPr>
          <w:p w14:paraId="42D870C5" w14:textId="77777777" w:rsidR="005011CE" w:rsidRPr="00344D09" w:rsidRDefault="00000000">
            <w:pPr>
              <w:spacing w:before="50" w:after="50"/>
              <w:rPr>
                <w:sz w:val="24"/>
                <w:szCs w:val="24"/>
              </w:rPr>
            </w:pPr>
            <w:proofErr w:type="spellStart"/>
            <w:r w:rsidRPr="00344D09">
              <w:rPr>
                <w:rFonts w:eastAsia="Arial"/>
                <w:i/>
                <w:iCs/>
                <w:color w:val="CCCCCC"/>
                <w:sz w:val="24"/>
                <w:szCs w:val="24"/>
              </w:rPr>
              <w:t>MotoChain</w:t>
            </w:r>
            <w:proofErr w:type="spellEnd"/>
            <w:r w:rsidRPr="00344D09">
              <w:rPr>
                <w:rFonts w:eastAsia="Arial"/>
                <w:i/>
                <w:iCs/>
                <w:color w:val="CCCCCC"/>
                <w:sz w:val="24"/>
                <w:szCs w:val="24"/>
              </w:rPr>
              <w:t xml:space="preserve"> and </w:t>
            </w:r>
            <w:proofErr w:type="spellStart"/>
            <w:r w:rsidRPr="00344D09">
              <w:rPr>
                <w:rFonts w:eastAsia="Arial"/>
                <w:i/>
                <w:iCs/>
                <w:color w:val="CCCCCC"/>
                <w:sz w:val="24"/>
                <w:szCs w:val="24"/>
              </w:rPr>
              <w:t>RideTrue</w:t>
            </w:r>
            <w:proofErr w:type="spellEnd"/>
            <w:r w:rsidRPr="00344D09">
              <w:rPr>
                <w:rFonts w:eastAsia="Arial"/>
                <w:i/>
                <w:iCs/>
                <w:color w:val="CCCCCC"/>
                <w:sz w:val="24"/>
                <w:szCs w:val="24"/>
              </w:rPr>
              <w:t xml:space="preserve"> apply blockchain where its properties are irreplaceable: immutability to prevent fraud, programmable incentives to replace biased intermediaries, and borderless access to serve those traditional systems have failed. The technology is not the novelty — the outcomes are.</w:t>
            </w:r>
          </w:p>
        </w:tc>
      </w:tr>
    </w:tbl>
    <w:p w14:paraId="17E7D53A" w14:textId="77777777" w:rsidR="00B35279" w:rsidRPr="00344D09" w:rsidRDefault="00B35279" w:rsidP="00FD4EDA">
      <w:pPr>
        <w:rPr>
          <w:sz w:val="24"/>
          <w:szCs w:val="24"/>
        </w:rPr>
      </w:pPr>
    </w:p>
    <w:sectPr w:rsidR="00B35279" w:rsidRPr="00344D09" w:rsidSect="00344D09">
      <w:headerReference w:type="default" r:id="rId7"/>
      <w:footerReference w:type="default" r:id="rId8"/>
      <w:pgSz w:w="11900" w:h="16840"/>
      <w:pgMar w:top="860" w:right="1080" w:bottom="8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C03A9" w14:textId="77777777" w:rsidR="003A144A" w:rsidRDefault="003A144A">
      <w:r>
        <w:separator/>
      </w:r>
    </w:p>
  </w:endnote>
  <w:endnote w:type="continuationSeparator" w:id="0">
    <w:p w14:paraId="5971B33F" w14:textId="77777777" w:rsidR="003A144A" w:rsidRDefault="003A1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나눔고딕">
    <w:altName w:val="NanumGothic"/>
    <w:panose1 w:val="00000000000000000000"/>
    <w:charset w:val="81"/>
    <w:family w:val="auto"/>
    <w:pitch w:val="variable"/>
    <w:sig w:usb0="80000003" w:usb1="09D7FCE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6658" w14:textId="77777777" w:rsidR="005011CE" w:rsidRDefault="00000000">
    <w:pPr>
      <w:pBdr>
        <w:top w:val="single" w:sz="3" w:space="3" w:color="DDDDDD"/>
      </w:pBdr>
      <w:spacing w:before="60"/>
      <w:jc w:val="center"/>
    </w:pPr>
    <w:r>
      <w:rPr>
        <w:rFonts w:eastAsia="Arial"/>
        <w:color w:val="AAAAAA"/>
        <w:sz w:val="15"/>
        <w:szCs w:val="15"/>
      </w:rPr>
      <w:t xml:space="preserve">Page </w:t>
    </w:r>
    <w:r>
      <w:rPr>
        <w:color w:val="AAAAAA"/>
        <w:sz w:val="15"/>
        <w:szCs w:val="15"/>
      </w:rPr>
      <w:fldChar w:fldCharType="begin"/>
    </w:r>
    <w:r>
      <w:rPr>
        <w:rFonts w:eastAsia="Arial"/>
        <w:color w:val="AAAAAA"/>
        <w:sz w:val="15"/>
        <w:szCs w:val="15"/>
      </w:rPr>
      <w:instrText>PAGE</w:instrText>
    </w:r>
    <w:r>
      <w:rPr>
        <w:color w:val="AAAAAA"/>
        <w:sz w:val="15"/>
        <w:szCs w:val="15"/>
      </w:rPr>
      <w:fldChar w:fldCharType="separate"/>
    </w:r>
    <w:r w:rsidR="00FD4EDA">
      <w:rPr>
        <w:rFonts w:eastAsia="Arial"/>
        <w:noProof/>
        <w:color w:val="AAAAAA"/>
        <w:sz w:val="15"/>
        <w:szCs w:val="15"/>
      </w:rPr>
      <w:t>1</w:t>
    </w:r>
    <w:r>
      <w:rPr>
        <w:color w:val="AAAAAA"/>
        <w:sz w:val="15"/>
        <w:szCs w:val="15"/>
      </w:rPr>
      <w:fldChar w:fldCharType="end"/>
    </w:r>
    <w:r>
      <w:rPr>
        <w:rFonts w:eastAsia="Arial"/>
        <w:color w:val="AAAAAA"/>
        <w:sz w:val="15"/>
        <w:szCs w:val="15"/>
      </w:rPr>
      <w:t xml:space="preserve"> of </w:t>
    </w:r>
    <w:r>
      <w:rPr>
        <w:color w:val="AAAAAA"/>
        <w:sz w:val="15"/>
        <w:szCs w:val="15"/>
      </w:rPr>
      <w:fldChar w:fldCharType="begin"/>
    </w:r>
    <w:r>
      <w:rPr>
        <w:rFonts w:eastAsia="Arial"/>
        <w:color w:val="AAAAAA"/>
        <w:sz w:val="15"/>
        <w:szCs w:val="15"/>
      </w:rPr>
      <w:instrText>NUMPAGES</w:instrText>
    </w:r>
    <w:r>
      <w:rPr>
        <w:color w:val="AAAAAA"/>
        <w:sz w:val="15"/>
        <w:szCs w:val="15"/>
      </w:rPr>
      <w:fldChar w:fldCharType="separate"/>
    </w:r>
    <w:r w:rsidR="00FD4EDA">
      <w:rPr>
        <w:rFonts w:eastAsia="Arial"/>
        <w:noProof/>
        <w:color w:val="AAAAAA"/>
        <w:sz w:val="15"/>
        <w:szCs w:val="15"/>
      </w:rPr>
      <w:t>2</w:t>
    </w:r>
    <w:r>
      <w:rPr>
        <w:color w:val="AAAA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AFCE8" w14:textId="77777777" w:rsidR="003A144A" w:rsidRDefault="003A144A">
      <w:r>
        <w:separator/>
      </w:r>
    </w:p>
  </w:footnote>
  <w:footnote w:type="continuationSeparator" w:id="0">
    <w:p w14:paraId="1F28B7CA" w14:textId="77777777" w:rsidR="003A144A" w:rsidRDefault="003A1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299B" w14:textId="00C5F900" w:rsidR="00FD4EDA" w:rsidRPr="00FD4EDA" w:rsidRDefault="00FD4EDA" w:rsidP="00FD4EDA">
    <w:pPr>
      <w:pStyle w:val="2"/>
      <w:shd w:val="clear" w:color="auto" w:fill="F7F7F7"/>
      <w:rPr>
        <w:rFonts w:ascii="나눔고딕" w:eastAsia="나눔고딕" w:hAnsi="나눔고딕"/>
        <w:b/>
        <w:bCs/>
        <w:color w:val="000000" w:themeColor="text1"/>
        <w:sz w:val="18"/>
        <w:szCs w:val="18"/>
      </w:rPr>
    </w:pPr>
    <w:r w:rsidRPr="00FD4EDA">
      <w:rPr>
        <w:rFonts w:ascii="나눔고딕" w:eastAsia="나눔고딕" w:hAnsi="나눔고딕" w:hint="eastAsia"/>
        <w:b/>
        <w:bCs/>
        <w:color w:val="000000" w:themeColor="text1"/>
        <w:sz w:val="18"/>
        <w:szCs w:val="18"/>
      </w:rPr>
      <w:t>Introduction to Blockchain and Decentralized Finance (DeFi) (ISF6051.01-00)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27D1"/>
    <w:multiLevelType w:val="hybridMultilevel"/>
    <w:tmpl w:val="9112C980"/>
    <w:lvl w:ilvl="0" w:tplc="D10A161E">
      <w:start w:val="1"/>
      <w:numFmt w:val="bullet"/>
      <w:lvlText w:val="●"/>
      <w:lvlJc w:val="left"/>
      <w:pPr>
        <w:ind w:left="720" w:hanging="360"/>
      </w:pPr>
    </w:lvl>
    <w:lvl w:ilvl="1" w:tplc="CD06DC70">
      <w:start w:val="1"/>
      <w:numFmt w:val="bullet"/>
      <w:lvlText w:val="○"/>
      <w:lvlJc w:val="left"/>
      <w:pPr>
        <w:ind w:left="1440" w:hanging="360"/>
      </w:pPr>
    </w:lvl>
    <w:lvl w:ilvl="2" w:tplc="35567C84">
      <w:start w:val="1"/>
      <w:numFmt w:val="bullet"/>
      <w:lvlText w:val="■"/>
      <w:lvlJc w:val="left"/>
      <w:pPr>
        <w:ind w:left="2160" w:hanging="360"/>
      </w:pPr>
    </w:lvl>
    <w:lvl w:ilvl="3" w:tplc="753AC41A">
      <w:start w:val="1"/>
      <w:numFmt w:val="bullet"/>
      <w:lvlText w:val="●"/>
      <w:lvlJc w:val="left"/>
      <w:pPr>
        <w:ind w:left="2880" w:hanging="360"/>
      </w:pPr>
    </w:lvl>
    <w:lvl w:ilvl="4" w:tplc="C002B96E">
      <w:start w:val="1"/>
      <w:numFmt w:val="bullet"/>
      <w:lvlText w:val="○"/>
      <w:lvlJc w:val="left"/>
      <w:pPr>
        <w:ind w:left="3600" w:hanging="360"/>
      </w:pPr>
    </w:lvl>
    <w:lvl w:ilvl="5" w:tplc="3CC6C8DC">
      <w:start w:val="1"/>
      <w:numFmt w:val="bullet"/>
      <w:lvlText w:val="■"/>
      <w:lvlJc w:val="left"/>
      <w:pPr>
        <w:ind w:left="4320" w:hanging="360"/>
      </w:pPr>
    </w:lvl>
    <w:lvl w:ilvl="6" w:tplc="5B7AF098">
      <w:start w:val="1"/>
      <w:numFmt w:val="bullet"/>
      <w:lvlText w:val="●"/>
      <w:lvlJc w:val="left"/>
      <w:pPr>
        <w:ind w:left="5040" w:hanging="360"/>
      </w:pPr>
    </w:lvl>
    <w:lvl w:ilvl="7" w:tplc="916C64EA">
      <w:start w:val="1"/>
      <w:numFmt w:val="bullet"/>
      <w:lvlText w:val="●"/>
      <w:lvlJc w:val="left"/>
      <w:pPr>
        <w:ind w:left="5760" w:hanging="360"/>
      </w:pPr>
    </w:lvl>
    <w:lvl w:ilvl="8" w:tplc="D0FA8078">
      <w:start w:val="1"/>
      <w:numFmt w:val="bullet"/>
      <w:lvlText w:val="●"/>
      <w:lvlJc w:val="left"/>
      <w:pPr>
        <w:ind w:left="6480" w:hanging="360"/>
      </w:pPr>
    </w:lvl>
  </w:abstractNum>
  <w:abstractNum w:abstractNumId="1" w15:restartNumberingAfterBreak="0">
    <w:nsid w:val="1684733A"/>
    <w:multiLevelType w:val="hybridMultilevel"/>
    <w:tmpl w:val="850CB070"/>
    <w:lvl w:ilvl="0" w:tplc="23F6F838">
      <w:start w:val="1"/>
      <w:numFmt w:val="bullet"/>
      <w:lvlText w:val="•"/>
      <w:lvlJc w:val="left"/>
      <w:pPr>
        <w:ind w:left="560" w:hanging="280"/>
      </w:pPr>
    </w:lvl>
    <w:lvl w:ilvl="1" w:tplc="18D2A9FE">
      <w:numFmt w:val="decimal"/>
      <w:lvlText w:val=""/>
      <w:lvlJc w:val="left"/>
    </w:lvl>
    <w:lvl w:ilvl="2" w:tplc="0D26AA90">
      <w:numFmt w:val="decimal"/>
      <w:lvlText w:val=""/>
      <w:lvlJc w:val="left"/>
    </w:lvl>
    <w:lvl w:ilvl="3" w:tplc="D476421A">
      <w:numFmt w:val="decimal"/>
      <w:lvlText w:val=""/>
      <w:lvlJc w:val="left"/>
    </w:lvl>
    <w:lvl w:ilvl="4" w:tplc="43E06698">
      <w:numFmt w:val="decimal"/>
      <w:lvlText w:val=""/>
      <w:lvlJc w:val="left"/>
    </w:lvl>
    <w:lvl w:ilvl="5" w:tplc="420AE6E6">
      <w:numFmt w:val="decimal"/>
      <w:lvlText w:val=""/>
      <w:lvlJc w:val="left"/>
    </w:lvl>
    <w:lvl w:ilvl="6" w:tplc="9202E660">
      <w:numFmt w:val="decimal"/>
      <w:lvlText w:val=""/>
      <w:lvlJc w:val="left"/>
    </w:lvl>
    <w:lvl w:ilvl="7" w:tplc="9DAA0C10">
      <w:numFmt w:val="decimal"/>
      <w:lvlText w:val=""/>
      <w:lvlJc w:val="left"/>
    </w:lvl>
    <w:lvl w:ilvl="8" w:tplc="21BEFE56">
      <w:numFmt w:val="decimal"/>
      <w:lvlText w:val=""/>
      <w:lvlJc w:val="left"/>
    </w:lvl>
  </w:abstractNum>
  <w:abstractNum w:abstractNumId="2" w15:restartNumberingAfterBreak="0">
    <w:nsid w:val="48996C7E"/>
    <w:multiLevelType w:val="hybridMultilevel"/>
    <w:tmpl w:val="F3FA5F9C"/>
    <w:lvl w:ilvl="0" w:tplc="70FAAC16">
      <w:start w:val="1"/>
      <w:numFmt w:val="bullet"/>
      <w:lvlText w:val="◦"/>
      <w:lvlJc w:val="left"/>
      <w:pPr>
        <w:ind w:left="880" w:hanging="280"/>
      </w:pPr>
    </w:lvl>
    <w:lvl w:ilvl="1" w:tplc="5FB28E8E">
      <w:numFmt w:val="decimal"/>
      <w:lvlText w:val=""/>
      <w:lvlJc w:val="left"/>
    </w:lvl>
    <w:lvl w:ilvl="2" w:tplc="40A09AD4">
      <w:numFmt w:val="decimal"/>
      <w:lvlText w:val=""/>
      <w:lvlJc w:val="left"/>
    </w:lvl>
    <w:lvl w:ilvl="3" w:tplc="4B6E2BA8">
      <w:numFmt w:val="decimal"/>
      <w:lvlText w:val=""/>
      <w:lvlJc w:val="left"/>
    </w:lvl>
    <w:lvl w:ilvl="4" w:tplc="1B644AAC">
      <w:numFmt w:val="decimal"/>
      <w:lvlText w:val=""/>
      <w:lvlJc w:val="left"/>
    </w:lvl>
    <w:lvl w:ilvl="5" w:tplc="1DACB494">
      <w:numFmt w:val="decimal"/>
      <w:lvlText w:val=""/>
      <w:lvlJc w:val="left"/>
    </w:lvl>
    <w:lvl w:ilvl="6" w:tplc="0C6AA168">
      <w:numFmt w:val="decimal"/>
      <w:lvlText w:val=""/>
      <w:lvlJc w:val="left"/>
    </w:lvl>
    <w:lvl w:ilvl="7" w:tplc="A6A452DE">
      <w:numFmt w:val="decimal"/>
      <w:lvlText w:val=""/>
      <w:lvlJc w:val="left"/>
    </w:lvl>
    <w:lvl w:ilvl="8" w:tplc="86D88494">
      <w:numFmt w:val="decimal"/>
      <w:lvlText w:val=""/>
      <w:lvlJc w:val="left"/>
    </w:lvl>
  </w:abstractNum>
  <w:abstractNum w:abstractNumId="3" w15:restartNumberingAfterBreak="0">
    <w:nsid w:val="7EE56E97"/>
    <w:multiLevelType w:val="hybridMultilevel"/>
    <w:tmpl w:val="AAECB4B2"/>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50396983">
    <w:abstractNumId w:val="0"/>
    <w:lvlOverride w:ilvl="0">
      <w:startOverride w:val="1"/>
    </w:lvlOverride>
  </w:num>
  <w:num w:numId="2" w16cid:durableId="1221288328">
    <w:abstractNumId w:val="1"/>
    <w:lvlOverride w:ilvl="0">
      <w:startOverride w:val="1"/>
    </w:lvlOverride>
  </w:num>
  <w:num w:numId="3" w16cid:durableId="2005622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1CE"/>
    <w:rsid w:val="00344D09"/>
    <w:rsid w:val="003A144A"/>
    <w:rsid w:val="005011CE"/>
    <w:rsid w:val="00696057"/>
    <w:rsid w:val="007658A8"/>
    <w:rsid w:val="00930C43"/>
    <w:rsid w:val="009F5449"/>
    <w:rsid w:val="00A92A19"/>
    <w:rsid w:val="00B35279"/>
    <w:rsid w:val="00FD4E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735D9C1"/>
  <w15:docId w15:val="{BCFA05E2-8F34-634F-BD2E-E3793AA5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444444"/>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FD4EDA"/>
    <w:pPr>
      <w:tabs>
        <w:tab w:val="center" w:pos="4513"/>
        <w:tab w:val="right" w:pos="9026"/>
      </w:tabs>
      <w:snapToGrid w:val="0"/>
    </w:pPr>
  </w:style>
  <w:style w:type="character" w:customStyle="1" w:styleId="Char1">
    <w:name w:val="머리글 Char"/>
    <w:basedOn w:val="a0"/>
    <w:link w:val="aa"/>
    <w:uiPriority w:val="99"/>
    <w:rsid w:val="00FD4EDA"/>
  </w:style>
  <w:style w:type="paragraph" w:styleId="ab">
    <w:name w:val="footer"/>
    <w:basedOn w:val="a"/>
    <w:link w:val="Char2"/>
    <w:uiPriority w:val="99"/>
    <w:unhideWhenUsed/>
    <w:rsid w:val="00FD4EDA"/>
    <w:pPr>
      <w:tabs>
        <w:tab w:val="center" w:pos="4513"/>
        <w:tab w:val="right" w:pos="9026"/>
      </w:tabs>
      <w:snapToGrid w:val="0"/>
    </w:pPr>
  </w:style>
  <w:style w:type="character" w:customStyle="1" w:styleId="Char2">
    <w:name w:val="바닥글 Char"/>
    <w:basedOn w:val="a0"/>
    <w:link w:val="ab"/>
    <w:uiPriority w:val="99"/>
    <w:rsid w:val="00FD4EDA"/>
  </w:style>
  <w:style w:type="table" w:styleId="1-1">
    <w:name w:val="Grid Table 1 Light Accent 1"/>
    <w:basedOn w:val="a1"/>
    <w:uiPriority w:val="46"/>
    <w:rsid w:val="007658A8"/>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2-1">
    <w:name w:val="Grid Table 2 Accent 1"/>
    <w:basedOn w:val="a1"/>
    <w:uiPriority w:val="47"/>
    <w:rsid w:val="007658A8"/>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5-1">
    <w:name w:val="Grid Table 5 Dark Accent 1"/>
    <w:basedOn w:val="a1"/>
    <w:uiPriority w:val="50"/>
    <w:rsid w:val="007658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1-2">
    <w:name w:val="Grid Table 1 Light Accent 2"/>
    <w:basedOn w:val="a1"/>
    <w:uiPriority w:val="46"/>
    <w:rsid w:val="007658A8"/>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5-2">
    <w:name w:val="List Table 5 Dark Accent 2"/>
    <w:basedOn w:val="a1"/>
    <w:uiPriority w:val="50"/>
    <w:rsid w:val="007658A8"/>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Grid Table 5 Dark Accent 3"/>
    <w:basedOn w:val="a1"/>
    <w:uiPriority w:val="50"/>
    <w:rsid w:val="007658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6">
    <w:name w:val="List Table 5 Dark Accent 6"/>
    <w:basedOn w:val="a1"/>
    <w:uiPriority w:val="50"/>
    <w:rsid w:val="007658A8"/>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1"/>
    <w:uiPriority w:val="50"/>
    <w:rsid w:val="007658A8"/>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Grid Table 5 Dark Accent 5"/>
    <w:basedOn w:val="a1"/>
    <w:uiPriority w:val="50"/>
    <w:rsid w:val="00344D0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1-6">
    <w:name w:val="List Table 1 Light Accent 6"/>
    <w:basedOn w:val="a1"/>
    <w:uiPriority w:val="46"/>
    <w:rsid w:val="00344D09"/>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5">
    <w:name w:val="List Table 2 Accent 5"/>
    <w:basedOn w:val="a1"/>
    <w:uiPriority w:val="47"/>
    <w:rsid w:val="00344D09"/>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4">
    <w:name w:val="List Table 2 Accent 4"/>
    <w:basedOn w:val="a1"/>
    <w:uiPriority w:val="47"/>
    <w:rsid w:val="00344D09"/>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4">
    <w:name w:val="Grid Table 4 Accent 4"/>
    <w:basedOn w:val="a1"/>
    <w:uiPriority w:val="49"/>
    <w:rsid w:val="00344D09"/>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2">
    <w:name w:val="Grid Table 4 Accent 2"/>
    <w:basedOn w:val="a1"/>
    <w:uiPriority w:val="49"/>
    <w:rsid w:val="00344D09"/>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1">
    <w:name w:val="Grid Table 4 Accent 1"/>
    <w:basedOn w:val="a1"/>
    <w:uiPriority w:val="49"/>
    <w:rsid w:val="00930C43"/>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1192</Words>
  <Characters>6797</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김미르</cp:lastModifiedBy>
  <cp:revision>4</cp:revision>
  <dcterms:created xsi:type="dcterms:W3CDTF">2026-05-07T04:59:00Z</dcterms:created>
  <dcterms:modified xsi:type="dcterms:W3CDTF">2026-05-07T06:45:00Z</dcterms:modified>
</cp:coreProperties>
</file>