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1f3a5f"/>
          <w:sz w:val="56"/>
          <w:szCs w:val="56"/>
        </w:rPr>
      </w:pPr>
      <w:r w:rsidDel="00000000" w:rsidR="00000000" w:rsidRPr="00000000">
        <w:rPr>
          <w:b w:val="1"/>
          <w:bCs w:val="1"/>
          <w:color w:val="1f3a5f"/>
          <w:sz w:val="56"/>
          <w:szCs w:val="56"/>
          <w:rtl w:val="0"/>
        </w:rPr>
        <w:t xml:space="preserve">MotoChain &amp; RideTrue</w:t>
      </w:r>
    </w:p>
    <w:p w:rsidR="00000000" w:rsidDel="00000000" w:rsidP="00000000" w:rsidRDefault="00000000" w:rsidRPr="00000000" w14:paraId="00000002">
      <w:pPr>
        <w:spacing w:after="200" w:lineRule="auto"/>
        <w:jc w:val="center"/>
        <w:rPr>
          <w:i w:val="1"/>
          <w:iCs w:val="1"/>
          <w:sz w:val="26"/>
          <w:szCs w:val="26"/>
        </w:rPr>
      </w:pPr>
      <w:r w:rsidDel="00000000" w:rsidR="00000000" w:rsidRPr="00000000">
        <w:rPr>
          <w:i w:val="1"/>
          <w:iCs w:val="1"/>
          <w:sz w:val="26"/>
          <w:szCs w:val="26"/>
          <w:rtl w:val="0"/>
        </w:rPr>
        <w:t xml:space="preserve">A Verifiable Identity &amp; Behavior-Based Insurance Protocol for Motorcycles</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axxy023s3t9" w:id="0"/>
      <w:bookmarkEnd w:id="0"/>
      <w:r w:rsidDel="00000000" w:rsidR="00000000" w:rsidRPr="00000000">
        <w:rPr>
          <w:b w:val="1"/>
          <w:bCs w:val="1"/>
          <w:sz w:val="46"/>
          <w:szCs w:val="46"/>
          <w:rtl w:val="0"/>
        </w:rPr>
        <w:t xml:space="preserve">I. The Elevator Pitch</w:t>
      </w:r>
    </w:p>
    <w:p w:rsidR="00000000" w:rsidDel="00000000" w:rsidP="00000000" w:rsidRDefault="00000000" w:rsidRPr="00000000" w14:paraId="00000005">
      <w:pPr>
        <w:spacing w:after="200" w:lineRule="auto"/>
        <w:rPr/>
      </w:pPr>
      <w:r w:rsidDel="00000000" w:rsidR="00000000" w:rsidRPr="00000000">
        <w:rPr>
          <w:rtl w:val="0"/>
        </w:rPr>
        <w:t xml:space="preserve">MotoChain and RideTrue are a dual-protocol DeFi system that creates a tamper-proof identity layer for motorcycles and a behavior-based insurance market for riders. MotoChain solves fraud and information asymmetry in the secondhand vehicle market by creating an immutable, verifiable history of each bike, while RideTrue replaces demographic-based insurance pricing with real-time, behavior-driven risk assessment. The core innovation lies in combining on-chain identity, economic incentives, and privacy-preserving data proofs to transform trust-dependent systems into verifiable, self-enforcing markets.</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7ni9myihw8z5" w:id="1"/>
      <w:bookmarkEnd w:id="1"/>
      <w:r w:rsidDel="00000000" w:rsidR="00000000" w:rsidRPr="00000000">
        <w:rPr>
          <w:b w:val="1"/>
          <w:bCs w:val="1"/>
          <w:sz w:val="46"/>
          <w:szCs w:val="46"/>
          <w:rtl w:val="0"/>
        </w:rPr>
        <w:t xml:space="preserve">Mission Statement</w:t>
      </w:r>
    </w:p>
    <w:p w:rsidR="00000000" w:rsidDel="00000000" w:rsidP="00000000" w:rsidRDefault="00000000" w:rsidRPr="00000000" w14:paraId="00000007">
      <w:pPr>
        <w:spacing w:after="200" w:lineRule="auto"/>
        <w:rPr/>
      </w:pPr>
      <w:r w:rsidDel="00000000" w:rsidR="00000000" w:rsidRPr="00000000">
        <w:rPr>
          <w:rtl w:val="0"/>
        </w:rPr>
        <w:t xml:space="preserve">MotoChain and RideTrue aim to eliminate trust-based inefficiencies in real-world markets by replacing them with verifiable, user-owned data and economically enforced truth systems. The long-term vision is to build a decentralized infrastructure for asset identity and risk pricing, where individuals — not institutions — control their history, reputation, and financial outcomes. Starting with motorcycles and rider insurance, the protocol expands toward a broader goal: creating a global, trustless layer for real-world asset verification and behavior-based financial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 </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wb9a9fxgngvg" w:id="2"/>
      <w:bookmarkEnd w:id="2"/>
      <w:r w:rsidDel="00000000" w:rsidR="00000000" w:rsidRPr="00000000">
        <w:rPr>
          <w:b w:val="1"/>
          <w:bCs w:val="1"/>
          <w:sz w:val="46"/>
          <w:szCs w:val="46"/>
          <w:rtl w:val="0"/>
        </w:rPr>
        <w:t xml:space="preserve">II. Deep-Dive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60rnu5a1nlk" w:id="3"/>
      <w:bookmarkEnd w:id="3"/>
      <w:r w:rsidDel="00000000" w:rsidR="00000000" w:rsidRPr="00000000">
        <w:rPr>
          <w:b w:val="1"/>
          <w:bCs w:val="1"/>
          <w:sz w:val="34"/>
          <w:szCs w:val="34"/>
          <w:rtl w:val="0"/>
        </w:rPr>
        <w:t xml:space="preserve">1. Comprehensive Problem &amp; Root Cause Analysis</w:t>
      </w:r>
    </w:p>
    <w:p w:rsidR="00000000" w:rsidDel="00000000" w:rsidP="00000000" w:rsidRDefault="00000000" w:rsidRPr="00000000" w14:paraId="0000000C">
      <w:pPr>
        <w:spacing w:after="200" w:lineRule="auto"/>
        <w:rPr/>
      </w:pPr>
      <w:r w:rsidDel="00000000" w:rsidR="00000000" w:rsidRPr="00000000">
        <w:rPr>
          <w:rtl w:val="0"/>
        </w:rPr>
        <w:t xml:space="preserve">The motorcycle resale and insurance markets are both constrained by the same structural limitation: reliance on fragmented, trust-based data controlled by centralized actors. In the secondhand motorcycle market, sellers possess full knowledge of a vehicle's history, while buyers depend on unverifiable claims. Critical information such as accident history, mileage, and maintenance records can be selectively disclosed, altered, or entirely omitted. This creates a classic case of information asymmetry, leading to adverse selection where lower-quality assets dominate the market and overall trust deteriorates. As a result, transaction friction increases, prices become inefficient, and both buyers and honest sellers are penalized.</w:t>
      </w:r>
    </w:p>
    <w:p w:rsidR="00000000" w:rsidDel="00000000" w:rsidP="00000000" w:rsidRDefault="00000000" w:rsidRPr="00000000" w14:paraId="0000000D">
      <w:pPr>
        <w:spacing w:after="200" w:lineRule="auto"/>
        <w:rPr/>
      </w:pPr>
      <w:r w:rsidDel="00000000" w:rsidR="00000000" w:rsidRPr="00000000">
        <w:rPr>
          <w:rtl w:val="0"/>
        </w:rPr>
        <w:t xml:space="preserve">A parallel inefficiency exists in the insurance market, where risk is priced using indirect proxies rather than real behavior. Insurers rely on variables such as age, registration duration, and demographic averages because they lack access to consistent, verifiable behavioral data. This leads to systematic mispricing: safe riders subsidize riskier ones, while pricing models fail to accurately reflect actual exposure. The consequence is not only economic inefficiency but also reduced trust in insurance providers, particularly among younger or experienced riders who are unfairly penalized.</w:t>
      </w:r>
    </w:p>
    <w:p w:rsidR="00000000" w:rsidDel="00000000" w:rsidP="00000000" w:rsidRDefault="00000000" w:rsidRPr="00000000" w14:paraId="0000000E">
      <w:pPr>
        <w:spacing w:after="200" w:lineRule="auto"/>
        <w:rPr/>
      </w:pPr>
      <w:r w:rsidDel="00000000" w:rsidR="00000000" w:rsidRPr="00000000">
        <w:rPr>
          <w:rtl w:val="0"/>
        </w:rPr>
        <w:t xml:space="preserve">At the core, both markets suffer from the absence of a shared, tamper-proof, and portable record of real-world events. Data is siloed across institutions, mutable within centralized systems, and inaccessible across platforms. Users cannot carry their history with them, and no neutral system exists to reconcile conflicting information between stakeholders.</w:t>
      </w:r>
    </w:p>
    <w:p w:rsidR="00000000" w:rsidDel="00000000" w:rsidP="00000000" w:rsidRDefault="00000000" w:rsidRPr="00000000" w14:paraId="0000000F">
      <w:pPr>
        <w:spacing w:after="200" w:lineRule="auto"/>
        <w:rPr/>
      </w:pPr>
      <w:r w:rsidDel="00000000" w:rsidR="00000000" w:rsidRPr="00000000">
        <w:rPr>
          <w:rtl w:val="0"/>
        </w:rPr>
        <w:t xml:space="preserve">The economic scale of this inefficiency is significant. The global motorcycle market exceeds $120 billion annually, with used vehicles representing a substantial share of total transactions. Even conservative estimates suggest that fraud, misrepresentation, and pricing inefficiencies reduce transaction value by 5 to 10 percent. In parallel, the global motorcycle insurance market, valued at over $70 billion, suffers from persistent misallocation of risk. A marginal improvement in pricing accuracy or fraud reduction — on the order of one to two percent — translates into billions of dollars in recoverable economic value.</w:t>
      </w:r>
    </w:p>
    <w:p w:rsidR="00000000" w:rsidDel="00000000" w:rsidP="00000000" w:rsidRDefault="00000000" w:rsidRPr="00000000" w14:paraId="00000010">
      <w:pPr>
        <w:spacing w:after="200" w:lineRule="auto"/>
        <w:rPr/>
      </w:pPr>
      <w:r w:rsidDel="00000000" w:rsidR="00000000" w:rsidRPr="00000000">
        <w:rPr>
          <w:rtl w:val="0"/>
        </w:rPr>
        <w:t xml:space="preserve">Centralized alternatives fail for structural reasons: data-holders have conflicts of interest in monetizing access, competing institutions have little incentive to share, and centralized records remain mutable and selectively disclosable. MotoChain and RideTrue introduce four properties that centralized systems cannot simultaneously guarantee: immutability of records, decentralized validation by independent participants, economic enforcement through staking and slashing, and portable user-owned identity. In this context, blockchain is not an implementation choice but a structural requirement.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jbnjg89iqai" w:id="4"/>
      <w:bookmarkEnd w:id="4"/>
      <w:r w:rsidDel="00000000" w:rsidR="00000000" w:rsidRPr="00000000">
        <w:rPr>
          <w:b w:val="1"/>
          <w:bCs w:val="1"/>
          <w:sz w:val="34"/>
          <w:szCs w:val="34"/>
          <w:rtl w:val="0"/>
        </w:rPr>
        <w:t xml:space="preserve">2. Technical Architecture &amp; System Logic</w:t>
      </w:r>
    </w:p>
    <w:p w:rsidR="00000000" w:rsidDel="00000000" w:rsidP="00000000" w:rsidRDefault="00000000" w:rsidRPr="00000000" w14:paraId="00000012">
      <w:pPr>
        <w:spacing w:after="200" w:lineRule="auto"/>
        <w:rPr/>
      </w:pPr>
      <w:r w:rsidDel="00000000" w:rsidR="00000000" w:rsidRPr="00000000">
        <w:rPr>
          <w:rtl w:val="0"/>
        </w:rPr>
        <w:t xml:space="preserve">MotoChain and RideTrue are designed as a modular, interoperable system deployed on an Ethereum Layer 2 network — specifically Base — to balance security, cost efficiency, and user accessibility. Base inherits Ethereum's security guarantees while offering significantly lower transaction costs and faster finality, which is critical for a system that requires frequent data writes such as service logs, ownership transfers, and behavioral updates.</w:t>
      </w:r>
    </w:p>
    <w:p>
      <w:pPr>
        <w:pStyle w:val="Heading3"/>
      </w:pPr>
      <w:r>
        <w:t>Why Two Contracts: VIN Token vs. Rider Score</w:t>
      </w:r>
    </w:p>
    <w:p>
      <w:pPr/>
      <w:r>
        <w:rPr>
          <w:b w:val="0"/>
        </w:rPr>
        <w:t>A core design decision underpins the two-protocol architecture: the VIN identity token is transferrable, while the rider safety score is soulbound. These two data types represent fundamentally different assets. The VIN NFT follows the motorcycle: when ownership changes, the full verified history — service records, accident log, mileage chain — transfers to the new owner, because the buyer's due-diligence need requires access to that history. The rider score, by contrast, follows the person: it represents that individual's demonstrated behaviour behind a specific type of vehicle, accumulated over time, and cannot be sold or transferred without destroying its informational value. Conflating the two would allow a high-scoring rider to sell their reputation along with the bike, undermining the actuarial integrity of the insurance pool. The two-contract architecture enforces this separation at the protocol level, not merely as a policy.</w:t>
      </w:r>
    </w:p>
    <w:p w:rsidR="00000000" w:rsidDel="00000000" w:rsidP="00000000" w:rsidRDefault="00000000" w:rsidRPr="00000000" w14:paraId="00000013">
      <w:pPr>
        <w:spacing w:after="200" w:lineRule="auto"/>
        <w:rPr/>
      </w:pPr>
      <w:r w:rsidDel="00000000" w:rsidR="00000000" w:rsidRPr="00000000">
        <w:rPr>
          <w:rtl w:val="0"/>
        </w:rPr>
        <w:t xml:space="preserve">At the core of MotoChain lies a set of smart contracts that manage the lifecycle of a motorcycle's on-chain identity. When a bike enters the system, a VIN-linked identity token is minted, establishing a permanent digital anchor. Ownership is tracked through controlled state transitions rather than simple token transfers, ensuring that title history remains verifiable and structured. Service entries are appended by authorized participants who have staked collateral, with each entry cryptographically signed and permanently recorded. These contracts enforce validation rules at the protocol level, automatically flagging inconsistencies such as non-sequential mileage updates or conflicting service records, thereby embedding data integrity directly into the system logic rather than relying on external enforcement.</w:t>
      </w:r>
    </w:p>
    <w:p w:rsidR="00000000" w:rsidDel="00000000" w:rsidP="00000000" w:rsidRDefault="00000000" w:rsidRPr="00000000" w14:paraId="00000014">
      <w:pPr>
        <w:spacing w:after="200" w:lineRule="auto"/>
        <w:rPr/>
      </w:pPr>
      <w:r w:rsidDel="00000000" w:rsidR="00000000" w:rsidRPr="00000000">
        <w:rPr>
          <w:rtl w:val="0"/>
        </w:rPr>
        <w:t xml:space="preserve">RideTrue operates as a complementary smart contract layer that manages rider identity, behavioral scoring, and pooled insurance capital. Riders interact with the protocol through a mobile interface that collects telematics data, which is processed off-chain into verifiable safety metrics. Instead of transmitting raw data, the system generates zero-knowledge proofs that attest to specific behavioral conditions — such as adherence to speed limits or absence of high-risk braking patterns — without exposing sensitive information. These proofs are submitted on-chain and update the rider's safety score, which directly influences premium calculations and eligibility for rewards.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vobf6olan1p" w:id="5"/>
      <w:bookmarkEnd w:id="5"/>
      <w:r w:rsidDel="00000000" w:rsidR="00000000" w:rsidRPr="00000000">
        <w:rPr>
          <w:b w:val="1"/>
          <w:bCs w:val="1"/>
          <w:color w:val="000000"/>
          <w:sz w:val="26"/>
          <w:szCs w:val="26"/>
          <w:rtl w:val="0"/>
        </w:rPr>
        <w:t xml:space="preserve">2.1 Telematics Integrity &amp; Anti-Spoofing</w:t>
      </w:r>
    </w:p>
    <w:p>
      <w:pPr/>
      <w:r>
        <w:rPr>
          <w:b w:val="0"/>
        </w:rPr>
        <w:t>A fifth recommended defense layer is biometric binding: Face ID, fingerprint, or voice confirmation ties each riding session to the registered individual rather than merely the device. This addresses a specific attack vector — score farming — where a careful rider operates a device on behalf of a riskier one to earn undeserved premium discounts. Biometric confirmation at session start makes this economically irrational by linking each score update to a verified human identity, not just a hardware token. Implementation should use the platform-native biometric APIs (iOS Face ID / Touch ID, Android BiometricPrompt) that are already hardware-attested, adding minimal friction while substantially closing the social-engineering gap.</w:t>
      </w:r>
    </w:p>
    <w:p w:rsidR="00000000" w:rsidDel="00000000" w:rsidP="00000000" w:rsidRDefault="00000000" w:rsidRPr="00000000" w14:paraId="00000016">
      <w:pPr>
        <w:spacing w:after="200" w:lineRule="auto"/>
        <w:rPr/>
      </w:pPr>
      <w:r w:rsidDel="00000000" w:rsidR="00000000" w:rsidRPr="00000000">
        <w:rPr>
          <w:rtl w:val="0"/>
        </w:rPr>
        <w:t xml:space="preserve">A critical consideration in behavior-based scoring is that cryptographic proofs validate computation, not input authenticity. A zero-knowledge proof can confirm that a given input data set leads to a particular safety score, but it cannot, in isolation, prove that the input data reflects real-world riding behavior. Without additional defenses, a malicious user could spoof GPS coordinates, replay a clean ride profile on a stationary device, or fabricate accelerometer data to obtain undeserved premium discounts. RideTrue therefore layers four defenses on top of its ZK-proof attestation system.</w:t>
      </w:r>
    </w:p>
    <w:p w:rsidR="00000000" w:rsidDel="00000000" w:rsidP="00000000" w:rsidRDefault="00000000" w:rsidRPr="00000000" w14:paraId="00000017">
      <w:pPr>
        <w:spacing w:after="200" w:lineRule="auto"/>
        <w:rPr/>
      </w:pPr>
      <w:r w:rsidDel="00000000" w:rsidR="00000000" w:rsidRPr="00000000">
        <w:rPr>
          <w:rtl w:val="0"/>
        </w:rPr>
        <w:t xml:space="preserve">First, hardware attestation: where supported, the mobile client requests platform-level attestation (Android Play Integrity API, iOS DeviceCheck and App Attest) to confirm that data originates from a genuine, uncompromised device running the official application. Second, sensor fusion: behavioral data is reconstructed from multiple uncorrelated sources — GPS, accelerometer, gyroscope, magnetometer, and, where available, motorcycle ECU telemetry via Bluetooth or aftermarket OBD adapters. A spoofer must produce internally consistent data across all sensors, which is materially harder than fabricating a single feed. Third, statistical anomaly detection: the protocol maintains a per-rider behavioral baseline and flags rides that deviate sharply from established patterns, such as physically implausible trajectories, instantaneous position changes, or accelerometer signatures inconsistent with the reported speed profile. Flagged rides are excluded from scoring and trigger optional manual or oracle-based review. Fourth, sampling and challenge mechanics: a randomized subset of rides is subjected to additional verification, including comparison against cellular tower triangulation, third-party traffic data, and where available, paired hardware tokens installed on the motorcycle. Mechanic- or dealer-installed hardware modules that sign telemetry at the source are offered as an optional Verified Rider tier, unlocking deeper premium discounts in exchange for stronger anti-spoofing guarantees.</w:t>
      </w:r>
    </w:p>
    <w:p w:rsidR="00000000" w:rsidDel="00000000" w:rsidP="00000000" w:rsidRDefault="00000000" w:rsidRPr="00000000" w14:paraId="00000018">
      <w:pPr>
        <w:spacing w:after="200" w:lineRule="auto"/>
        <w:rPr/>
      </w:pPr>
      <w:r w:rsidDel="00000000" w:rsidR="00000000" w:rsidRPr="00000000">
        <w:rPr>
          <w:rtl w:val="0"/>
        </w:rPr>
        <w:t xml:space="preserve">These defenses are not absolute. The protocol explicitly acknowledges that no behavior-based system can fully eliminate adversarial spoofing. Instead, the goal is to make spoofing economically irrational by combining (i) detection probability above a threshold that exceeds the expected benefit of fraud, (ii) economic penalties via slashing of a user's deposited collateral if fraud is confirmed, and (iii) tiered trust where larger premium discounts require stronger attestation guarantees.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et6ro6yx8" w:id="6"/>
      <w:bookmarkEnd w:id="6"/>
      <w:r w:rsidDel="00000000" w:rsidR="00000000" w:rsidRPr="00000000">
        <w:rPr>
          <w:b w:val="1"/>
          <w:bCs w:val="1"/>
          <w:color w:val="000000"/>
          <w:sz w:val="26"/>
          <w:szCs w:val="26"/>
          <w:rtl w:val="0"/>
        </w:rPr>
        <w:t xml:space="preserve">2.2 Insurance Pool, Claims &amp; Oracles</w:t>
      </w:r>
    </w:p>
    <w:p w:rsidR="00000000" w:rsidDel="00000000" w:rsidP="00000000" w:rsidRDefault="00000000" w:rsidRPr="00000000" w14:paraId="0000001A">
      <w:pPr>
        <w:spacing w:after="200" w:lineRule="auto"/>
        <w:rPr/>
      </w:pPr>
      <w:r w:rsidDel="00000000" w:rsidR="00000000" w:rsidRPr="00000000">
        <w:rPr>
          <w:rtl w:val="0"/>
        </w:rPr>
        <w:t xml:space="preserve">The lifecycle of a typical transaction within RideTrue begins when a rider connects to the application — ideally through an abstracted wallet interface that removes the need for direct interaction with private keys or gas payments. When contributing to the insurance pool, the rider deposits stablecoins (e.g., USDC) into a smart contract that aggregates capital across participants. Premiums are dynamically adjusted based on the rider's current safety score and overall pool conditions. In the event of a claim, the rider submits a request that triggers a verification process through decentralized oracle networks. These oracles — such as Chainlink or similar providers — aggregate data from multiple real-world sources, including repair shops, insurers, and public records. A consensus mechanism determines the validity of the claim, after which the smart contract executes the payout automatically or routes the claim to a secondary validation layer if discrepancies arise.</w:t>
      </w:r>
    </w:p>
    <w:p w:rsidR="00000000" w:rsidDel="00000000" w:rsidP="00000000" w:rsidRDefault="00000000" w:rsidRPr="00000000" w14:paraId="0000001B">
      <w:pPr>
        <w:spacing w:after="200" w:lineRule="auto"/>
        <w:rPr/>
      </w:pPr>
      <w:r w:rsidDel="00000000" w:rsidR="00000000" w:rsidRPr="00000000">
        <w:rPr>
          <w:rtl w:val="0"/>
        </w:rPr>
        <w:t xml:space="preserve">Oracle integrity is a critical component of the system, as it bridges off-chain reality with on-chain execution. To mitigate the risk of oracle manipulation, MotoChain and RideTrue rely on multi-source aggregation, economic staking, and fallback mechanisms. No single data provider is trusted in isolation; instead, multiple independent oracles must reach consensus before a data point is accepted. If conflicting data is detected or feeds become stale, the system can pause execution or escalate the decision to a decentralized arbitration layer.</w:t>
      </w:r>
    </w:p>
    <w:p w:rsidR="00000000" w:rsidDel="00000000" w:rsidP="00000000" w:rsidRDefault="00000000" w:rsidRPr="00000000" w14:paraId="0000001C">
      <w:pPr>
        <w:spacing w:after="200" w:lineRule="auto"/>
        <w:rPr/>
      </w:pPr>
      <w:r w:rsidDel="00000000" w:rsidR="00000000" w:rsidRPr="00000000">
        <w:rPr>
          <w:rtl w:val="0"/>
        </w:rPr>
        <w:t xml:space="preserve">The protocol is also designed for composability within the broader DeFi ecosystem. Idle capital within the insurance pool can be deployed into established lending protocols such as Aave to generate yield, improving capital efficiency without compromising liquidity requirements. In scenarios involving liquidation or rapid capital rebalancing, integration with decentralized exchanges allows the protocol to access liquidity in real time.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8i45ij3lb8x5" w:id="7"/>
      <w:bookmarkEnd w:id="7"/>
      <w:r w:rsidDel="00000000" w:rsidR="00000000" w:rsidRPr="00000000">
        <w:rPr>
          <w:b w:val="1"/>
          <w:bCs w:val="1"/>
          <w:sz w:val="34"/>
          <w:szCs w:val="34"/>
          <w:rtl w:val="0"/>
        </w:rPr>
        <w:t xml:space="preserve">3. User Experience &amp; Onboarding Framework</w:t>
      </w:r>
    </w:p>
    <w:p w:rsidR="00000000" w:rsidDel="00000000" w:rsidP="00000000" w:rsidRDefault="00000000" w:rsidRPr="00000000" w14:paraId="0000001E">
      <w:pPr>
        <w:spacing w:after="200" w:lineRule="auto"/>
        <w:rPr/>
      </w:pPr>
      <w:r w:rsidDel="00000000" w:rsidR="00000000" w:rsidRPr="00000000">
        <w:rPr>
          <w:rtl w:val="0"/>
        </w:rPr>
        <w:t xml:space="preserve">A critical barrier to adoption in decentralized systems is not technical feasibility but user friction. Traditional DeFi applications require users to manage private keys, understand gas fees, and interact with complex interfaces, creating a steep learning curve that limits adoption to technically sophisticated users. MotoChain and RideTrue are designed with the explicit objective of abstracting this complexity, enabling a user experience comparable to modern mobile applications while preserving the underlying benefits of decentralized infrastructure.</w:t>
      </w:r>
    </w:p>
    <w:p w:rsidR="00000000" w:rsidDel="00000000" w:rsidP="00000000" w:rsidRDefault="00000000" w:rsidRPr="00000000" w14:paraId="0000001F">
      <w:pPr>
        <w:spacing w:after="200" w:lineRule="auto"/>
        <w:rPr/>
      </w:pPr>
      <w:r w:rsidDel="00000000" w:rsidR="00000000" w:rsidRPr="00000000">
        <w:rPr>
          <w:rtl w:val="0"/>
        </w:rPr>
        <w:t xml:space="preserve">To achieve this, the protocol integrates account abstraction mechanisms that allow users to onboard through familiar authentication methods such as email or social login, while wallets are generated and managed seamlessly in the background. This eliminates the need for users to manually handle seed phrases or interact directly with cryptographic signing processes. In parallel, the system supports gas abstraction, whereby transaction fees are either bundled into application-level costs or subsidized by the protocol, ensuring that users do not need to acquire or manage native blockchain tokens to interact with the system.</w:t>
      </w:r>
    </w:p>
    <w:p w:rsidR="00000000" w:rsidDel="00000000" w:rsidP="00000000" w:rsidRDefault="00000000" w:rsidRPr="00000000" w14:paraId="00000020">
      <w:pPr>
        <w:spacing w:after="200" w:lineRule="auto"/>
        <w:rPr/>
      </w:pPr>
      <w:r w:rsidDel="00000000" w:rsidR="00000000" w:rsidRPr="00000000">
        <w:rPr>
          <w:rtl w:val="0"/>
        </w:rPr>
        <w:t xml:space="preserve">The primary user interface is designed as a mobile-first application, reflecting the behavioral patterns of the target market. For riders, the interface centers around a simple dashboard displaying key metrics such as safety score, premium level, and potential savings. Behavioral tracking operates passively in the background, requiring minimal active input from the user. For mechanics, the interface is optimized for speed and simplicity, enabling service entries to be recorded in under thirty seconds through structured forms or QR-based identification of vehicles. Buyers interact with the system through a lightweight verification interface, where scanning a code or entering a vehicle identifier provides immediate access to a complete, verifiable history.</w:t>
      </w:r>
    </w:p>
    <w:p w:rsidR="00000000" w:rsidDel="00000000" w:rsidP="00000000" w:rsidRDefault="00000000" w:rsidRPr="00000000" w14:paraId="00000021">
      <w:pPr>
        <w:spacing w:after="200" w:lineRule="auto"/>
        <w:rPr/>
      </w:pPr>
      <w:r w:rsidDel="00000000" w:rsidR="00000000" w:rsidRPr="00000000">
        <w:rPr>
          <w:rtl w:val="0"/>
        </w:rPr>
        <w:t xml:space="preserve">Long-term retention is driven by a combination of financial incentives and embedded reputation systems. Riders are incentivized to remain active through dynamic premium adjustments and periodic rebates tied to their safety performance. Mechanics and data providers build persistent reputational capital through their contributions, which directly impacts their visibility and attractiveness to customers and dealers.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9pr5q5fff2c" w:id="8"/>
      <w:bookmarkEnd w:id="8"/>
      <w:r w:rsidDel="00000000" w:rsidR="00000000" w:rsidRPr="00000000">
        <w:rPr>
          <w:b w:val="1"/>
          <w:bCs w:val="1"/>
          <w:sz w:val="34"/>
          <w:szCs w:val="34"/>
          <w:rtl w:val="0"/>
        </w:rPr>
        <w:t xml:space="preserve">4. Target Audience &amp; Customer Acquisition</w:t>
      </w:r>
    </w:p>
    <w:p w:rsidR="00000000" w:rsidDel="00000000" w:rsidP="00000000" w:rsidRDefault="00000000" w:rsidRPr="00000000" w14:paraId="00000023">
      <w:pPr>
        <w:spacing w:after="200" w:lineRule="auto"/>
        <w:rPr/>
      </w:pPr>
      <w:r w:rsidDel="00000000" w:rsidR="00000000" w:rsidRPr="00000000">
        <w:rPr>
          <w:rtl w:val="0"/>
        </w:rPr>
        <w:t xml:space="preserve">MotoChain and RideTrue operate as a multi-sided DeFi marketplace, meaning the protocol must attract both capital providers and end users at the same time. Unlike a simple consumer application, the system only becomes powerful when multiple groups participate: riders provide behavioral data and insurance demand, liquidity providers supply capital to the insurance pool, mechanics and dealers create verified vehicle records, and insurers or lenders consume the data for underwriting.</w:t>
      </w:r>
    </w:p>
    <w:p w:rsidR="00000000" w:rsidDel="00000000" w:rsidP="00000000" w:rsidRDefault="00000000" w:rsidRPr="00000000" w14:paraId="00000024">
      <w:pPr>
        <w:spacing w:after="200" w:lineRule="auto"/>
        <w:rPr/>
      </w:pPr>
      <w:r w:rsidDel="00000000" w:rsidR="00000000" w:rsidRPr="00000000">
        <w:rPr>
          <w:rtl w:val="0"/>
        </w:rPr>
        <w:t xml:space="preserve">On the supply side, the main liquidity providers are riders, DeFi investors, and potentially institutional partners seeking yield from insurance pool participation. Their return comes from a share of protocol fees, conservative DeFi yield on idle capital, and risk-adjusted premiums collected from riders. Unlike unsustainable DeFi projects that attract capital through inflated token emissions, RideTrue's capital supply is supported by real insurance demand.</w:t>
      </w:r>
    </w:p>
    <w:p w:rsidR="00000000" w:rsidDel="00000000" w:rsidP="00000000" w:rsidRDefault="00000000" w:rsidRPr="00000000" w14:paraId="00000025">
      <w:pPr>
        <w:spacing w:after="200" w:lineRule="auto"/>
        <w:rPr/>
      </w:pPr>
      <w:r w:rsidDel="00000000" w:rsidR="00000000" w:rsidRPr="00000000">
        <w:rPr>
          <w:rtl w:val="0"/>
        </w:rPr>
        <w:t xml:space="preserve">On the demand side, the primary users are riders who want fairer insurance pricing and buyers who want trustworthy motorcycle history. For mechanics and dealers, the protocol provides reputational value: verified participation allows them to signal trustworthiness, attract more customers, and differentiate themselves from competitors.</w:t>
      </w:r>
    </w:p>
    <w:p w:rsidR="00000000" w:rsidDel="00000000" w:rsidP="00000000" w:rsidRDefault="00000000" w:rsidRPr="00000000" w14:paraId="00000026">
      <w:pPr>
        <w:spacing w:after="200" w:lineRule="auto"/>
        <w:rPr/>
      </w:pPr>
      <w:r w:rsidDel="00000000" w:rsidR="00000000" w:rsidRPr="00000000">
        <w:rPr>
          <w:rtl w:val="0"/>
        </w:rPr>
        <w:t xml:space="preserve">Customer acquisition should begin with a focused geographic and commercial wedge rather than immediate nationwide expansion. The strongest initial strategy is to launch in Seoul or another dense urban motorcycle market by partnering with a small number of high-volume used motorcycle dealers and trusted repair shops. Dealers are especially important because they control supply and can push adoption downstream. If verified bike histories allow dealers to sell motorcycles faster, at higher prices, and with fewer disputes, they have a direct financial reason to require mechanics to log repairs and maintenance through MotoChain.</w:t>
      </w:r>
    </w:p>
    <w:p>
      <w:pPr>
        <w:pStyle w:val="Heading3"/>
      </w:pPr>
      <w:r>
        <w:t>Dealer Incentive Strategy: The Second-Hand Market</w:t>
      </w:r>
    </w:p>
    <w:p>
      <w:pPr/>
      <w:r>
        <w:rPr>
          <w:b w:val="0"/>
        </w:rPr>
        <w:t>A critical objection from second-hand dealers must be answered directly: 'My resale market is already functioning. Why do extra work to register older motorcycles?' The protocol's response is economic, not ideological. Verified motorcycles command a price premium that materially exceeds the registration fee. A ₩10,000 one-time fee that enables a ₩200,000 to ₩500,000 price premium represents a 20× to 50× return on that cost. Dealers who register inventory — including older bikes — sell faster, at higher prices, and with fewer post-sale disputes. The incentive structure is designed to make this concrete. Dealers in the launch cohort who register a minimum of fifty older motorcycles earn $MOTO rewards equivalent to twelve months of fee rebates. A Verified Dealer badge is displayed on partner marketplaces, compounding the trust advantage with every additional registration. Higher verified inventory volumes unlock lower protocol fees on future ownership transfers, creating a permanent cost advantage for active dealers. For older motorcycles specifically, the value proposition is strongest precisely because buyer uncertainty is highest in that segment. The protocol addresses this through retroactive condition anchoring: even without a complete service history, a current condition certification documents the bike's verified state at a known point in time. Every subsequent service record builds on that anchor, compounding the asset's verifiable value. The dealer's market improves not despite older inventory, but because of it.</w:t>
      </w:r>
    </w:p>
    <w:p w:rsidR="00000000" w:rsidDel="00000000" w:rsidP="00000000" w:rsidRDefault="00000000" w:rsidRPr="00000000" w14:paraId="00000027">
      <w:pPr>
        <w:spacing w:after="200" w:lineRule="auto"/>
        <w:rPr/>
      </w:pPr>
      <w:r w:rsidDel="00000000" w:rsidR="00000000" w:rsidRPr="00000000">
        <w:rPr>
          <w:rtl w:val="0"/>
        </w:rPr>
        <w:t xml:space="preserve">Sybil resistance is essential for any incentive campaign. Instead of distributing rewards simply for wallet creation, MotoChain and RideTrue require proof of real participation: a rider qualifies for incentives only after completing meaningful actions such as registering a real vehicle, maintaining a verified riding record for a minimum period, or contributing to the insurance pool. Mechanics receive rewards only for verified service entries that pass audit and cross-checking rules. Buyers receive discounts or credits based on real paid history checks, not empty account activity.</w:t>
      </w:r>
    </w:p>
    <w:p w:rsidR="00000000" w:rsidDel="00000000" w:rsidP="00000000" w:rsidRDefault="00000000" w:rsidRPr="00000000" w14:paraId="00000028">
      <w:pPr>
        <w:spacing w:after="200" w:lineRule="auto"/>
        <w:rPr/>
      </w:pPr>
      <w:r w:rsidDel="00000000" w:rsidR="00000000" w:rsidRPr="00000000">
        <w:rPr>
          <w:rtl w:val="0"/>
        </w:rPr>
        <w:t xml:space="preserve">B2B partnerships are also central to growth. The protocol will integrate with motorcycle marketplaces, insurance brokers, repair networks, and eventually wallets or fintech applications. A marketplace integration allows listings to display a MotoChain Verified History badge, making the protocol visible at the exact moment buyers are making purchasing decisions. An insurance partnership allows RideTrue scores to be used as an underwriting input, converting behavioral data into immediate financial value.</w:t>
        <w:br w:type="textWrapp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e5fv1fxwoeg" w:id="9"/>
      <w:bookmarkEnd w:id="9"/>
      <w:r w:rsidDel="00000000" w:rsidR="00000000" w:rsidRPr="00000000">
        <w:rPr>
          <w:b w:val="1"/>
          <w:bCs w:val="1"/>
          <w:sz w:val="34"/>
          <w:szCs w:val="34"/>
          <w:rtl w:val="0"/>
        </w:rPr>
        <w:t xml:space="preserve">5. Economic Engineering &amp; Tokenomics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h8vr8mscu4g" w:id="10"/>
      <w:bookmarkEnd w:id="10"/>
      <w:r w:rsidDel="00000000" w:rsidR="00000000" w:rsidRPr="00000000">
        <w:rPr>
          <w:b w:val="1"/>
          <w:bCs w:val="1"/>
          <w:color w:val="000000"/>
          <w:sz w:val="26"/>
          <w:szCs w:val="26"/>
          <w:rtl w:val="0"/>
        </w:rPr>
        <w:t xml:space="preserve">5.1 Core Principle</w:t>
      </w:r>
    </w:p>
    <w:p w:rsidR="00000000" w:rsidDel="00000000" w:rsidP="00000000" w:rsidRDefault="00000000" w:rsidRPr="00000000" w14:paraId="0000002B">
      <w:pPr>
        <w:spacing w:after="200" w:lineRule="auto"/>
        <w:rPr/>
      </w:pPr>
      <w:r w:rsidDel="00000000" w:rsidR="00000000" w:rsidRPr="00000000">
        <w:rPr>
          <w:rtl w:val="0"/>
        </w:rPr>
        <w:t xml:space="preserve">The economic design of MotoChain and RideTrue is built around one core principle: the protocol must generate revenue from real usage, not from speculative token emissions. MotoChain and RideTrue link protocol revenue directly to valuable actions: registering motorcycles, verifying service records, transferring ownership, contributing to insurance pools, accessing verified data, and underwriting real-world rider risk. The token is not the product; the token is an enforcement and coordination tool that supports the larger economic system.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h64lvpou1dl" w:id="11"/>
      <w:bookmarkEnd w:id="11"/>
      <w:r w:rsidDel="00000000" w:rsidR="00000000" w:rsidRPr="00000000">
        <w:rPr>
          <w:b w:val="1"/>
          <w:bCs w:val="1"/>
          <w:color w:val="000000"/>
          <w:sz w:val="26"/>
          <w:szCs w:val="26"/>
          <w:rtl w:val="0"/>
        </w:rPr>
        <w:t xml:space="preserve">5.2 Revenue Streams</w:t>
      </w:r>
    </w:p>
    <w:p w:rsidR="00000000" w:rsidDel="00000000" w:rsidP="00000000" w:rsidRDefault="00000000" w:rsidRPr="00000000" w14:paraId="0000002D">
      <w:pPr>
        <w:spacing w:after="200" w:lineRule="auto"/>
        <w:rPr/>
      </w:pPr>
      <w:r w:rsidDel="00000000" w:rsidR="00000000" w:rsidRPr="00000000">
        <w:rPr>
          <w:rtl w:val="0"/>
        </w:rPr>
        <w:t xml:space="preserve">The primary revenue engine begins with MotoChain's vehicle identity layer. Each motorcycle entering the system pays a one-time VIN registration fee when its on-chain identity token is created. After registration, every ownership transfer generates a small transaction fee, replacing the trust-heavy and paperwork-based transfer process with a verifiable digital record.</w:t>
      </w:r>
    </w:p>
    <w:p w:rsidR="00000000" w:rsidDel="00000000" w:rsidP="00000000" w:rsidRDefault="00000000" w:rsidRPr="00000000" w14:paraId="0000002E">
      <w:pPr>
        <w:spacing w:after="200" w:lineRule="auto"/>
        <w:rPr/>
      </w:pPr>
      <w:r w:rsidDel="00000000" w:rsidR="00000000" w:rsidRPr="00000000">
        <w:rPr>
          <w:rtl w:val="0"/>
        </w:rPr>
        <w:t xml:space="preserve">RideTrue adds a second revenue engine through the insurance pool. Riders contribute stablecoins, such as USDC, as premium deposits into a smart contract-managed mutual pool. The protocol retains a small percentage of premium contributions as an operating fee, while the majority remains available for claim payouts, reserves, and year-end safe-rider rebates. Premiums are not fixed arbitrarily; they are dynamically adjusted based on each rider's verified behavioral score, claim history, and the liquidity condition of the pool.</w:t>
      </w:r>
    </w:p>
    <w:p w:rsidR="00000000" w:rsidDel="00000000" w:rsidP="00000000" w:rsidRDefault="00000000" w:rsidRPr="00000000" w14:paraId="0000002F">
      <w:pPr>
        <w:spacing w:after="200" w:lineRule="auto"/>
        <w:rPr/>
      </w:pPr>
      <w:r w:rsidDel="00000000" w:rsidR="00000000" w:rsidRPr="00000000">
        <w:rPr>
          <w:rtl w:val="0"/>
        </w:rPr>
        <w:t xml:space="preserve">A third revenue stream comes from verified data access. Insurers, lenders, marketplaces, and dealerships can pay subscription or API fees to access tamper-proof vehicle histories and privacy-preserving rider risk scores. For insurers, RideTrue scores can improve underwriting accuracy. For lenders, MotoChain histories can support motorcycle-backed financing by reducing uncertainty around collateral quality. For marketplaces, verified history badges can increase buyer confidence and transaction completion rates.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1ajo5k54u87" w:id="12"/>
      <w:bookmarkEnd w:id="12"/>
      <w:r w:rsidDel="00000000" w:rsidR="00000000" w:rsidRPr="00000000">
        <w:rPr>
          <w:b w:val="1"/>
          <w:bCs w:val="1"/>
          <w:color w:val="000000"/>
          <w:sz w:val="26"/>
          <w:szCs w:val="26"/>
          <w:rtl w:val="0"/>
        </w:rPr>
        <w:t xml:space="preserve">5.3 Core Financial Assumptions (Seoul Launch)</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010"/>
        <w:gridCol w:w="2025"/>
        <w:gridCol w:w="2010"/>
        <w:tblGridChange w:id="0">
          <w:tblGrid>
            <w:gridCol w:w="3075"/>
            <w:gridCol w:w="2010"/>
            <w:gridCol w:w="2025"/>
            <w:gridCol w:w="201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Metric</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Year 1</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Year 2</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Year 3</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Registered motorcycles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25,000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100,000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Active RideTrue riders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2,000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12,000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50,000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Verified mechanics / dealers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2,000</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Average monthly rider premium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₩90,000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₩90,000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₩90,000</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Annual insurance pool contributions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₩2.16B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₩12.96B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₩54B</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Modeled claim frequency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Average claim size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₩1.2M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₩1.2M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₩1.2M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Modeled loss ratio</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~8.9%</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Protocol insurance fee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059">
      <w:pPr>
        <w:spacing w:after="200" w:lineRule="auto"/>
        <w:rPr>
          <w:i w:val="1"/>
          <w:iCs w:val="1"/>
          <w:color w:val="555555"/>
        </w:rPr>
      </w:pPr>
      <w:r w:rsidDel="00000000" w:rsidR="00000000" w:rsidRPr="00000000">
        <w:rPr>
          <w:i w:val="1"/>
          <w:iCs w:val="1"/>
          <w:color w:val="555555"/>
          <w:rtl w:val="0"/>
        </w:rPr>
        <w:t xml:space="preserve">Note on loss ratio: The modeled ~8.9% loss ratio is intentionally conservative at launch. Industry-standard motorcycle insurance loss ratios are typically 55–70%. The protocol prioritizes pool solvency over premium competitiveness during the first 12–24 months while real claim experience is gathered. As actuarial data matures, premiums, coverage limits, and rebate ratios will be re-calibrated through governance to converge toward a target combined ratio aligned with industry norms, with surplus capital returned to riders via rebates and to liquidity providers via yield.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igc3hz508xpp" w:id="13"/>
      <w:bookmarkEnd w:id="13"/>
      <w:r w:rsidDel="00000000" w:rsidR="00000000" w:rsidRPr="00000000">
        <w:rPr>
          <w:b w:val="1"/>
          <w:bCs w:val="1"/>
          <w:color w:val="000000"/>
          <w:sz w:val="26"/>
          <w:szCs w:val="26"/>
          <w:rtl w:val="0"/>
        </w:rPr>
        <w:t xml:space="preserve">5.4 Revenue Stream Detail</w:t>
      </w:r>
    </w:p>
    <w:p w:rsidR="00000000" w:rsidDel="00000000" w:rsidP="00000000" w:rsidRDefault="00000000" w:rsidRPr="00000000" w14:paraId="0000005B">
      <w:pPr>
        <w:spacing w:after="200" w:lineRule="auto"/>
        <w:rPr>
          <w:b w:val="1"/>
          <w:bCs w:val="1"/>
        </w:rPr>
      </w:pPr>
      <w:r w:rsidDel="00000000" w:rsidR="00000000" w:rsidRPr="00000000">
        <w:rPr>
          <w:b w:val="1"/>
          <w:bCs w:val="1"/>
          <w:rtl w:val="0"/>
        </w:rPr>
        <w:t xml:space="preserve">VIN Registration Fees</w:t>
      </w:r>
    </w:p>
    <w:p w:rsidR="00000000" w:rsidDel="00000000" w:rsidP="00000000" w:rsidRDefault="00000000" w:rsidRPr="00000000" w14:paraId="0000005C">
      <w:pPr>
        <w:spacing w:after="200" w:lineRule="auto"/>
        <w:rPr/>
      </w:pPr>
      <w:r w:rsidDel="00000000" w:rsidR="00000000" w:rsidRPr="00000000">
        <w:rPr>
          <w:rtl w:val="0"/>
        </w:rPr>
        <w:t xml:space="preserve">Fee: ₩10,000 per motorcycle, paid by the bike owner, dealer, or first registrant.</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90"/>
        <w:gridCol w:w="1725"/>
        <w:gridCol w:w="2685"/>
        <w:tblGridChange w:id="0">
          <w:tblGrid>
            <w:gridCol w:w="1620"/>
            <w:gridCol w:w="3090"/>
            <w:gridCol w:w="1725"/>
            <w:gridCol w:w="268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Registered Motorcycles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Fee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25,000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₩250M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100,000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₩1B</w:t>
            </w:r>
          </w:p>
        </w:tc>
      </w:tr>
    </w:tbl>
    <w:p w:rsidR="00000000" w:rsidDel="00000000" w:rsidP="00000000" w:rsidRDefault="00000000" w:rsidRPr="00000000" w14:paraId="0000006D">
      <w:pPr>
        <w:spacing w:after="200" w:lineRule="auto"/>
        <w:rPr>
          <w:b w:val="1"/>
          <w:bCs w:val="1"/>
        </w:rPr>
      </w:pPr>
      <w:r w:rsidDel="00000000" w:rsidR="00000000" w:rsidRPr="00000000">
        <w:rPr>
          <w:b w:val="1"/>
          <w:bCs w:val="1"/>
          <w:rtl w:val="0"/>
        </w:rPr>
        <w:t xml:space="preserve">Ownership Transfer Fees</w:t>
      </w:r>
    </w:p>
    <w:p w:rsidR="00000000" w:rsidDel="00000000" w:rsidP="00000000" w:rsidRDefault="00000000" w:rsidRPr="00000000" w14:paraId="0000006E">
      <w:pPr>
        <w:spacing w:after="200" w:lineRule="auto"/>
        <w:rPr/>
      </w:pPr>
      <w:r w:rsidDel="00000000" w:rsidR="00000000" w:rsidRPr="00000000">
        <w:rPr>
          <w:rtl w:val="0"/>
        </w:rPr>
        <w:t xml:space="preserve">Annual resale/transfer rate: 20% of registered motorcycles. Fee: ₩15,000 per transfer.</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75"/>
        <w:gridCol w:w="2385"/>
        <w:gridCol w:w="2040"/>
        <w:tblGridChange w:id="0">
          <w:tblGrid>
            <w:gridCol w:w="1620"/>
            <w:gridCol w:w="3075"/>
            <w:gridCol w:w="2385"/>
            <w:gridCol w:w="204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Registered Motorcycles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Estimated Transfers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1,000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₩15M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25,000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₩75M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100,000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20,000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₩300M</w:t>
            </w:r>
          </w:p>
        </w:tc>
      </w:tr>
    </w:tbl>
    <w:p w:rsidR="00000000" w:rsidDel="00000000" w:rsidP="00000000" w:rsidRDefault="00000000" w:rsidRPr="00000000" w14:paraId="0000007F">
      <w:pPr>
        <w:spacing w:after="200" w:lineRule="auto"/>
        <w:rPr>
          <w:b w:val="1"/>
          <w:bCs w:val="1"/>
        </w:rPr>
      </w:pPr>
      <w:r w:rsidDel="00000000" w:rsidR="00000000" w:rsidRPr="00000000">
        <w:rPr>
          <w:b w:val="1"/>
          <w:bCs w:val="1"/>
          <w:rtl w:val="0"/>
        </w:rPr>
        <w:t xml:space="preserve">Verified Service-Entry Marketplace</w:t>
      </w:r>
    </w:p>
    <w:p w:rsidR="00000000" w:rsidDel="00000000" w:rsidP="00000000" w:rsidRDefault="00000000" w:rsidRPr="00000000" w14:paraId="00000080">
      <w:pPr>
        <w:spacing w:after="200" w:lineRule="auto"/>
        <w:rPr/>
      </w:pPr>
      <w:r w:rsidDel="00000000" w:rsidR="00000000" w:rsidRPr="00000000">
        <w:rPr>
          <w:rtl w:val="0"/>
        </w:rPr>
        <w:t xml:space="preserve">Average service records per motorcycle per year: 2. Fee: ₩5,000 per record, paid by owner/dealer/seller (not the mechanic). Fee split: 60% mechanic, 20% validator/oracle, 20% protocol.</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485"/>
        <w:gridCol w:w="1620"/>
        <w:gridCol w:w="1725"/>
        <w:gridCol w:w="1620"/>
        <w:gridCol w:w="1680"/>
        <w:tblGridChange w:id="0">
          <w:tblGrid>
            <w:gridCol w:w="990"/>
            <w:gridCol w:w="1485"/>
            <w:gridCol w:w="1620"/>
            <w:gridCol w:w="1725"/>
            <w:gridCol w:w="1620"/>
            <w:gridCol w:w="1680"/>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Service Entries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Gross Service Fees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Mechanic Rewards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Validator Rewards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Protocol 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₩50M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₩30M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₩10M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50,000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₩250M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₩150M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200,000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₩1B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₩600M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₩200M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₩200M</w:t>
            </w:r>
          </w:p>
        </w:tc>
      </w:tr>
    </w:tbl>
    <w:p w:rsidR="00000000" w:rsidDel="00000000" w:rsidP="00000000" w:rsidRDefault="00000000" w:rsidRPr="00000000" w14:paraId="00000099">
      <w:pPr>
        <w:spacing w:after="200" w:lineRule="auto"/>
        <w:rPr>
          <w:b w:val="1"/>
          <w:bCs w:val="1"/>
        </w:rPr>
      </w:pPr>
      <w:r w:rsidDel="00000000" w:rsidR="00000000" w:rsidRPr="00000000">
        <w:rPr>
          <w:b w:val="1"/>
          <w:bCs w:val="1"/>
          <w:rtl w:val="0"/>
        </w:rPr>
        <w:t xml:space="preserve">RideTrue Insurance Pool Fee</w:t>
      </w:r>
    </w:p>
    <w:p w:rsidR="00000000" w:rsidDel="00000000" w:rsidP="00000000" w:rsidRDefault="00000000" w:rsidRPr="00000000" w14:paraId="0000009A">
      <w:pPr>
        <w:spacing w:after="200" w:lineRule="auto"/>
        <w:rPr/>
      </w:pPr>
      <w:r w:rsidDel="00000000" w:rsidR="00000000" w:rsidRPr="00000000">
        <w:rPr>
          <w:rtl w:val="0"/>
        </w:rPr>
        <w:t xml:space="preserve">Protocol fee: 5% of premium contributions. Remainder allocated per Section 5.7.</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785"/>
        <w:gridCol w:w="2685"/>
        <w:gridCol w:w="1650"/>
        <w:gridCol w:w="1665"/>
        <w:tblGridChange w:id="0">
          <w:tblGrid>
            <w:gridCol w:w="1335"/>
            <w:gridCol w:w="1785"/>
            <w:gridCol w:w="2685"/>
            <w:gridCol w:w="1650"/>
            <w:gridCol w:w="1665"/>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Active Riders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Annual Pool Contributions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Protocol Fee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2,000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₩2.16B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₩108M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12,000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₩12.96B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₩648M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50,000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₩54B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₩2.7B</w:t>
            </w:r>
          </w:p>
        </w:tc>
      </w:tr>
    </w:tbl>
    <w:p w:rsidR="00000000" w:rsidDel="00000000" w:rsidP="00000000" w:rsidRDefault="00000000" w:rsidRPr="00000000" w14:paraId="000000AF">
      <w:pPr>
        <w:spacing w:after="200" w:lineRule="auto"/>
        <w:rPr>
          <w:b w:val="1"/>
          <w:bCs w:val="1"/>
        </w:rPr>
      </w:pPr>
      <w:r w:rsidDel="00000000" w:rsidR="00000000" w:rsidRPr="00000000">
        <w:rPr>
          <w:b w:val="1"/>
          <w:bCs w:val="1"/>
          <w:rtl w:val="0"/>
        </w:rPr>
        <w:t xml:space="preserve">Claim Processing Fee</w:t>
      </w:r>
    </w:p>
    <w:p w:rsidR="00000000" w:rsidDel="00000000" w:rsidP="00000000" w:rsidRDefault="00000000" w:rsidRPr="00000000" w14:paraId="000000B0">
      <w:pPr>
        <w:spacing w:after="200" w:lineRule="auto"/>
        <w:rPr/>
      </w:pPr>
      <w:r w:rsidDel="00000000" w:rsidR="00000000" w:rsidRPr="00000000">
        <w:rPr>
          <w:rtl w:val="0"/>
        </w:rPr>
        <w:t xml:space="preserve">Claim-processing fee: 1.5% of claim value. Oracle/validator cost: 0.5%. Net protocol margin: 1%.</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80"/>
        <w:gridCol w:w="2550"/>
        <w:gridCol w:w="2985"/>
        <w:tblGridChange w:id="0">
          <w:tblGrid>
            <w:gridCol w:w="1605"/>
            <w:gridCol w:w="1980"/>
            <w:gridCol w:w="2550"/>
            <w:gridCol w:w="298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Claims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Claim Volume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Net Protocol 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₩192M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₩1.92M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960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₩1.152B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₩11.52M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4,000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₩4.8B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₩48M</w:t>
            </w:r>
          </w:p>
        </w:tc>
      </w:tr>
    </w:tbl>
    <w:p w:rsidR="00000000" w:rsidDel="00000000" w:rsidP="00000000" w:rsidRDefault="00000000" w:rsidRPr="00000000" w14:paraId="000000C1">
      <w:pPr>
        <w:spacing w:after="200" w:lineRule="auto"/>
        <w:rPr>
          <w:b w:val="1"/>
          <w:bCs w:val="1"/>
        </w:rPr>
      </w:pPr>
      <w:r w:rsidDel="00000000" w:rsidR="00000000" w:rsidRPr="00000000">
        <w:rPr>
          <w:b w:val="1"/>
          <w:bCs w:val="1"/>
          <w:rtl w:val="0"/>
        </w:rPr>
        <w:t xml:space="preserve">API / Data Access Fees</w:t>
      </w:r>
    </w:p>
    <w:p w:rsidR="00000000" w:rsidDel="00000000" w:rsidP="00000000" w:rsidRDefault="00000000" w:rsidRPr="00000000" w14:paraId="000000C2">
      <w:pPr>
        <w:spacing w:after="200" w:lineRule="auto"/>
        <w:rPr/>
      </w:pPr>
      <w:r w:rsidDel="00000000" w:rsidR="00000000" w:rsidRPr="00000000">
        <w:rPr>
          <w:rtl w:val="0"/>
        </w:rPr>
        <w:t xml:space="preserve">Insurers, lenders, marketplaces, and dealers pay subscription fees for access to verified vehicle histories and privacy-preserving rider risk scores. This is the highest-margin long-term revenue stream because data network value compounds as the catalog grows.</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40"/>
        <w:gridCol w:w="2535"/>
        <w:gridCol w:w="2655"/>
        <w:tblGridChange w:id="0">
          <w:tblGrid>
            <w:gridCol w:w="1605"/>
            <w:gridCol w:w="2340"/>
            <w:gridCol w:w="2535"/>
            <w:gridCol w:w="265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3">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B2B Partners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Avg Monthly Fee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Annual 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₩5M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₩180M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₩7M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₩840M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₩10M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₩3.6B</w:t>
            </w:r>
          </w:p>
        </w:tc>
      </w:tr>
    </w:tbl>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19zagw6ox0s5" w:id="14"/>
      <w:bookmarkEnd w:id="14"/>
      <w:r w:rsidDel="00000000" w:rsidR="00000000" w:rsidRPr="00000000">
        <w:rPr>
          <w:b w:val="1"/>
          <w:bCs w:val="1"/>
          <w:color w:val="000000"/>
          <w:sz w:val="26"/>
          <w:szCs w:val="26"/>
          <w:rtl w:val="0"/>
        </w:rPr>
        <w:t xml:space="preserve">5.5 Token Design (Draft Assumptions)</w:t>
      </w:r>
    </w:p>
    <w:p w:rsidR="00000000" w:rsidDel="00000000" w:rsidP="00000000" w:rsidRDefault="00000000" w:rsidRPr="00000000" w14:paraId="000000D4">
      <w:pPr>
        <w:spacing w:after="200" w:lineRule="auto"/>
        <w:rPr>
          <w:i w:val="1"/>
          <w:iCs w:val="1"/>
          <w:color w:val="555555"/>
        </w:rPr>
      </w:pPr>
      <w:r w:rsidDel="00000000" w:rsidR="00000000" w:rsidRPr="00000000">
        <w:rPr>
          <w:i w:val="1"/>
          <w:iCs w:val="1"/>
          <w:color w:val="555555"/>
          <w:rtl w:val="0"/>
        </w:rPr>
        <w:t xml:space="preserve">The following parameters are draft assumptions for discussion. Final token economics will be set by the foundation in consultation with legal counsel and external token-design advisors, and may differ materially from what is shown here.</w:t>
      </w:r>
    </w:p>
    <w:p w:rsidR="00000000" w:rsidDel="00000000" w:rsidP="00000000" w:rsidRDefault="00000000" w:rsidRPr="00000000" w14:paraId="000000D5">
      <w:pPr>
        <w:spacing w:after="200" w:lineRule="auto"/>
        <w:rPr/>
      </w:pPr>
      <w:r w:rsidDel="00000000" w:rsidR="00000000" w:rsidRPr="00000000">
        <w:rPr>
          <w:rtl w:val="0"/>
        </w:rPr>
        <w:t xml:space="preserve">Working name: $MOTO (placeholder)</w:t>
      </w:r>
    </w:p>
    <w:p w:rsidR="00000000" w:rsidDel="00000000" w:rsidP="00000000" w:rsidRDefault="00000000" w:rsidRPr="00000000" w14:paraId="000000D6">
      <w:pPr>
        <w:spacing w:after="200" w:lineRule="auto"/>
        <w:rPr/>
      </w:pPr>
      <w:r w:rsidDel="00000000" w:rsidR="00000000" w:rsidRPr="00000000">
        <w:rPr>
          <w:rtl w:val="0"/>
        </w:rPr>
        <w:t xml:space="preserve">Network: Base (Ethereum Layer 2)</w:t>
      </w:r>
    </w:p>
    <w:p w:rsidR="00000000" w:rsidDel="00000000" w:rsidP="00000000" w:rsidRDefault="00000000" w:rsidRPr="00000000" w14:paraId="000000D7">
      <w:pPr>
        <w:spacing w:after="200" w:lineRule="auto"/>
        <w:rPr/>
      </w:pPr>
      <w:r w:rsidDel="00000000" w:rsidR="00000000" w:rsidRPr="00000000">
        <w:rPr>
          <w:rtl w:val="0"/>
        </w:rPr>
        <w:t xml:space="preserve">Total supply: 1,000,000,000 tokens — fixed cap, no protocol inflation post-TGE</w:t>
      </w:r>
    </w:p>
    <w:p w:rsidR="00000000" w:rsidDel="00000000" w:rsidP="00000000" w:rsidRDefault="00000000" w:rsidRPr="00000000" w14:paraId="000000D8">
      <w:pPr>
        <w:spacing w:after="200" w:lineRule="auto"/>
        <w:rPr/>
      </w:pPr>
      <w:r w:rsidDel="00000000" w:rsidR="00000000" w:rsidRPr="00000000">
        <w:rPr>
          <w:rtl w:val="0"/>
        </w:rPr>
        <w:t xml:space="preserve">Standard: ERC-20 with governance and staking modules</w:t>
      </w:r>
    </w:p>
    <w:p w:rsidR="00000000" w:rsidDel="00000000" w:rsidP="00000000" w:rsidRDefault="00000000" w:rsidRPr="00000000" w14:paraId="000000D9">
      <w:pPr>
        <w:spacing w:after="200" w:lineRule="auto"/>
        <w:rPr>
          <w:b w:val="1"/>
          <w:bCs w:val="1"/>
        </w:rPr>
      </w:pPr>
      <w:r w:rsidDel="00000000" w:rsidR="00000000" w:rsidRPr="00000000">
        <w:rPr>
          <w:b w:val="1"/>
          <w:bCs w:val="1"/>
          <w:rtl w:val="0"/>
        </w:rPr>
        <w:t xml:space="preserve">Token Allocation</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665"/>
        <w:gridCol w:w="4215"/>
        <w:tblGridChange w:id="0">
          <w:tblGrid>
            <w:gridCol w:w="3240"/>
            <w:gridCol w:w="1665"/>
            <w:gridCol w:w="421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DA">
            <w:pPr>
              <w:rPr>
                <w:b w:val="1"/>
                <w:bCs w:val="1"/>
                <w:sz w:val="20"/>
                <w:szCs w:val="20"/>
              </w:rPr>
            </w:pPr>
            <w:r w:rsidDel="00000000" w:rsidR="00000000" w:rsidRPr="00000000">
              <w:rPr>
                <w:b w:val="1"/>
                <w:bCs w:val="1"/>
                <w:sz w:val="20"/>
                <w:szCs w:val="20"/>
                <w:rtl w:val="0"/>
              </w:rPr>
              <w:t xml:space="preserve">Bucket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DB">
            <w:pPr>
              <w:rPr>
                <w:b w:val="1"/>
                <w:bCs w:val="1"/>
                <w:sz w:val="20"/>
                <w:szCs w:val="20"/>
              </w:rPr>
            </w:pPr>
            <w:r w:rsidDel="00000000" w:rsidR="00000000" w:rsidRPr="00000000">
              <w:rPr>
                <w:b w:val="1"/>
                <w:bCs w:val="1"/>
                <w:sz w:val="20"/>
                <w:szCs w:val="20"/>
                <w:rtl w:val="0"/>
              </w:rPr>
              <w:t xml:space="preserve">Allocation</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Purpose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D">
            <w:pPr>
              <w:rPr>
                <w:b w:val="1"/>
                <w:bCs w:val="1"/>
                <w:sz w:val="20"/>
                <w:szCs w:val="20"/>
              </w:rPr>
            </w:pPr>
            <w:r w:rsidDel="00000000" w:rsidR="00000000" w:rsidRPr="00000000">
              <w:rPr>
                <w:b w:val="1"/>
                <w:bCs w:val="1"/>
                <w:sz w:val="20"/>
                <w:szCs w:val="20"/>
                <w:rtl w:val="0"/>
              </w:rPr>
              <w:t xml:space="preserve">Community &amp; ecosystem incentives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Mechanic onboarding, rider rewards, dealer partnerships, B2B integration grants</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Insurance pool subsidy &amp; safe-rider rewards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Year 1–3 bootstrapping; tapers as real premium revenue grows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Team &amp; founders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4-year vesting with 1-year cliff</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Investors (seed)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2-year vesting with 6-month cliff</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Investors (private/strategic)</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18-month vesting with 3-month cliff</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C">
            <w:pPr>
              <w:rPr>
                <w:b w:val="1"/>
                <w:bCs w:val="1"/>
                <w:sz w:val="20"/>
                <w:szCs w:val="20"/>
              </w:rPr>
            </w:pPr>
            <w:r w:rsidDel="00000000" w:rsidR="00000000" w:rsidRPr="00000000">
              <w:rPr>
                <w:b w:val="1"/>
                <w:bCs w:val="1"/>
                <w:sz w:val="20"/>
                <w:szCs w:val="20"/>
                <w:rtl w:val="0"/>
              </w:rPr>
              <w:t xml:space="preserve">Treasury / DAO 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Governance-controlled, multi-year unlock</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F">
            <w:pPr>
              <w:rPr>
                <w:b w:val="1"/>
                <w:bCs w:val="1"/>
                <w:sz w:val="20"/>
                <w:szCs w:val="20"/>
              </w:rPr>
            </w:pPr>
            <w:r w:rsidDel="00000000" w:rsidR="00000000" w:rsidRPr="00000000">
              <w:rPr>
                <w:b w:val="1"/>
                <w:bCs w:val="1"/>
                <w:sz w:val="20"/>
                <w:szCs w:val="20"/>
                <w:rtl w:val="0"/>
              </w:rPr>
              <w:t xml:space="preserve">Liquidity provision</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DEX and CEX market-making; unlocked at TGE</w:t>
            </w:r>
          </w:p>
        </w:tc>
      </w:tr>
    </w:tbl>
    <w:p w:rsidR="00000000" w:rsidDel="00000000" w:rsidP="00000000" w:rsidRDefault="00000000" w:rsidRPr="00000000" w14:paraId="000000F2">
      <w:pPr>
        <w:spacing w:after="200" w:lineRule="auto"/>
        <w:rPr>
          <w:b w:val="1"/>
          <w:bCs w:val="1"/>
        </w:rPr>
      </w:pPr>
      <w:r w:rsidDel="00000000" w:rsidR="00000000" w:rsidRPr="00000000">
        <w:rPr>
          <w:b w:val="1"/>
          <w:bCs w:val="1"/>
          <w:rtl w:val="0"/>
        </w:rPr>
        <w:t xml:space="preserve">Token Utility</w:t>
      </w:r>
    </w:p>
    <w:p>
      <w:pPr>
        <w:pStyle w:val="Heading3"/>
      </w:pPr>
      <w:r>
        <w:t>5.5a Community Earning Mechanics and Permissionless Fees</w:t>
      </w:r>
    </w:p>
    <w:p>
      <w:pPr/>
      <w:r>
        <w:rPr>
          <w:b w:val="0"/>
        </w:rPr>
        <w:t xml:space="preserve">The token design follows the Uniswap LP model: participants who contribute real value to the protocol earn from the economic activity they generate, not from speculative emissions. Four earner groups are defined. Mechanics stake $MOTO to write service records and earn sixty percent of each ₩5,000 entry fee as immediate income, supplemented by $MOTO rewards that scale with quality-record streaks. Fraudulent entries trigger stake slashing, creating a direct financial disincentive against false records. Dealers who register motorcycles — particularly older legacy inventory during the launch cohort period — earn $MOTO from the thirty-percent community ecosystem allocation. Higher verified inventory volumes unlock reduced transfer fees on future transactions, creating a permanent structural advantage. Validators and oracle operators stake $MOTO to confirm claims and data feeds and earn a share of claim-processing fees on each approved payout. Inaccurate feeds are slashed, accurate consensus is rewarded. Riders who maintain high safety scores and file no fraudulent claims receive stablecoin safe-rider rebates; $MOTO stake unlocks higher rebate tiers and priority dispute resolution. </w:t>
        <w:br/>
        <w:br/>
        <w:t>Fee payments in $MOTO are explicitly supported across all protocol interactions. VIN registration fees, ownership transfer fees, and B2B API access fees may each be settled in $MOTO at a twenty percent discount versus stablecoin. The protocol burns a portion of received $MOTO and routes the remainder to the treasury DAO, creating a deflationary token sink tied directly to real protocol usage. This reduces stablecoin friction for early participants and gives $MOTO holders a meaningful reason to hold rather than immediately liquidate.</w:t>
        <w:br/>
        <w:br/>
        <w:t>Fee rates across the protocol are not fixed by the founding team. They are governed by $MOTO token holders through on-chain proposals. Any holder may submit a governance proposal to adjust fees, reserve ratios, reward formulas, or supported integrations. This permissionless parameter control is what distinguishes the protocol from a traditional financial intermediary: no central admin can unilaterally change the economics. The founding team retains no special governance authority beyond their token allocation, which vests on the same schedule as all other insiders.</w:t>
      </w:r>
    </w:p>
    <w:p w:rsidR="00000000" w:rsidDel="00000000" w:rsidP="00000000" w:rsidRDefault="00000000" w:rsidRPr="00000000" w14:paraId="000000F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Staking &amp; slashing: mechanics, validators, oracle operators, and dealers stake $MOTO to gain write or verification privileges; misbehavior is penalized via slashing.</w:t>
      </w:r>
    </w:p>
    <w:p w:rsidR="00000000" w:rsidDel="00000000" w:rsidP="00000000" w:rsidRDefault="00000000" w:rsidRPr="00000000" w14:paraId="000000F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Governance: token holders vote on protocol parameters (fees, reserve ratios, rebate formulas, treasury deployment, supported integrations).</w:t>
      </w:r>
    </w:p>
    <w:p w:rsidR="00000000" w:rsidDel="00000000" w:rsidP="00000000" w:rsidRDefault="00000000" w:rsidRPr="00000000" w14:paraId="000000F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Reputation gating: tiered staking unlocks higher write limits and reward shares for established mechanics and dealers.</w:t>
      </w:r>
    </w:p>
    <w:p w:rsidR="00000000" w:rsidDel="00000000" w:rsidP="00000000" w:rsidRDefault="00000000" w:rsidRPr="00000000" w14:paraId="000000F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 discounts: select API and registration fees may be paid in $MOTO at a discount, with protocol burning or treasury accrual of received tokens.</w:t>
      </w:r>
    </w:p>
    <w:p w:rsidR="00000000" w:rsidDel="00000000" w:rsidP="00000000" w:rsidRDefault="00000000" w:rsidRPr="00000000" w14:paraId="000000F7">
      <w:pPr>
        <w:spacing w:after="200" w:lineRule="auto"/>
        <w:rPr>
          <w:b w:val="1"/>
          <w:bCs w:val="1"/>
        </w:rPr>
      </w:pPr>
      <w:r w:rsidDel="00000000" w:rsidR="00000000" w:rsidRPr="00000000">
        <w:rPr>
          <w:b w:val="1"/>
          <w:bCs w:val="1"/>
          <w:rtl w:val="0"/>
        </w:rPr>
        <w:t xml:space="preserve">Critical Note on Non-Utility</w:t>
      </w:r>
    </w:p>
    <w:p w:rsidR="00000000" w:rsidDel="00000000" w:rsidP="00000000" w:rsidRDefault="00000000" w:rsidRPr="00000000" w14:paraId="000000F8">
      <w:pPr>
        <w:spacing w:after="200" w:lineRule="auto"/>
        <w:rPr/>
      </w:pPr>
      <w:r w:rsidDel="00000000" w:rsidR="00000000" w:rsidRPr="00000000">
        <w:rPr>
          <w:rtl w:val="0"/>
        </w:rPr>
        <w:t xml:space="preserve">$MOTO is explicitly designed as a utility and governance token. It is not used as a speculative reward engine: insurance pool returns, rider rebates, and protocol revenue distributions are paid in stablecoins, not in $MOTO. This separation is intentional, both to preserve economic discipline and to reduce the risk of securities classification in major jurisdictions (see Section 7).</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7walmw38tp" w:id="15"/>
      <w:bookmarkEnd w:id="15"/>
      <w:r w:rsidDel="00000000" w:rsidR="00000000" w:rsidRPr="00000000">
        <w:rPr>
          <w:b w:val="1"/>
          <w:bCs w:val="1"/>
          <w:color w:val="000000"/>
          <w:sz w:val="26"/>
          <w:szCs w:val="26"/>
          <w:rtl w:val="0"/>
        </w:rPr>
        <w:t xml:space="preserve">5.6 Mechanic Trust: A Layered Defense</w:t>
      </w:r>
    </w:p>
    <w:p>
      <w:pPr>
        <w:pStyle w:val="Heading3"/>
      </w:pPr>
      <w:r>
        <w:t>5.6a Permissionless Mechanic Registration</w:t>
      </w:r>
    </w:p>
    <w:p>
      <w:pPr/>
      <w:r>
        <w:rPr>
          <w:b w:val="0"/>
        </w:rPr>
        <w:t xml:space="preserve">Mechanic registration on MotoChain is intentionally permissionless. No business licence, professional certification, or government registration is required to begin participating as a mechanic on the protocol. The entry credential is economic, not institutional: any participant who stakes $MOTO gains write access to service records at the Basic tier. This design choice is deliberate. Requiring licence verification would introduce a centralised gating mechanism that contradicts the protocol's core premise, create geographic and regulatory fragmentation that limits adoption, and exclude informal mechanics who represent a substantial share of the real-world motorcycle service market. </w:t>
        <w:br/>
        <w:br/>
        <w:t>Trust is enforced economically rather than institutionally. A mechanic with staked $MOTO has financial skin in the game: every service entry places a portion of stake at risk during the escrow window. Proven fraud triggers slashing. The bounty mechanism incentivises community members to surface fraudulent records. Tiered staking allows mechanics to voluntarily submit additional credentials — including business registration certificates, trade qualifications, or third-party reputation signals — to unlock higher tiers with greater write limits and fee shares. But the baseline tier is open to anyone, anywhere, who can stake. The protocol does not need to verify who you are; it verifies that you have something to lose.</w:t>
      </w:r>
    </w:p>
    <w:p w:rsidR="00000000" w:rsidDel="00000000" w:rsidP="00000000" w:rsidRDefault="00000000" w:rsidRPr="00000000" w14:paraId="000000FA">
      <w:pPr>
        <w:spacing w:after="200" w:lineRule="auto"/>
        <w:rPr/>
      </w:pPr>
      <w:r w:rsidDel="00000000" w:rsidR="00000000" w:rsidRPr="00000000">
        <w:rPr>
          <w:rtl w:val="0"/>
        </w:rPr>
        <w:t xml:space="preserve">Mechanic-submitted service records are the foundation of MotoChain's value proposition: without trustworthy entries, the vehicle history layer is no better than a centralized database, and arguably worse because immutability prevents correction of bad data. Designing for trust requires more than punishing fraud after the fact — it requires preventing it where possible, detecting it when it occurs, and enforcing penalties that make detected fraud uneconomic.</w:t>
      </w:r>
    </w:p>
    <w:p w:rsidR="00000000" w:rsidDel="00000000" w:rsidP="00000000" w:rsidRDefault="00000000" w:rsidRPr="00000000" w14:paraId="000000FB">
      <w:pPr>
        <w:spacing w:after="200" w:lineRule="auto"/>
        <w:rPr/>
      </w:pPr>
      <w:r w:rsidDel="00000000" w:rsidR="00000000" w:rsidRPr="00000000">
        <w:rPr>
          <w:rtl w:val="0"/>
        </w:rPr>
        <w:t xml:space="preserve">The protocol implements a three-layer defense: prevention mechanisms that reduce the surface area for fraud, detection mechanisms that surface fraud when it does occur, and enforcement mechanisms that make detected fraud economically irrational. Each layer compensates for the others' weaknesses. The system does not assume mechanics are honest or dishonest by default — it assumes they are rational economic actors who will commit fraud when expected value is positive, and the architecture is designed to keep that expected value negative across all attack vectors.</w:t>
      </w:r>
    </w:p>
    <w:p w:rsidR="00000000" w:rsidDel="00000000" w:rsidP="00000000" w:rsidRDefault="00000000" w:rsidRPr="00000000" w14:paraId="000000FC">
      <w:pPr>
        <w:spacing w:after="80" w:before="160" w:lineRule="auto"/>
        <w:rPr>
          <w:b w:val="1"/>
          <w:bCs w:val="1"/>
          <w:color w:val="1f3a5f"/>
          <w:sz w:val="24"/>
          <w:szCs w:val="24"/>
        </w:rPr>
      </w:pPr>
      <w:r w:rsidDel="00000000" w:rsidR="00000000" w:rsidRPr="00000000">
        <w:rPr>
          <w:b w:val="1"/>
          <w:bCs w:val="1"/>
          <w:color w:val="1f3a5f"/>
          <w:sz w:val="24"/>
          <w:szCs w:val="24"/>
          <w:rtl w:val="0"/>
        </w:rPr>
        <w:t xml:space="preserve">Prevention Layer</w:t>
      </w:r>
    </w:p>
    <w:p w:rsidR="00000000" w:rsidDel="00000000" w:rsidP="00000000" w:rsidRDefault="00000000" w:rsidRPr="00000000" w14:paraId="000000FD">
      <w:pPr>
        <w:spacing w:after="200" w:lineRule="auto"/>
        <w:rPr/>
      </w:pPr>
      <w:r w:rsidDel="00000000" w:rsidR="00000000" w:rsidRPr="00000000">
        <w:rPr>
          <w:b w:val="1"/>
          <w:bCs w:val="1"/>
          <w:rtl w:val="0"/>
        </w:rPr>
        <w:t xml:space="preserve">Multi-party signing on service entries. </w:t>
      </w:r>
      <w:r w:rsidDel="00000000" w:rsidR="00000000" w:rsidRPr="00000000">
        <w:rPr>
          <w:rtl w:val="0"/>
        </w:rPr>
        <w:t xml:space="preserve">Every service record requires cryptographic signatures from both the mechanic (writing the entry) and the bike owner (confirming the work was performed). The owner's signature is collected via the rider app at the time of service, typically through a QR-code handoff at the shop. This mechanism does not prevent collusion between mechanic and owner — both parties may benefit from fabricating a clean history — but it eliminates the entire category of unilateral mechanic fraud: fabricating service for a bike never present at the shop, falsifying mileage without owner consent, or inflating cost without owner agreement. It also creates an evidentiary trail: the owner cannot later disclaim a fraudulent entry they signed.</w:t>
      </w:r>
    </w:p>
    <w:p w:rsidR="00000000" w:rsidDel="00000000" w:rsidP="00000000" w:rsidRDefault="00000000" w:rsidRPr="00000000" w14:paraId="000000FE">
      <w:pPr>
        <w:spacing w:after="200" w:lineRule="auto"/>
        <w:rPr/>
      </w:pPr>
      <w:r w:rsidDel="00000000" w:rsidR="00000000" w:rsidRPr="00000000">
        <w:rPr>
          <w:b w:val="1"/>
          <w:bCs w:val="1"/>
          <w:rtl w:val="0"/>
        </w:rPr>
        <w:t xml:space="preserve">Hardware-captured telemetry for tamper-prone data. </w:t>
      </w:r>
      <w:r w:rsidDel="00000000" w:rsidR="00000000" w:rsidRPr="00000000">
        <w:rPr>
          <w:rtl w:val="0"/>
        </w:rPr>
        <w:t xml:space="preserve">Certain data categories are inherently susceptible to fraud and benefit from removing human discretion entirely. Mileage is the canonical example: odometer rollback is the single largest source of vehicle history fraud globally. The protocol supports optional hardware integrations — OBD-II adapters, paired Bluetooth modules, OEM telematics where available — that automatically read and sign mileage and certain repair-trigger events at the source. Hardware-attested entries are flagged as such in the history record, and the protocol's risk scoring weights them more heavily than purely mechanic-attested entries. Over time, dealers, marketplaces, and insurers can require hardware attestation for high-value verification use cases (resale appraisal, loan underwriting, insurance premium tiering), creating commercial pressure for adoption.</w:t>
      </w:r>
    </w:p>
    <w:p w:rsidR="00000000" w:rsidDel="00000000" w:rsidP="00000000" w:rsidRDefault="00000000" w:rsidRPr="00000000" w14:paraId="000000FF">
      <w:pPr>
        <w:spacing w:after="80" w:before="160" w:lineRule="auto"/>
        <w:rPr>
          <w:b w:val="1"/>
          <w:bCs w:val="1"/>
          <w:color w:val="1f3a5f"/>
          <w:sz w:val="24"/>
          <w:szCs w:val="24"/>
        </w:rPr>
      </w:pPr>
      <w:r w:rsidDel="00000000" w:rsidR="00000000" w:rsidRPr="00000000">
        <w:rPr>
          <w:b w:val="1"/>
          <w:bCs w:val="1"/>
          <w:color w:val="1f3a5f"/>
          <w:sz w:val="24"/>
          <w:szCs w:val="24"/>
          <w:rtl w:val="0"/>
        </w:rPr>
        <w:t xml:space="preserve">Detection Layer</w:t>
      </w:r>
    </w:p>
    <w:p w:rsidR="00000000" w:rsidDel="00000000" w:rsidP="00000000" w:rsidRDefault="00000000" w:rsidRPr="00000000" w14:paraId="00000100">
      <w:pPr>
        <w:spacing w:after="200" w:lineRule="auto"/>
        <w:rPr/>
      </w:pPr>
      <w:r w:rsidDel="00000000" w:rsidR="00000000" w:rsidRPr="00000000">
        <w:rPr>
          <w:b w:val="1"/>
          <w:bCs w:val="1"/>
          <w:rtl w:val="0"/>
        </w:rPr>
        <w:t xml:space="preserve">Bounty market for fraud detection. </w:t>
      </w:r>
      <w:r w:rsidDel="00000000" w:rsidR="00000000" w:rsidRPr="00000000">
        <w:rPr>
          <w:rtl w:val="0"/>
        </w:rPr>
        <w:t xml:space="preserve">Enforcement only fires when fraud is detected, and the parties closest to a falsified entry (the colluding mechanic and bike owner) have no incentive to surface it. The protocol therefore creates an open detection market: any third party — competing mechanics, dealers, downstream buyers, professional auditors, even algorithmic bots — can submit evidence of a fraudulent entry and, if the evidence is verified, receive a share of the slashed stake and clawed-back fee. Bounty share is calibrated to entry value and detection difficulty: simple algorithmic catches (mileage inconsistency, frequency anomalies) earn modest bounties, while substantive evidence (photographic proof a repair was never performed, witness testimony, dealer audit findings) earns larger shares. This converts fraud detection from a cost center into a revenue opportunity, attracting the only category of actor with both capability and incentive to surface collusion: independent third parties.</w:t>
      </w:r>
    </w:p>
    <w:p w:rsidR="00000000" w:rsidDel="00000000" w:rsidP="00000000" w:rsidRDefault="00000000" w:rsidRPr="00000000" w14:paraId="00000101">
      <w:pPr>
        <w:spacing w:after="200" w:lineRule="auto"/>
        <w:rPr/>
      </w:pPr>
      <w:r w:rsidDel="00000000" w:rsidR="00000000" w:rsidRPr="00000000">
        <w:rPr>
          <w:b w:val="1"/>
          <w:bCs w:val="1"/>
          <w:rtl w:val="0"/>
        </w:rPr>
        <w:t xml:space="preserve">Trigger-on-monetization verification. </w:t>
      </w:r>
      <w:r w:rsidDel="00000000" w:rsidR="00000000" w:rsidRPr="00000000">
        <w:rPr>
          <w:rtl w:val="0"/>
        </w:rPr>
        <w:t xml:space="preserve">Most service-history fraud only pays off at a downstream monetization event — resale, trade-in, insurance underwriting, loan origination. The protocol routes a re-verification step at each of these events. When a dealer evaluates a trade-in, an insurer prices a policy, or a financier underwrites a loan, the protocol performs an automated cross-check against external data sources (police records, insurance claim databases, OEM service backends where API access exists, OBD historical reads) and surfaces any inconsistencies discovered since the entries were originally recorded. Discrepancies at this stage trigger retroactive dispute proceedings: the original escrow may have released, but the mechanic's accumulated stake and reputation remain at risk indefinitely. This extends the practical detection window from the 30–90 day escrow period to the entire commercial life of the bike, which is when fraud actually pays off.</w:t>
      </w:r>
    </w:p>
    <w:p w:rsidR="00000000" w:rsidDel="00000000" w:rsidP="00000000" w:rsidRDefault="00000000" w:rsidRPr="00000000" w14:paraId="00000102">
      <w:pPr>
        <w:spacing w:after="80" w:before="160" w:lineRule="auto"/>
        <w:rPr>
          <w:b w:val="1"/>
          <w:bCs w:val="1"/>
          <w:color w:val="1f3a5f"/>
          <w:sz w:val="24"/>
          <w:szCs w:val="24"/>
        </w:rPr>
      </w:pPr>
      <w:r w:rsidDel="00000000" w:rsidR="00000000" w:rsidRPr="00000000">
        <w:rPr>
          <w:b w:val="1"/>
          <w:bCs w:val="1"/>
          <w:color w:val="1f3a5f"/>
          <w:sz w:val="24"/>
          <w:szCs w:val="24"/>
          <w:rtl w:val="0"/>
        </w:rPr>
        <w:t xml:space="preserve">Enforcement Layer</w:t>
      </w:r>
    </w:p>
    <w:p w:rsidR="00000000" w:rsidDel="00000000" w:rsidP="00000000" w:rsidRDefault="00000000" w:rsidRPr="00000000" w14:paraId="00000103">
      <w:pPr>
        <w:spacing w:after="200" w:lineRule="auto"/>
        <w:rPr/>
      </w:pPr>
      <w:r w:rsidDel="00000000" w:rsidR="00000000" w:rsidRPr="00000000">
        <w:rPr>
          <w:b w:val="1"/>
          <w:bCs w:val="1"/>
          <w:rtl w:val="0"/>
        </w:rPr>
        <w:t xml:space="preserve">Tiered staking with reputation unlock. </w:t>
      </w:r>
      <w:r w:rsidDel="00000000" w:rsidR="00000000" w:rsidRPr="00000000">
        <w:rPr>
          <w:rtl w:val="0"/>
        </w:rPr>
        <w:t xml:space="preserve">Mechanics gain write access through a tiered system. The purpose of staking is not to extract rent — it is to scale accountability with influence. A new mechanic begins with a small stake and a low monthly write limit; as their record accumulates without disputes, they unlock higher tiers with larger write capacity, higher fee shares, greater customer-visible reputation, and proportionally larger collateral requirements. By the time a mechanic operates at Tier 4 (institutional partner) volumes, the amount of stake and reputation at risk dwarfs the maximum expected fraud payoff from any single entry. Tiers are not purchased — they are earned through clean operating history, which prevents the buy-your-way-to-credibility attack.</w:t>
      </w:r>
    </w:p>
    <w:tbl>
      <w:tblPr>
        <w:tblStyle w:val="Table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00"/>
        <w:gridCol w:w="1410"/>
        <w:gridCol w:w="1725"/>
        <w:gridCol w:w="1440"/>
        <w:gridCol w:w="1920"/>
        <w:tblGridChange w:id="0">
          <w:tblGrid>
            <w:gridCol w:w="810"/>
            <w:gridCol w:w="1800"/>
            <w:gridCol w:w="1410"/>
            <w:gridCol w:w="1725"/>
            <w:gridCol w:w="1440"/>
            <w:gridCol w:w="1920"/>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4">
            <w:pPr>
              <w:rPr>
                <w:b w:val="1"/>
                <w:bCs w:val="1"/>
                <w:sz w:val="20"/>
                <w:szCs w:val="20"/>
              </w:rPr>
            </w:pPr>
            <w:r w:rsidDel="00000000" w:rsidR="00000000" w:rsidRPr="00000000">
              <w:rPr>
                <w:b w:val="1"/>
                <w:bCs w:val="1"/>
                <w:sz w:val="20"/>
                <w:szCs w:val="20"/>
                <w:rtl w:val="0"/>
              </w:rPr>
              <w:t xml:space="preserve">Tier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Mechanic Type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6">
            <w:pPr>
              <w:rPr>
                <w:b w:val="1"/>
                <w:bCs w:val="1"/>
                <w:sz w:val="20"/>
                <w:szCs w:val="20"/>
              </w:rPr>
            </w:pPr>
            <w:r w:rsidDel="00000000" w:rsidR="00000000" w:rsidRPr="00000000">
              <w:rPr>
                <w:b w:val="1"/>
                <w:bCs w:val="1"/>
                <w:sz w:val="20"/>
                <w:szCs w:val="20"/>
                <w:rtl w:val="0"/>
              </w:rPr>
              <w:t xml:space="preserve">Required Stake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Monthly Write Limit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Mechanic Fee Share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9">
            <w:pPr>
              <w:rPr>
                <w:b w:val="1"/>
                <w:bCs w:val="1"/>
                <w:sz w:val="20"/>
                <w:szCs w:val="20"/>
              </w:rPr>
            </w:pPr>
            <w:r w:rsidDel="00000000" w:rsidR="00000000" w:rsidRPr="00000000">
              <w:rPr>
                <w:b w:val="1"/>
                <w:bCs w:val="1"/>
                <w:sz w:val="20"/>
                <w:szCs w:val="20"/>
                <w:rtl w:val="0"/>
              </w:rPr>
              <w:t xml:space="preserve">Reputation Requirement</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A">
            <w:pPr>
              <w:rPr>
                <w:b w:val="1"/>
                <w:bCs w:val="1"/>
                <w:sz w:val="20"/>
                <w:szCs w:val="20"/>
              </w:rPr>
            </w:pPr>
            <w:r w:rsidDel="00000000" w:rsidR="00000000" w:rsidRPr="00000000">
              <w:rPr>
                <w:b w:val="1"/>
                <w:bCs w:val="1"/>
                <w:sz w:val="20"/>
                <w:szCs w:val="20"/>
                <w:rtl w:val="0"/>
              </w:rPr>
              <w:t xml:space="preserve">Tier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New verified mechanic</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₩200K equiv.</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50 entries/month</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Business verified</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0">
            <w:pPr>
              <w:rPr>
                <w:b w:val="1"/>
                <w:bCs w:val="1"/>
                <w:sz w:val="20"/>
                <w:szCs w:val="20"/>
              </w:rPr>
            </w:pPr>
            <w:r w:rsidDel="00000000" w:rsidR="00000000" w:rsidRPr="00000000">
              <w:rPr>
                <w:b w:val="1"/>
                <w:bCs w:val="1"/>
                <w:sz w:val="20"/>
                <w:szCs w:val="20"/>
                <w:rtl w:val="0"/>
              </w:rPr>
              <w:t xml:space="preserve">Tier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Trusted mechanic</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₩750K equiv.</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200 entries/month</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90+ day clean record</w:t>
            </w:r>
          </w:p>
        </w:tc>
      </w:tr>
      <w:tr>
        <w:trPr>
          <w:cantSplit w:val="0"/>
          <w:trHeight w:val="72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Tier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Premium mechanic / dealer partner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₩2M equiv.</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1,000 entries/month</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70%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High rating + no disputes</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 xml:space="preserve">Tier 4</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Institutional repair network</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₩5M+ equiv.</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Custom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70–75%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Audited partner status</w:t>
            </w:r>
          </w:p>
        </w:tc>
      </w:tr>
    </w:tbl>
    <w:p w:rsidR="00000000" w:rsidDel="00000000" w:rsidP="00000000" w:rsidRDefault="00000000" w:rsidRPr="00000000" w14:paraId="00000122">
      <w:pPr>
        <w:spacing w:after="200" w:lineRule="auto"/>
        <w:rPr/>
      </w:pPr>
      <w:r w:rsidDel="00000000" w:rsidR="00000000" w:rsidRPr="00000000">
        <w:rPr>
          <w:b w:val="1"/>
          <w:bCs w:val="1"/>
          <w:rtl w:val="0"/>
        </w:rPr>
        <w:t xml:space="preserve">Risk-tiered escrow and delayed fee release. </w:t>
      </w:r>
      <w:r w:rsidDel="00000000" w:rsidR="00000000" w:rsidRPr="00000000">
        <w:rPr>
          <w:rtl w:val="0"/>
        </w:rPr>
        <w:t xml:space="preserve">Service-entry fees are not released immediately. Each fee enters escrow for a duration calibrated to the entry's fraud risk profile. During the escrow window, any dispute — whether raised by the bike owner, a downstream buyer, a third-party bounty hunter, or surfaced by trigger-on-monetization verification — freezes the fee. If the dispute is upheld, the fee is clawed back and a portion of the mechanic's stake is slashed. The slashed amount is distributed across (i) affected users, (ii) the dispute reporter as bounty, (iii) the protocol treasury, and (iv) the catastrophe reserve.</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100"/>
        <w:gridCol w:w="4170"/>
        <w:tblGridChange w:id="0">
          <w:tblGrid>
            <w:gridCol w:w="2850"/>
            <w:gridCol w:w="2100"/>
            <w:gridCol w:w="417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Entry Type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Escrow Window</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Reason</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Basic maintenance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30 days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Low fraud risk</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Mileage update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45 days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Needs consistency check</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C">
            <w:pPr>
              <w:rPr>
                <w:b w:val="1"/>
                <w:bCs w:val="1"/>
                <w:sz w:val="20"/>
                <w:szCs w:val="20"/>
              </w:rPr>
            </w:pPr>
            <w:r w:rsidDel="00000000" w:rsidR="00000000" w:rsidRPr="00000000">
              <w:rPr>
                <w:b w:val="1"/>
                <w:bCs w:val="1"/>
                <w:sz w:val="20"/>
                <w:szCs w:val="20"/>
                <w:rtl w:val="0"/>
              </w:rPr>
              <w:t xml:space="preserve">Major repair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60 days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Higher value impact</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Accident-related repair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90 days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Highest fraud/dispute risk</w:t>
            </w:r>
          </w:p>
        </w:tc>
      </w:tr>
    </w:tbl>
    <w:p w:rsidR="00000000" w:rsidDel="00000000" w:rsidP="00000000" w:rsidRDefault="00000000" w:rsidRPr="00000000" w14:paraId="00000132">
      <w:pPr>
        <w:spacing w:after="200" w:lineRule="auto"/>
        <w:rPr/>
      </w:pPr>
      <w:r w:rsidDel="00000000" w:rsidR="00000000" w:rsidRPr="00000000">
        <w:rPr>
          <w:b w:val="1"/>
          <w:bCs w:val="1"/>
          <w:rtl w:val="0"/>
        </w:rPr>
        <w:t xml:space="preserve">Per-entry stake-at-risk. </w:t>
      </w:r>
      <w:r w:rsidDel="00000000" w:rsidR="00000000" w:rsidRPr="00000000">
        <w:rPr>
          <w:rtl w:val="0"/>
        </w:rPr>
        <w:t xml:space="preserve">In addition to the tier-level base stake, a small fraction of stake is dynamically allocated against each open service entry. A mechanic with 50 unresolved escrowed entries has 50 × per-entry stake at risk, not just the tier-level base. This closes the spin-up-cheap-accounts attack: a fraud actor considering large-scale fabrication cannot cap downside at the base stake, because aggregate exposure scales with activity. Per-entry stake-at-risk releases back to the mechanic as each entry's escrow clears without dispute.</w:t>
      </w:r>
    </w:p>
    <w:p w:rsidR="00000000" w:rsidDel="00000000" w:rsidP="00000000" w:rsidRDefault="00000000" w:rsidRPr="00000000" w14:paraId="00000133">
      <w:pPr>
        <w:spacing w:after="200" w:lineRule="auto"/>
        <w:rPr>
          <w:b w:val="1"/>
          <w:bCs w:val="1"/>
        </w:rPr>
      </w:pPr>
      <w:r w:rsidDel="00000000" w:rsidR="00000000" w:rsidRPr="00000000">
        <w:rPr>
          <w:b w:val="1"/>
          <w:bCs w:val="1"/>
          <w:rtl w:val="0"/>
        </w:rPr>
        <w:t xml:space="preserve">Why all three layers are necessary</w:t>
      </w:r>
    </w:p>
    <w:p w:rsidR="00000000" w:rsidDel="00000000" w:rsidP="00000000" w:rsidRDefault="00000000" w:rsidRPr="00000000" w14:paraId="00000134">
      <w:pPr>
        <w:spacing w:after="200" w:lineRule="auto"/>
        <w:rPr/>
      </w:pPr>
      <w:r w:rsidDel="00000000" w:rsidR="00000000" w:rsidRPr="00000000">
        <w:rPr>
          <w:rtl w:val="0"/>
        </w:rPr>
        <w:t xml:space="preserve">Enforcement mechanisms (staking, escrow, per-entry stake) determine the consequence of detected fraud but do nothing to surface it. Detection mechanisms (bounty market, monetization-triggered verification) surface fraud but only matter if enforcement creates real cost. Prevention mechanisms (co-signing, hardware capture) eliminate fraud categories entirely but cannot address every entry type. Each layer's weakness is another layer's strength: the bounty market handles collusion that co-signing cannot prevent; monetization triggers extend the detection window beyond the escrow period; per-entry stake-at-risk prevents disposable-account attacks; hardware capture removes discretion where it most invites abuse. The system acknowledges that no architecture eliminates fraud entirely — but a layered defense raises the cost of successful fraud above the realistic payoff, which is the practical definition of trust-minimization in adversarial environments.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h3j7amntljrh" w:id="16"/>
      <w:bookmarkEnd w:id="16"/>
      <w:r w:rsidDel="00000000" w:rsidR="00000000" w:rsidRPr="00000000">
        <w:rPr>
          <w:b w:val="1"/>
          <w:bCs w:val="1"/>
          <w:color w:val="000000"/>
          <w:sz w:val="26"/>
          <w:szCs w:val="26"/>
          <w:rtl w:val="0"/>
        </w:rPr>
        <w:t xml:space="preserve">5.7 Premium Pool Allocation</w:t>
      </w:r>
    </w:p>
    <w:p w:rsidR="00000000" w:rsidDel="00000000" w:rsidP="00000000" w:rsidRDefault="00000000" w:rsidRPr="00000000" w14:paraId="00000136">
      <w:pPr>
        <w:spacing w:after="200" w:lineRule="auto"/>
        <w:rPr/>
      </w:pPr>
      <w:r w:rsidDel="00000000" w:rsidR="00000000" w:rsidRPr="00000000">
        <w:rPr>
          <w:rtl w:val="0"/>
        </w:rPr>
        <w:t xml:space="preserve">Premium contributions are not treated as free revenue. With a modeled loss ratio of ~9%, the protocol holds a substantial solvency buffer that is allocated across reserves, rebates, conservative yield, and reinsurance. The allocation below is calibrated for launch conditions and will be re-tuned by governance as claim data matures.</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070"/>
        <w:gridCol w:w="3900"/>
        <w:tblGridChange w:id="0">
          <w:tblGrid>
            <w:gridCol w:w="3150"/>
            <w:gridCol w:w="2070"/>
            <w:gridCol w:w="390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Allocation</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 of Premium Pool</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Purpose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Expected claims (loss + buffer)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Pays approved claims; buffer above ~9% modeled loss ratio</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Liquidity 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Immediate, liquid claim coverage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0">
            <w:pPr>
              <w:rPr>
                <w:b w:val="1"/>
                <w:bCs w:val="1"/>
                <w:sz w:val="20"/>
                <w:szCs w:val="20"/>
              </w:rPr>
            </w:pPr>
            <w:r w:rsidDel="00000000" w:rsidR="00000000" w:rsidRPr="00000000">
              <w:rPr>
                <w:b w:val="1"/>
                <w:bCs w:val="1"/>
                <w:sz w:val="20"/>
                <w:szCs w:val="20"/>
                <w:rtl w:val="0"/>
              </w:rPr>
              <w:t xml:space="preserve">Catastrophe 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Typhoon, flood, mass-event payouts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3">
            <w:pPr>
              <w:rPr>
                <w:b w:val="1"/>
                <w:bCs w:val="1"/>
                <w:sz w:val="20"/>
                <w:szCs w:val="20"/>
              </w:rPr>
            </w:pPr>
            <w:r w:rsidDel="00000000" w:rsidR="00000000" w:rsidRPr="00000000">
              <w:rPr>
                <w:b w:val="1"/>
                <w:bCs w:val="1"/>
                <w:sz w:val="20"/>
                <w:szCs w:val="20"/>
                <w:rtl w:val="0"/>
              </w:rPr>
              <w:t xml:space="preserve">Reinsurance premium budget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Pays external backstop (see Section 9)</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Safe-rider rebates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Annual or quarterly returns to low-risk riders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9">
            <w:pPr>
              <w:rPr>
                <w:b w:val="1"/>
                <w:bCs w:val="1"/>
                <w:sz w:val="20"/>
                <w:szCs w:val="20"/>
              </w:rPr>
            </w:pPr>
            <w:r w:rsidDel="00000000" w:rsidR="00000000" w:rsidRPr="00000000">
              <w:rPr>
                <w:b w:val="1"/>
                <w:bCs w:val="1"/>
                <w:sz w:val="20"/>
                <w:szCs w:val="20"/>
                <w:rtl w:val="0"/>
              </w:rPr>
              <w:t xml:space="preserve">Protocol fee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Operating revenue</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C">
            <w:pPr>
              <w:rPr>
                <w:b w:val="1"/>
                <w:bCs w:val="1"/>
                <w:sz w:val="20"/>
                <w:szCs w:val="20"/>
              </w:rPr>
            </w:pPr>
            <w:r w:rsidDel="00000000" w:rsidR="00000000" w:rsidRPr="00000000">
              <w:rPr>
                <w:b w:val="1"/>
                <w:bCs w:val="1"/>
                <w:sz w:val="20"/>
                <w:szCs w:val="20"/>
                <w:rtl w:val="0"/>
              </w:rPr>
              <w:t xml:space="preserve">Treasury 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Operational runway, governance discretion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DeFi yield deployment cap</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Up to 10% of excess reserves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Conservative deployment in Aave / Compound; supplements returns</w:t>
            </w:r>
          </w:p>
        </w:tc>
      </w:tr>
    </w:tbl>
    <w:p w:rsidR="00000000" w:rsidDel="00000000" w:rsidP="00000000" w:rsidRDefault="00000000" w:rsidRPr="00000000" w14:paraId="00000152">
      <w:pPr>
        <w:spacing w:after="200" w:lineRule="auto"/>
        <w:rPr>
          <w:i w:val="1"/>
          <w:iCs w:val="1"/>
          <w:color w:val="555555"/>
        </w:rPr>
      </w:pPr>
      <w:r w:rsidDel="00000000" w:rsidR="00000000" w:rsidRPr="00000000">
        <w:rPr>
          <w:i w:val="1"/>
          <w:iCs w:val="1"/>
          <w:color w:val="555555"/>
          <w:rtl w:val="0"/>
        </w:rPr>
        <w:t xml:space="preserve">The 'DeFi yield deployment cap' is a ceiling, not a target allocation. Insurance capital is not speculative capital; only excess reserves above the liquidity and catastrophe floors are eligible for yield deployment.</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wpo5okmrzgme" w:id="17"/>
      <w:bookmarkEnd w:id="17"/>
      <w:r w:rsidDel="00000000" w:rsidR="00000000" w:rsidRPr="00000000">
        <w:rPr>
          <w:b w:val="1"/>
          <w:bCs w:val="1"/>
          <w:color w:val="000000"/>
          <w:sz w:val="26"/>
          <w:szCs w:val="26"/>
          <w:rtl w:val="0"/>
        </w:rPr>
        <w:t xml:space="preserve">5.8 Currency &amp; FX Considerations</w:t>
      </w:r>
    </w:p>
    <w:p w:rsidR="00000000" w:rsidDel="00000000" w:rsidP="00000000" w:rsidRDefault="00000000" w:rsidRPr="00000000" w14:paraId="00000154">
      <w:pPr>
        <w:spacing w:after="200" w:lineRule="auto"/>
        <w:rPr/>
      </w:pPr>
      <w:r w:rsidDel="00000000" w:rsidR="00000000" w:rsidRPr="00000000">
        <w:rPr>
          <w:rtl w:val="0"/>
        </w:rPr>
        <w:t xml:space="preserve">Premiums are denominated in Korean won (₩) for rider-facing pricing, but pool contributions and on-chain balances are held in USDC. This creates a structural FX exposure: a KRW depreciation against USD would reduce the local purchasing power of pool reserves; an appreciation would increase liability coverage but reduce realized yield in won terms. The protocol manages this through (i) maintaining a portion of reserves in KRW-pegged stablecoins where reliably available, (ii) tracking a USD-equivalent reserve ratio in addition to the KRW-denominated ratio, and (iii) restricting yield deployment when FX volatility exceeds defined governance thresholds. Hedging strategies are not used at launch but may be reviewed once pool size warrants the operational cost.</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xx232aq6lcii" w:id="18"/>
      <w:bookmarkEnd w:id="18"/>
      <w:r w:rsidDel="00000000" w:rsidR="00000000" w:rsidRPr="00000000">
        <w:rPr>
          <w:b w:val="1"/>
          <w:bCs w:val="1"/>
          <w:color w:val="000000"/>
          <w:sz w:val="26"/>
          <w:szCs w:val="26"/>
          <w:rtl w:val="0"/>
        </w:rPr>
        <w:t xml:space="preserve">5.9 Stress-Tested Financial Model</w:t>
      </w:r>
    </w:p>
    <w:p w:rsidR="00000000" w:rsidDel="00000000" w:rsidP="00000000" w:rsidRDefault="00000000" w:rsidRPr="00000000" w14:paraId="00000156">
      <w:pPr>
        <w:spacing w:after="200" w:lineRule="auto"/>
        <w:rPr/>
      </w:pPr>
      <w:r w:rsidDel="00000000" w:rsidR="00000000" w:rsidRPr="00000000">
        <w:rPr>
          <w:rtl w:val="0"/>
        </w:rPr>
        <w:t xml:space="preserve">The model in Section 5.3 is calibrated for the protocol's expected baseline scenario. A serious investor will reasonably ask: what does the model look like under industry-realistic claim parameters, with explicit operating costs, and with an honest plan for non-premium capital? This section provides that view. The numbers below are deliberately more conservative than the baseline; they are not 'the' model — they are a stress case used to establish that the protocol remains commercially viable under unfavorable assumptions, and to expose the variables that would break the model if they moved further.</w:t>
      </w:r>
    </w:p>
    <w:p w:rsidR="00000000" w:rsidDel="00000000" w:rsidP="00000000" w:rsidRDefault="00000000" w:rsidRPr="00000000" w14:paraId="00000157">
      <w:pPr>
        <w:spacing w:after="200" w:lineRule="auto"/>
        <w:rPr>
          <w:b w:val="1"/>
          <w:bCs w:val="1"/>
        </w:rPr>
      </w:pPr>
      <w:r w:rsidDel="00000000" w:rsidR="00000000" w:rsidRPr="00000000">
        <w:rPr>
          <w:b w:val="1"/>
          <w:bCs w:val="1"/>
          <w:rtl w:val="0"/>
        </w:rPr>
        <w:t xml:space="preserve">Stressed claim parameters</w:t>
      </w:r>
    </w:p>
    <w:p w:rsidR="00000000" w:rsidDel="00000000" w:rsidP="00000000" w:rsidRDefault="00000000" w:rsidRPr="00000000" w14:paraId="00000158">
      <w:pPr>
        <w:spacing w:after="200" w:lineRule="auto"/>
        <w:rPr/>
      </w:pPr>
      <w:r w:rsidDel="00000000" w:rsidR="00000000" w:rsidRPr="00000000">
        <w:rPr>
          <w:rtl w:val="0"/>
        </w:rPr>
        <w:t xml:space="preserve">Korean motorcycle claim data, particularly for delivery-rider portfolios, suggests the Section 5.3 baseline (8% frequency, ₩1.2M severity) is materially below realistic. The stress case adopts parameters consistent with reported delivery-rider portfolios and industry severity distributions:</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865"/>
        <w:gridCol w:w="3030"/>
        <w:tblGridChange w:id="0">
          <w:tblGrid>
            <w:gridCol w:w="3225"/>
            <w:gridCol w:w="2865"/>
            <w:gridCol w:w="303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Parameter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5A">
            <w:pPr>
              <w:rPr>
                <w:b w:val="1"/>
                <w:bCs w:val="1"/>
                <w:sz w:val="20"/>
                <w:szCs w:val="20"/>
              </w:rPr>
            </w:pPr>
            <w:r w:rsidDel="00000000" w:rsidR="00000000" w:rsidRPr="00000000">
              <w:rPr>
                <w:b w:val="1"/>
                <w:bCs w:val="1"/>
                <w:sz w:val="20"/>
                <w:szCs w:val="20"/>
                <w:rtl w:val="0"/>
              </w:rPr>
              <w:t xml:space="preserve">Baseline (Section 5.3)</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5B">
            <w:pPr>
              <w:rPr>
                <w:b w:val="1"/>
                <w:bCs w:val="1"/>
                <w:sz w:val="20"/>
                <w:szCs w:val="20"/>
              </w:rPr>
            </w:pPr>
            <w:r w:rsidDel="00000000" w:rsidR="00000000" w:rsidRPr="00000000">
              <w:rPr>
                <w:b w:val="1"/>
                <w:bCs w:val="1"/>
                <w:sz w:val="20"/>
                <w:szCs w:val="20"/>
                <w:rtl w:val="0"/>
              </w:rPr>
              <w:t xml:space="preserve">Stress Case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Claim frequency (annual)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15%</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Average claim severity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₩1.2M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₩2.5M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Expected loss per rider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₩96,000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₩375,000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Modeled loss ratio</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~34.7%</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8">
            <w:pPr>
              <w:rPr>
                <w:b w:val="1"/>
                <w:bCs w:val="1"/>
                <w:sz w:val="20"/>
                <w:szCs w:val="20"/>
              </w:rPr>
            </w:pPr>
            <w:r w:rsidDel="00000000" w:rsidR="00000000" w:rsidRPr="00000000">
              <w:rPr>
                <w:b w:val="1"/>
                <w:bCs w:val="1"/>
                <w:sz w:val="20"/>
                <w:szCs w:val="20"/>
                <w:rtl w:val="0"/>
              </w:rPr>
              <w:t xml:space="preserve">Premium adequacy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Very high</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Sustainable; reduced rebate</w:t>
            </w:r>
          </w:p>
        </w:tc>
      </w:tr>
    </w:tbl>
    <w:p w:rsidR="00000000" w:rsidDel="00000000" w:rsidP="00000000" w:rsidRDefault="00000000" w:rsidRPr="00000000" w14:paraId="0000016B">
      <w:pPr>
        <w:spacing w:after="200" w:lineRule="auto"/>
        <w:rPr>
          <w:i w:val="1"/>
          <w:iCs w:val="1"/>
          <w:color w:val="555555"/>
        </w:rPr>
      </w:pPr>
      <w:r w:rsidDel="00000000" w:rsidR="00000000" w:rsidRPr="00000000">
        <w:rPr>
          <w:i w:val="1"/>
          <w:iCs w:val="1"/>
          <w:color w:val="555555"/>
          <w:rtl w:val="0"/>
        </w:rPr>
        <w:t xml:space="preserve">The stressed loss ratio of ~35% remains well below industry-standard motorcycle insurance loss ratios (55–70%) and preserves meaningful pool margin. The stress case is not a worst case — it is a credible operating case.</w:t>
      </w:r>
    </w:p>
    <w:p w:rsidR="00000000" w:rsidDel="00000000" w:rsidP="00000000" w:rsidRDefault="00000000" w:rsidRPr="00000000" w14:paraId="0000016C">
      <w:pPr>
        <w:spacing w:after="200" w:lineRule="auto"/>
        <w:rPr>
          <w:b w:val="1"/>
          <w:bCs w:val="1"/>
        </w:rPr>
      </w:pPr>
      <w:r w:rsidDel="00000000" w:rsidR="00000000" w:rsidRPr="00000000">
        <w:rPr>
          <w:b w:val="1"/>
          <w:bCs w:val="1"/>
          <w:rtl w:val="0"/>
        </w:rPr>
        <w:t xml:space="preserve">Operating cost structure</w:t>
      </w:r>
    </w:p>
    <w:p w:rsidR="00000000" w:rsidDel="00000000" w:rsidP="00000000" w:rsidRDefault="00000000" w:rsidRPr="00000000" w14:paraId="0000016D">
      <w:pPr>
        <w:spacing w:after="200" w:lineRule="auto"/>
        <w:rPr/>
      </w:pPr>
      <w:r w:rsidDel="00000000" w:rsidR="00000000" w:rsidRPr="00000000">
        <w:rPr>
          <w:rtl w:val="0"/>
        </w:rPr>
        <w:t xml:space="preserve">Revenue without expenses is not a financial model. The protocol's realistic operating cost structure, separate from pool-side claim payouts, is summarized below. All figures are estimates and will be refined against actual hiring and vendor commitments.</w:t>
      </w:r>
    </w:p>
    <w:tbl>
      <w:tblPr>
        <w:tblStyle w:val="Table1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815"/>
        <w:gridCol w:w="1815"/>
        <w:gridCol w:w="1815"/>
        <w:tblGridChange w:id="0">
          <w:tblGrid>
            <w:gridCol w:w="3690"/>
            <w:gridCol w:w="1815"/>
            <w:gridCol w:w="1815"/>
            <w:gridCol w:w="181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Cost Category</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6F">
            <w:pPr>
              <w:rPr>
                <w:b w:val="1"/>
                <w:bCs w:val="1"/>
                <w:sz w:val="20"/>
                <w:szCs w:val="20"/>
              </w:rPr>
            </w:pPr>
            <w:r w:rsidDel="00000000" w:rsidR="00000000" w:rsidRPr="00000000">
              <w:rPr>
                <w:b w:val="1"/>
                <w:bCs w:val="1"/>
                <w:sz w:val="20"/>
                <w:szCs w:val="20"/>
                <w:rtl w:val="0"/>
              </w:rPr>
              <w:t xml:space="preserve">Year 1</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Year 2</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71">
            <w:pPr>
              <w:rPr>
                <w:b w:val="1"/>
                <w:bCs w:val="1"/>
                <w:sz w:val="20"/>
                <w:szCs w:val="20"/>
              </w:rPr>
            </w:pPr>
            <w:r w:rsidDel="00000000" w:rsidR="00000000" w:rsidRPr="00000000">
              <w:rPr>
                <w:b w:val="1"/>
                <w:bCs w:val="1"/>
                <w:sz w:val="20"/>
                <w:szCs w:val="20"/>
                <w:rtl w:val="0"/>
              </w:rPr>
              <w:t xml:space="preserve">Year 3</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2">
            <w:pPr>
              <w:rPr>
                <w:b w:val="1"/>
                <w:bCs w:val="1"/>
                <w:sz w:val="20"/>
                <w:szCs w:val="20"/>
              </w:rPr>
            </w:pPr>
            <w:r w:rsidDel="00000000" w:rsidR="00000000" w:rsidRPr="00000000">
              <w:rPr>
                <w:b w:val="1"/>
                <w:bCs w:val="1"/>
                <w:sz w:val="20"/>
                <w:szCs w:val="20"/>
                <w:rtl w:val="0"/>
              </w:rPr>
              <w:t xml:space="preserve">Engineering team (5–8 FTEs)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₩500M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₩700M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₩900M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sz w:val="20"/>
                <w:szCs w:val="20"/>
              </w:rPr>
            </w:pPr>
            <w:r w:rsidDel="00000000" w:rsidR="00000000" w:rsidRPr="00000000">
              <w:rPr>
                <w:b w:val="1"/>
                <w:bCs w:val="1"/>
                <w:sz w:val="20"/>
                <w:szCs w:val="20"/>
                <w:rtl w:val="0"/>
              </w:rPr>
              <w:t xml:space="preserve">Product &amp; design (2–3 FTEs)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₩180M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₩270M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₩360M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Business development (2–4 FTEs)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₩180M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₩360M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₩540M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Operations &amp; customer support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₩210M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₩280M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₩350M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2">
            <w:pPr>
              <w:rPr>
                <w:b w:val="1"/>
                <w:bCs w:val="1"/>
                <w:sz w:val="20"/>
                <w:szCs w:val="20"/>
              </w:rPr>
            </w:pPr>
            <w:r w:rsidDel="00000000" w:rsidR="00000000" w:rsidRPr="00000000">
              <w:rPr>
                <w:b w:val="1"/>
                <w:bCs w:val="1"/>
                <w:sz w:val="20"/>
                <w:szCs w:val="20"/>
                <w:rtl w:val="0"/>
              </w:rPr>
              <w:t xml:space="preserve">Smart contract audits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₩200M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₩150M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sz w:val="20"/>
                <w:szCs w:val="20"/>
              </w:rPr>
            </w:pPr>
            <w:r w:rsidDel="00000000" w:rsidR="00000000" w:rsidRPr="00000000">
              <w:rPr>
                <w:b w:val="1"/>
                <w:bCs w:val="1"/>
                <w:sz w:val="20"/>
                <w:szCs w:val="20"/>
                <w:rtl w:val="0"/>
              </w:rPr>
              <w:t xml:space="preserve">Bug bounty program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₩150M</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A">
            <w:pPr>
              <w:rPr>
                <w:b w:val="1"/>
                <w:bCs w:val="1"/>
                <w:sz w:val="20"/>
                <w:szCs w:val="20"/>
              </w:rPr>
            </w:pPr>
            <w:r w:rsidDel="00000000" w:rsidR="00000000" w:rsidRPr="00000000">
              <w:rPr>
                <w:b w:val="1"/>
                <w:bCs w:val="1"/>
                <w:sz w:val="20"/>
                <w:szCs w:val="20"/>
                <w:rtl w:val="0"/>
              </w:rPr>
              <w:t xml:space="preserve">Infrastructure (RPC, oracles, hosting)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₩60M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₩180M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sz w:val="20"/>
                <w:szCs w:val="20"/>
              </w:rPr>
            </w:pPr>
            <w:r w:rsidDel="00000000" w:rsidR="00000000" w:rsidRPr="00000000">
              <w:rPr>
                <w:b w:val="1"/>
                <w:bCs w:val="1"/>
                <w:sz w:val="20"/>
                <w:szCs w:val="20"/>
                <w:rtl w:val="0"/>
              </w:rPr>
              <w:t xml:space="preserve">Marketing &amp; dealer partnerships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₩200M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₩300M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₩400M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2">
            <w:pPr>
              <w:rPr>
                <w:b w:val="1"/>
                <w:bCs w:val="1"/>
                <w:sz w:val="20"/>
                <w:szCs w:val="20"/>
              </w:rPr>
            </w:pPr>
            <w:r w:rsidDel="00000000" w:rsidR="00000000" w:rsidRPr="00000000">
              <w:rPr>
                <w:b w:val="1"/>
                <w:bCs w:val="1"/>
                <w:sz w:val="20"/>
                <w:szCs w:val="20"/>
                <w:rtl w:val="0"/>
              </w:rPr>
              <w:t xml:space="preserve">Legal &amp; professional services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₩120M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General &amp; administrative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₩120M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₩190M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₩250M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A">
            <w:pPr>
              <w:rPr>
                <w:b w:val="1"/>
                <w:bCs w:val="1"/>
                <w:sz w:val="20"/>
                <w:szCs w:val="20"/>
              </w:rPr>
            </w:pPr>
            <w:r w:rsidDel="00000000" w:rsidR="00000000" w:rsidRPr="00000000">
              <w:rPr>
                <w:b w:val="1"/>
                <w:bCs w:val="1"/>
                <w:sz w:val="20"/>
                <w:szCs w:val="20"/>
                <w:rtl w:val="0"/>
              </w:rPr>
              <w:t xml:space="preserve">Total Operating Expense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₩1.80B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₩2.50B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₩3.40B</w:t>
            </w:r>
          </w:p>
        </w:tc>
      </w:tr>
    </w:tbl>
    <w:p w:rsidR="00000000" w:rsidDel="00000000" w:rsidP="00000000" w:rsidRDefault="00000000" w:rsidRPr="00000000" w14:paraId="0000019E">
      <w:pPr>
        <w:spacing w:after="200" w:lineRule="auto"/>
        <w:rPr>
          <w:i w:val="1"/>
          <w:iCs w:val="1"/>
          <w:color w:val="555555"/>
        </w:rPr>
      </w:pPr>
      <w:r w:rsidDel="00000000" w:rsidR="00000000" w:rsidRPr="00000000">
        <w:rPr>
          <w:i w:val="1"/>
          <w:iCs w:val="1"/>
          <w:color w:val="555555"/>
          <w:rtl w:val="0"/>
        </w:rPr>
        <w:t xml:space="preserve">Year 1 OpEx is front-loaded by initial audit costs and team build. Hardware integration costs (OBD-II adapters, paired modules) are not included above; those flow through the marketing/partnership line when subsidized at rollout, or through the pool when paid as part of Verified Rider tier pricing.</w:t>
      </w:r>
    </w:p>
    <w:p w:rsidR="00000000" w:rsidDel="00000000" w:rsidP="00000000" w:rsidRDefault="00000000" w:rsidRPr="00000000" w14:paraId="0000019F">
      <w:pPr>
        <w:spacing w:after="200" w:lineRule="auto"/>
        <w:rPr>
          <w:b w:val="1"/>
          <w:bCs w:val="1"/>
        </w:rPr>
      </w:pPr>
      <w:r w:rsidDel="00000000" w:rsidR="00000000" w:rsidRPr="00000000">
        <w:rPr>
          <w:b w:val="1"/>
          <w:bCs w:val="1"/>
          <w:rtl w:val="0"/>
        </w:rPr>
        <w:t xml:space="preserve">Liquidity provider capital plan</w:t>
      </w:r>
    </w:p>
    <w:p w:rsidR="00000000" w:rsidDel="00000000" w:rsidP="00000000" w:rsidRDefault="00000000" w:rsidRPr="00000000" w14:paraId="000001A0">
      <w:pPr>
        <w:spacing w:after="200" w:lineRule="auto"/>
        <w:rPr/>
      </w:pPr>
      <w:r w:rsidDel="00000000" w:rsidR="00000000" w:rsidRPr="00000000">
        <w:rPr>
          <w:rtl w:val="0"/>
        </w:rPr>
        <w:t xml:space="preserve">Pool solvency requires capital beyond rider premiums. Without LP capital, the pool is fully self-insured, which is acceptable only when the modeled loss ratio is in single digits — under stressed parameters it is not. The target capital structure is: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470"/>
        <w:gridCol w:w="1485"/>
        <w:gridCol w:w="1485"/>
        <w:gridCol w:w="2100"/>
        <w:tblGridChange w:id="0">
          <w:tblGrid>
            <w:gridCol w:w="2580"/>
            <w:gridCol w:w="1470"/>
            <w:gridCol w:w="1485"/>
            <w:gridCol w:w="1485"/>
            <w:gridCol w:w="2100"/>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1">
            <w:pPr>
              <w:rPr>
                <w:b w:val="1"/>
                <w:bCs w:val="1"/>
                <w:sz w:val="20"/>
                <w:szCs w:val="20"/>
              </w:rPr>
            </w:pPr>
            <w:r w:rsidDel="00000000" w:rsidR="00000000" w:rsidRPr="00000000">
              <w:rPr>
                <w:b w:val="1"/>
                <w:bCs w:val="1"/>
                <w:sz w:val="20"/>
                <w:szCs w:val="20"/>
                <w:rtl w:val="0"/>
              </w:rPr>
              <w:t xml:space="preserve">LP Source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2">
            <w:pPr>
              <w:rPr>
                <w:b w:val="1"/>
                <w:bCs w:val="1"/>
                <w:sz w:val="20"/>
                <w:szCs w:val="20"/>
              </w:rPr>
            </w:pPr>
            <w:r w:rsidDel="00000000" w:rsidR="00000000" w:rsidRPr="00000000">
              <w:rPr>
                <w:b w:val="1"/>
                <w:bCs w:val="1"/>
                <w:sz w:val="20"/>
                <w:szCs w:val="20"/>
                <w:rtl w:val="0"/>
              </w:rPr>
              <w:t xml:space="preserve">Year 1 Target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3">
            <w:pPr>
              <w:rPr>
                <w:b w:val="1"/>
                <w:bCs w:val="1"/>
                <w:sz w:val="20"/>
                <w:szCs w:val="20"/>
              </w:rPr>
            </w:pPr>
            <w:r w:rsidDel="00000000" w:rsidR="00000000" w:rsidRPr="00000000">
              <w:rPr>
                <w:b w:val="1"/>
                <w:bCs w:val="1"/>
                <w:sz w:val="20"/>
                <w:szCs w:val="20"/>
                <w:rtl w:val="0"/>
              </w:rPr>
              <w:t xml:space="preserve">Year 2 Target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4">
            <w:pPr>
              <w:rPr>
                <w:b w:val="1"/>
                <w:bCs w:val="1"/>
                <w:sz w:val="20"/>
                <w:szCs w:val="20"/>
              </w:rPr>
            </w:pPr>
            <w:r w:rsidDel="00000000" w:rsidR="00000000" w:rsidRPr="00000000">
              <w:rPr>
                <w:b w:val="1"/>
                <w:bCs w:val="1"/>
                <w:sz w:val="20"/>
                <w:szCs w:val="20"/>
                <w:rtl w:val="0"/>
              </w:rPr>
              <w:t xml:space="preserve">Year 3 Target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5">
            <w:pPr>
              <w:rPr>
                <w:b w:val="1"/>
                <w:bCs w:val="1"/>
                <w:sz w:val="20"/>
                <w:szCs w:val="20"/>
              </w:rPr>
            </w:pPr>
            <w:r w:rsidDel="00000000" w:rsidR="00000000" w:rsidRPr="00000000">
              <w:rPr>
                <w:b w:val="1"/>
                <w:bCs w:val="1"/>
                <w:sz w:val="20"/>
                <w:szCs w:val="20"/>
                <w:rtl w:val="0"/>
              </w:rPr>
              <w:t xml:space="preserve">Return Profile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Foundation seed capital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₩1.5B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₩1.5B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₩1.5B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Subordinated; long lock</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sz w:val="20"/>
                <w:szCs w:val="20"/>
              </w:rPr>
            </w:pPr>
            <w:r w:rsidDel="00000000" w:rsidR="00000000" w:rsidRPr="00000000">
              <w:rPr>
                <w:b w:val="1"/>
                <w:bCs w:val="1"/>
                <w:sz w:val="20"/>
                <w:szCs w:val="20"/>
                <w:rtl w:val="0"/>
              </w:rPr>
              <w:t xml:space="preserve">DeFi yield-seeking LPs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₩750M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₩4.0B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₩15.0B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8–12% APY stablecoin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Institutional / family office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₩500M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₩3.0B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₩12.0B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10–15% APY blended</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5">
            <w:pPr>
              <w:rPr>
                <w:b w:val="1"/>
                <w:bCs w:val="1"/>
                <w:sz w:val="20"/>
                <w:szCs w:val="20"/>
              </w:rPr>
            </w:pPr>
            <w:r w:rsidDel="00000000" w:rsidR="00000000" w:rsidRPr="00000000">
              <w:rPr>
                <w:b w:val="1"/>
                <w:bCs w:val="1"/>
                <w:sz w:val="20"/>
                <w:szCs w:val="20"/>
                <w:rtl w:val="0"/>
              </w:rPr>
              <w:t xml:space="preserve">Strategic insurance partners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₩250M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₩2.0B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₩8.0B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Strategic + data access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Total LP Capital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₩3.0B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₩10.5B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₩36.5B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F">
            <w:pPr>
              <w:rPr>
                <w:b w:val="1"/>
                <w:bCs w:val="1"/>
                <w:sz w:val="20"/>
                <w:szCs w:val="20"/>
              </w:rPr>
            </w:pPr>
            <w:r w:rsidDel="00000000" w:rsidR="00000000" w:rsidRPr="00000000">
              <w:rPr>
                <w:b w:val="1"/>
                <w:bCs w:val="1"/>
                <w:sz w:val="20"/>
                <w:szCs w:val="20"/>
                <w:rtl w:val="0"/>
              </w:rPr>
              <w:t xml:space="preserve">Pool solvency ratio (LP / annual premium)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1.39×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1">
            <w:pPr>
              <w:rPr>
                <w:sz w:val="20"/>
                <w:szCs w:val="20"/>
              </w:rPr>
            </w:pPr>
            <w:r w:rsidDel="00000000" w:rsidR="00000000" w:rsidRPr="00000000">
              <w:rPr>
                <w:sz w:val="20"/>
                <w:szCs w:val="20"/>
                <w:rtl w:val="0"/>
              </w:rPr>
              <w:t xml:space="preserve">0.81×</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0.68×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C4">
      <w:pPr>
        <w:spacing w:after="200" w:lineRule="auto"/>
        <w:rPr>
          <w:i w:val="1"/>
          <w:iCs w:val="1"/>
          <w:color w:val="555555"/>
        </w:rPr>
      </w:pPr>
      <w:r w:rsidDel="00000000" w:rsidR="00000000" w:rsidRPr="00000000">
        <w:rPr>
          <w:i w:val="1"/>
          <w:iCs w:val="1"/>
          <w:color w:val="555555"/>
          <w:rtl w:val="0"/>
        </w:rPr>
        <w:t xml:space="preserve">LP capital is the single most fragile assumption in the model. If only foundation seed materializes, pool solvency falls to ~0.7× in Year 1 and below 0.2× by Year 3, which is insufficient against any meaningful catastrophe. Explicit capital partnerships should be confirmed or in advanced negotiation prior to public launch. The solvency ratio decline across years reflects premium volume scaling faster than capital recruitment; sustained capital expansion through Year 2 is required.</w:t>
      </w:r>
    </w:p>
    <w:p w:rsidR="00000000" w:rsidDel="00000000" w:rsidP="00000000" w:rsidRDefault="00000000" w:rsidRPr="00000000" w14:paraId="000001C5">
      <w:pPr>
        <w:spacing w:after="200" w:lineRule="auto"/>
        <w:rPr>
          <w:b w:val="1"/>
          <w:bCs w:val="1"/>
        </w:rPr>
      </w:pPr>
      <w:r w:rsidDel="00000000" w:rsidR="00000000" w:rsidRPr="00000000">
        <w:rPr>
          <w:b w:val="1"/>
          <w:bCs w:val="1"/>
          <w:rtl w:val="0"/>
        </w:rPr>
        <w:t xml:space="preserve">Three-year stressed P&amp;L</w:t>
      </w:r>
    </w:p>
    <w:p w:rsidR="00000000" w:rsidDel="00000000" w:rsidP="00000000" w:rsidRDefault="00000000" w:rsidRPr="00000000" w14:paraId="000001C6">
      <w:pPr>
        <w:spacing w:after="200" w:lineRule="auto"/>
        <w:rPr/>
      </w:pPr>
      <w:r w:rsidDel="00000000" w:rsidR="00000000" w:rsidRPr="00000000">
        <w:rPr>
          <w:rtl w:val="0"/>
        </w:rPr>
        <w:t xml:space="preserve">The protocol's P&amp;L is distinct from the insurance pool's reserves. Claim payouts, reserves, and reinsurance premiums flow through the pool, not through the operating P&amp;L. Protocol revenue is what is captured for operations and governance.</w:t>
      </w:r>
    </w:p>
    <w:tbl>
      <w:tblPr>
        <w:tblStyle w:val="Table1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1695"/>
        <w:gridCol w:w="1740"/>
        <w:gridCol w:w="1740"/>
        <w:tblGridChange w:id="0">
          <w:tblGrid>
            <w:gridCol w:w="3960"/>
            <w:gridCol w:w="1695"/>
            <w:gridCol w:w="1740"/>
            <w:gridCol w:w="174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Item (₩ millions)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8">
            <w:pPr>
              <w:rPr>
                <w:b w:val="1"/>
                <w:bCs w:val="1"/>
                <w:sz w:val="20"/>
                <w:szCs w:val="20"/>
              </w:rPr>
            </w:pPr>
            <w:r w:rsidDel="00000000" w:rsidR="00000000" w:rsidRPr="00000000">
              <w:rPr>
                <w:b w:val="1"/>
                <w:bCs w:val="1"/>
                <w:sz w:val="20"/>
                <w:szCs w:val="20"/>
                <w:rtl w:val="0"/>
              </w:rPr>
              <w:t xml:space="preserve">Year 1</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Year 2</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Year 3</w:t>
            </w:r>
          </w:p>
        </w:tc>
      </w:tr>
      <w:tr>
        <w:trPr>
          <w:cantSplit w:val="0"/>
          <w:trHeight w:val="30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Pool side (illustrative)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D">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 </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  Rider premium contributions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+2,160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+12,960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+54,000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  Stressed claim payouts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4">
            <w:pPr>
              <w:rPr>
                <w:sz w:val="20"/>
                <w:szCs w:val="20"/>
              </w:rPr>
            </w:pPr>
            <w:r w:rsidDel="00000000" w:rsidR="00000000" w:rsidRPr="00000000">
              <w:rPr>
                <w:rFonts w:ascii="Arial Unicode MS" w:cs="Arial Unicode MS" w:eastAsia="Arial Unicode MS" w:hAnsi="Arial Unicode MS"/>
                <w:sz w:val="20"/>
                <w:szCs w:val="20"/>
                <w:rtl w:val="0"/>
              </w:rPr>
              <w:t xml:space="preserve">−750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5">
            <w:pPr>
              <w:rPr>
                <w:sz w:val="20"/>
                <w:szCs w:val="20"/>
              </w:rPr>
            </w:pPr>
            <w:r w:rsidDel="00000000" w:rsidR="00000000" w:rsidRPr="00000000">
              <w:rPr>
                <w:rFonts w:ascii="Arial Unicode MS" w:cs="Arial Unicode MS" w:eastAsia="Arial Unicode MS" w:hAnsi="Arial Unicode MS"/>
                <w:sz w:val="20"/>
                <w:szCs w:val="20"/>
                <w:rtl w:val="0"/>
              </w:rPr>
              <w:t xml:space="preserve">−4,500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6">
            <w:pPr>
              <w:rPr>
                <w:sz w:val="20"/>
                <w:szCs w:val="20"/>
              </w:rPr>
            </w:pPr>
            <w:r w:rsidDel="00000000" w:rsidR="00000000" w:rsidRPr="00000000">
              <w:rPr>
                <w:rFonts w:ascii="Arial Unicode MS" w:cs="Arial Unicode MS" w:eastAsia="Arial Unicode MS" w:hAnsi="Arial Unicode MS"/>
                <w:sz w:val="20"/>
                <w:szCs w:val="20"/>
                <w:rtl w:val="0"/>
              </w:rPr>
              <w:t xml:space="preserve">−18,750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7">
            <w:pPr>
              <w:rPr>
                <w:b w:val="1"/>
                <w:bCs w:val="1"/>
                <w:sz w:val="20"/>
                <w:szCs w:val="20"/>
              </w:rPr>
            </w:pPr>
            <w:r w:rsidDel="00000000" w:rsidR="00000000" w:rsidRPr="00000000">
              <w:rPr>
                <w:b w:val="1"/>
                <w:bCs w:val="1"/>
                <w:sz w:val="20"/>
                <w:szCs w:val="20"/>
                <w:rtl w:val="0"/>
              </w:rPr>
              <w:t xml:space="preserve">  Reinsurance premium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8">
            <w:pPr>
              <w:rPr>
                <w:sz w:val="20"/>
                <w:szCs w:val="20"/>
              </w:rPr>
            </w:pPr>
            <w:r w:rsidDel="00000000" w:rsidR="00000000" w:rsidRPr="00000000">
              <w:rPr>
                <w:rFonts w:ascii="Arial Unicode MS" w:cs="Arial Unicode MS" w:eastAsia="Arial Unicode MS" w:hAnsi="Arial Unicode MS"/>
                <w:sz w:val="20"/>
                <w:szCs w:val="20"/>
                <w:rtl w:val="0"/>
              </w:rPr>
              <w:t xml:space="preserve">−216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9">
            <w:pPr>
              <w:rPr>
                <w:sz w:val="20"/>
                <w:szCs w:val="20"/>
              </w:rPr>
            </w:pPr>
            <w:r w:rsidDel="00000000" w:rsidR="00000000" w:rsidRPr="00000000">
              <w:rPr>
                <w:rFonts w:ascii="Arial Unicode MS" w:cs="Arial Unicode MS" w:eastAsia="Arial Unicode MS" w:hAnsi="Arial Unicode MS"/>
                <w:sz w:val="20"/>
                <w:szCs w:val="20"/>
                <w:rtl w:val="0"/>
              </w:rPr>
              <w:t xml:space="preserve">−1,296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A">
            <w:pPr>
              <w:rPr>
                <w:sz w:val="20"/>
                <w:szCs w:val="20"/>
              </w:rPr>
            </w:pPr>
            <w:r w:rsidDel="00000000" w:rsidR="00000000" w:rsidRPr="00000000">
              <w:rPr>
                <w:rFonts w:ascii="Arial Unicode MS" w:cs="Arial Unicode MS" w:eastAsia="Arial Unicode MS" w:hAnsi="Arial Unicode MS"/>
                <w:sz w:val="20"/>
                <w:szCs w:val="20"/>
                <w:rtl w:val="0"/>
              </w:rPr>
              <w:t xml:space="preserve">−5,400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B">
            <w:pPr>
              <w:rPr>
                <w:b w:val="1"/>
                <w:bCs w:val="1"/>
                <w:sz w:val="20"/>
                <w:szCs w:val="20"/>
              </w:rPr>
            </w:pPr>
            <w:r w:rsidDel="00000000" w:rsidR="00000000" w:rsidRPr="00000000">
              <w:rPr>
                <w:b w:val="1"/>
                <w:bCs w:val="1"/>
                <w:sz w:val="20"/>
                <w:szCs w:val="20"/>
                <w:rtl w:val="0"/>
              </w:rPr>
              <w:t xml:space="preserve">  Safe-rider rebates (10% under stress)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C">
            <w:pPr>
              <w:rPr>
                <w:sz w:val="20"/>
                <w:szCs w:val="20"/>
              </w:rPr>
            </w:pPr>
            <w:r w:rsidDel="00000000" w:rsidR="00000000" w:rsidRPr="00000000">
              <w:rPr>
                <w:rFonts w:ascii="Arial Unicode MS" w:cs="Arial Unicode MS" w:eastAsia="Arial Unicode MS" w:hAnsi="Arial Unicode MS"/>
                <w:sz w:val="20"/>
                <w:szCs w:val="20"/>
                <w:rtl w:val="0"/>
              </w:rPr>
              <w:t xml:space="preserve">−216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D">
            <w:pPr>
              <w:rPr>
                <w:sz w:val="20"/>
                <w:szCs w:val="20"/>
              </w:rPr>
            </w:pPr>
            <w:r w:rsidDel="00000000" w:rsidR="00000000" w:rsidRPr="00000000">
              <w:rPr>
                <w:rFonts w:ascii="Arial Unicode MS" w:cs="Arial Unicode MS" w:eastAsia="Arial Unicode MS" w:hAnsi="Arial Unicode MS"/>
                <w:sz w:val="20"/>
                <w:szCs w:val="20"/>
                <w:rtl w:val="0"/>
              </w:rPr>
              <w:t xml:space="preserve">−1,296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E">
            <w:pPr>
              <w:rPr>
                <w:sz w:val="20"/>
                <w:szCs w:val="20"/>
              </w:rPr>
            </w:pPr>
            <w:r w:rsidDel="00000000" w:rsidR="00000000" w:rsidRPr="00000000">
              <w:rPr>
                <w:rFonts w:ascii="Arial Unicode MS" w:cs="Arial Unicode MS" w:eastAsia="Arial Unicode MS" w:hAnsi="Arial Unicode MS"/>
                <w:sz w:val="20"/>
                <w:szCs w:val="20"/>
                <w:rtl w:val="0"/>
              </w:rPr>
              <w:t xml:space="preserve">−5,400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F">
            <w:pPr>
              <w:rPr>
                <w:b w:val="1"/>
                <w:bCs w:val="1"/>
                <w:sz w:val="20"/>
                <w:szCs w:val="20"/>
              </w:rPr>
            </w:pPr>
            <w:r w:rsidDel="00000000" w:rsidR="00000000" w:rsidRPr="00000000">
              <w:rPr>
                <w:b w:val="1"/>
                <w:bCs w:val="1"/>
                <w:sz w:val="20"/>
                <w:szCs w:val="20"/>
                <w:rtl w:val="0"/>
              </w:rPr>
              <w:t xml:space="preserve">  Catastrophe 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0">
            <w:pPr>
              <w:rPr>
                <w:sz w:val="20"/>
                <w:szCs w:val="20"/>
              </w:rPr>
            </w:pPr>
            <w:r w:rsidDel="00000000" w:rsidR="00000000" w:rsidRPr="00000000">
              <w:rPr>
                <w:rFonts w:ascii="Arial Unicode MS" w:cs="Arial Unicode MS" w:eastAsia="Arial Unicode MS" w:hAnsi="Arial Unicode MS"/>
                <w:sz w:val="20"/>
                <w:szCs w:val="20"/>
                <w:rtl w:val="0"/>
              </w:rPr>
              <w:t xml:space="preserve">−432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1">
            <w:pPr>
              <w:rPr>
                <w:sz w:val="20"/>
                <w:szCs w:val="20"/>
              </w:rPr>
            </w:pPr>
            <w:r w:rsidDel="00000000" w:rsidR="00000000" w:rsidRPr="00000000">
              <w:rPr>
                <w:rFonts w:ascii="Arial Unicode MS" w:cs="Arial Unicode MS" w:eastAsia="Arial Unicode MS" w:hAnsi="Arial Unicode MS"/>
                <w:sz w:val="20"/>
                <w:szCs w:val="20"/>
                <w:rtl w:val="0"/>
              </w:rPr>
              <w:t xml:space="preserve">−2,592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2">
            <w:pPr>
              <w:rPr>
                <w:sz w:val="20"/>
                <w:szCs w:val="20"/>
              </w:rPr>
            </w:pPr>
            <w:r w:rsidDel="00000000" w:rsidR="00000000" w:rsidRPr="00000000">
              <w:rPr>
                <w:rFonts w:ascii="Arial Unicode MS" w:cs="Arial Unicode MS" w:eastAsia="Arial Unicode MS" w:hAnsi="Arial Unicode MS"/>
                <w:sz w:val="20"/>
                <w:szCs w:val="20"/>
                <w:rtl w:val="0"/>
              </w:rPr>
              <w:t xml:space="preserve">−10,800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3">
            <w:pPr>
              <w:rPr>
                <w:b w:val="1"/>
                <w:bCs w:val="1"/>
                <w:sz w:val="20"/>
                <w:szCs w:val="20"/>
              </w:rPr>
            </w:pPr>
            <w:r w:rsidDel="00000000" w:rsidR="00000000" w:rsidRPr="00000000">
              <w:rPr>
                <w:b w:val="1"/>
                <w:bCs w:val="1"/>
                <w:sz w:val="20"/>
                <w:szCs w:val="20"/>
                <w:rtl w:val="0"/>
              </w:rPr>
              <w:t xml:space="preserve">  Liquidity reserve build</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4">
            <w:pPr>
              <w:rPr>
                <w:sz w:val="20"/>
                <w:szCs w:val="20"/>
              </w:rPr>
            </w:pPr>
            <w:r w:rsidDel="00000000" w:rsidR="00000000" w:rsidRPr="00000000">
              <w:rPr>
                <w:rFonts w:ascii="Arial Unicode MS" w:cs="Arial Unicode MS" w:eastAsia="Arial Unicode MS" w:hAnsi="Arial Unicode MS"/>
                <w:sz w:val="20"/>
                <w:szCs w:val="20"/>
                <w:rtl w:val="0"/>
              </w:rPr>
              <w:t xml:space="preserve">−540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5">
            <w:pPr>
              <w:rPr>
                <w:sz w:val="20"/>
                <w:szCs w:val="20"/>
              </w:rPr>
            </w:pPr>
            <w:r w:rsidDel="00000000" w:rsidR="00000000" w:rsidRPr="00000000">
              <w:rPr>
                <w:rFonts w:ascii="Arial Unicode MS" w:cs="Arial Unicode MS" w:eastAsia="Arial Unicode MS" w:hAnsi="Arial Unicode MS"/>
                <w:sz w:val="20"/>
                <w:szCs w:val="20"/>
                <w:rtl w:val="0"/>
              </w:rPr>
              <w:t xml:space="preserve">−3,240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6">
            <w:pPr>
              <w:rPr>
                <w:sz w:val="20"/>
                <w:szCs w:val="20"/>
              </w:rPr>
            </w:pPr>
            <w:r w:rsidDel="00000000" w:rsidR="00000000" w:rsidRPr="00000000">
              <w:rPr>
                <w:rFonts w:ascii="Arial Unicode MS" w:cs="Arial Unicode MS" w:eastAsia="Arial Unicode MS" w:hAnsi="Arial Unicode MS"/>
                <w:sz w:val="20"/>
                <w:szCs w:val="20"/>
                <w:rtl w:val="0"/>
              </w:rPr>
              <w:t xml:space="preserve">−13,500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7">
            <w:pPr>
              <w:rPr>
                <w:b w:val="1"/>
                <w:bCs w:val="1"/>
                <w:sz w:val="20"/>
                <w:szCs w:val="20"/>
              </w:rPr>
            </w:pPr>
            <w:r w:rsidDel="00000000" w:rsidR="00000000" w:rsidRPr="00000000">
              <w:rPr>
                <w:b w:val="1"/>
                <w:bCs w:val="1"/>
                <w:sz w:val="20"/>
                <w:szCs w:val="20"/>
                <w:rtl w:val="0"/>
              </w:rPr>
              <w:t xml:space="preserve">  Treasury reserve build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8">
            <w:pPr>
              <w:rPr>
                <w:sz w:val="20"/>
                <w:szCs w:val="20"/>
              </w:rPr>
            </w:pPr>
            <w:r w:rsidDel="00000000" w:rsidR="00000000" w:rsidRPr="00000000">
              <w:rPr>
                <w:rFonts w:ascii="Arial Unicode MS" w:cs="Arial Unicode MS" w:eastAsia="Arial Unicode MS" w:hAnsi="Arial Unicode MS"/>
                <w:sz w:val="20"/>
                <w:szCs w:val="20"/>
                <w:rtl w:val="0"/>
              </w:rPr>
              <w:t xml:space="preserve">−6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9">
            <w:pPr>
              <w:rPr>
                <w:sz w:val="20"/>
                <w:szCs w:val="20"/>
              </w:rPr>
            </w:pPr>
            <w:r w:rsidDel="00000000" w:rsidR="00000000" w:rsidRPr="00000000">
              <w:rPr>
                <w:rFonts w:ascii="Arial Unicode MS" w:cs="Arial Unicode MS" w:eastAsia="Arial Unicode MS" w:hAnsi="Arial Unicode MS"/>
                <w:sz w:val="20"/>
                <w:szCs w:val="20"/>
                <w:rtl w:val="0"/>
              </w:rPr>
              <w:t xml:space="preserve">−36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A">
            <w:pPr>
              <w:rPr>
                <w:sz w:val="20"/>
                <w:szCs w:val="20"/>
              </w:rPr>
            </w:pPr>
            <w:r w:rsidDel="00000000" w:rsidR="00000000" w:rsidRPr="00000000">
              <w:rPr>
                <w:rFonts w:ascii="Arial Unicode MS" w:cs="Arial Unicode MS" w:eastAsia="Arial Unicode MS" w:hAnsi="Arial Unicode MS"/>
                <w:sz w:val="20"/>
                <w:szCs w:val="20"/>
                <w:rtl w:val="0"/>
              </w:rPr>
              <w:t xml:space="preserve">−150</w:t>
            </w:r>
          </w:p>
        </w:tc>
      </w:tr>
      <w:tr>
        <w:trPr>
          <w:cantSplit w:val="0"/>
          <w:trHeight w:val="28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Protocol revenue (operating)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 </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F">
            <w:pPr>
              <w:rPr>
                <w:b w:val="1"/>
                <w:bCs w:val="1"/>
                <w:sz w:val="20"/>
                <w:szCs w:val="20"/>
              </w:rPr>
            </w:pPr>
            <w:r w:rsidDel="00000000" w:rsidR="00000000" w:rsidRPr="00000000">
              <w:rPr>
                <w:b w:val="1"/>
                <w:bCs w:val="1"/>
                <w:sz w:val="20"/>
                <w:szCs w:val="20"/>
                <w:rtl w:val="0"/>
              </w:rPr>
              <w:t xml:space="preserve">  RideTrue protocol fee (5%)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+108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+648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+2,700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3">
            <w:pPr>
              <w:rPr>
                <w:b w:val="1"/>
                <w:bCs w:val="1"/>
                <w:sz w:val="20"/>
                <w:szCs w:val="20"/>
              </w:rPr>
            </w:pPr>
            <w:r w:rsidDel="00000000" w:rsidR="00000000" w:rsidRPr="00000000">
              <w:rPr>
                <w:b w:val="1"/>
                <w:bCs w:val="1"/>
                <w:sz w:val="20"/>
                <w:szCs w:val="20"/>
                <w:rtl w:val="0"/>
              </w:rPr>
              <w:t xml:space="preserve">  Claim processing margin</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+11.5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+48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7">
            <w:pPr>
              <w:rPr>
                <w:b w:val="1"/>
                <w:bCs w:val="1"/>
                <w:sz w:val="20"/>
                <w:szCs w:val="20"/>
              </w:rPr>
            </w:pPr>
            <w:r w:rsidDel="00000000" w:rsidR="00000000" w:rsidRPr="00000000">
              <w:rPr>
                <w:b w:val="1"/>
                <w:bCs w:val="1"/>
                <w:sz w:val="20"/>
                <w:szCs w:val="20"/>
                <w:rtl w:val="0"/>
              </w:rPr>
              <w:t xml:space="preserve">  MotoChain VIN + transfer fees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+65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+325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+1,300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B">
            <w:pPr>
              <w:rPr>
                <w:b w:val="1"/>
                <w:bCs w:val="1"/>
                <w:sz w:val="20"/>
                <w:szCs w:val="20"/>
              </w:rPr>
            </w:pPr>
            <w:r w:rsidDel="00000000" w:rsidR="00000000" w:rsidRPr="00000000">
              <w:rPr>
                <w:b w:val="1"/>
                <w:bCs w:val="1"/>
                <w:sz w:val="20"/>
                <w:szCs w:val="20"/>
                <w:rtl w:val="0"/>
              </w:rPr>
              <w:t xml:space="preserve">  Service-entry protocol share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+200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F">
            <w:pPr>
              <w:rPr>
                <w:b w:val="1"/>
                <w:bCs w:val="1"/>
                <w:sz w:val="20"/>
                <w:szCs w:val="20"/>
              </w:rPr>
            </w:pPr>
            <w:r w:rsidDel="00000000" w:rsidR="00000000" w:rsidRPr="00000000">
              <w:rPr>
                <w:b w:val="1"/>
                <w:bCs w:val="1"/>
                <w:sz w:val="20"/>
                <w:szCs w:val="20"/>
                <w:rtl w:val="0"/>
              </w:rPr>
              <w:t xml:space="preserve">  B2B API (realistic ramp)</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+360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+1,800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3">
            <w:pPr>
              <w:rPr>
                <w:b w:val="1"/>
                <w:bCs w:val="1"/>
                <w:sz w:val="20"/>
                <w:szCs w:val="20"/>
              </w:rPr>
            </w:pPr>
            <w:r w:rsidDel="00000000" w:rsidR="00000000" w:rsidRPr="00000000">
              <w:rPr>
                <w:b w:val="1"/>
                <w:bCs w:val="1"/>
                <w:sz w:val="20"/>
                <w:szCs w:val="20"/>
                <w:rtl w:val="0"/>
              </w:rPr>
              <w:t xml:space="preserve">  DeFi yield on treasury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+120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7">
            <w:pPr>
              <w:rPr>
                <w:b w:val="1"/>
                <w:bCs w:val="1"/>
                <w:sz w:val="20"/>
                <w:szCs w:val="20"/>
              </w:rPr>
            </w:pPr>
            <w:r w:rsidDel="00000000" w:rsidR="00000000" w:rsidRPr="00000000">
              <w:rPr>
                <w:b w:val="1"/>
                <w:bCs w:val="1"/>
                <w:sz w:val="20"/>
                <w:szCs w:val="20"/>
                <w:rtl w:val="0"/>
              </w:rPr>
              <w:t xml:space="preserve">  Total Protocol Revenue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+275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+1,515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+6,448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B">
            <w:pPr>
              <w:rPr>
                <w:b w:val="1"/>
                <w:bCs w:val="1"/>
                <w:sz w:val="20"/>
                <w:szCs w:val="20"/>
              </w:rPr>
            </w:pPr>
            <w:r w:rsidDel="00000000" w:rsidR="00000000" w:rsidRPr="00000000">
              <w:rPr>
                <w:b w:val="1"/>
                <w:bCs w:val="1"/>
                <w:sz w:val="20"/>
                <w:szCs w:val="20"/>
                <w:rtl w:val="0"/>
              </w:rPr>
              <w:t xml:space="preserve">Total Operating Expense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C">
            <w:pPr>
              <w:rPr>
                <w:sz w:val="20"/>
                <w:szCs w:val="20"/>
              </w:rPr>
            </w:pPr>
            <w:r w:rsidDel="00000000" w:rsidR="00000000" w:rsidRPr="00000000">
              <w:rPr>
                <w:rFonts w:ascii="Arial Unicode MS" w:cs="Arial Unicode MS" w:eastAsia="Arial Unicode MS" w:hAnsi="Arial Unicode MS"/>
                <w:sz w:val="20"/>
                <w:szCs w:val="20"/>
                <w:rtl w:val="0"/>
              </w:rPr>
              <w:t xml:space="preserve">−1,800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D">
            <w:pPr>
              <w:rPr>
                <w:sz w:val="20"/>
                <w:szCs w:val="20"/>
              </w:rPr>
            </w:pPr>
            <w:r w:rsidDel="00000000" w:rsidR="00000000" w:rsidRPr="00000000">
              <w:rPr>
                <w:rFonts w:ascii="Arial Unicode MS" w:cs="Arial Unicode MS" w:eastAsia="Arial Unicode MS" w:hAnsi="Arial Unicode MS"/>
                <w:sz w:val="20"/>
                <w:szCs w:val="20"/>
                <w:rtl w:val="0"/>
              </w:rPr>
              <w:t xml:space="preserve">−2,500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E">
            <w:pPr>
              <w:rPr>
                <w:sz w:val="20"/>
                <w:szCs w:val="20"/>
              </w:rPr>
            </w:pPr>
            <w:r w:rsidDel="00000000" w:rsidR="00000000" w:rsidRPr="00000000">
              <w:rPr>
                <w:rFonts w:ascii="Arial Unicode MS" w:cs="Arial Unicode MS" w:eastAsia="Arial Unicode MS" w:hAnsi="Arial Unicode MS"/>
                <w:sz w:val="20"/>
                <w:szCs w:val="20"/>
                <w:rtl w:val="0"/>
              </w:rPr>
              <w:t xml:space="preserve">−3,400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F">
            <w:pPr>
              <w:rPr>
                <w:b w:val="1"/>
                <w:bCs w:val="1"/>
                <w:sz w:val="20"/>
                <w:szCs w:val="20"/>
              </w:rPr>
            </w:pPr>
            <w:r w:rsidDel="00000000" w:rsidR="00000000" w:rsidRPr="00000000">
              <w:rPr>
                <w:b w:val="1"/>
                <w:bCs w:val="1"/>
                <w:sz w:val="20"/>
                <w:szCs w:val="20"/>
                <w:rtl w:val="0"/>
              </w:rPr>
              <w:t xml:space="preserve">Net Operating Income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0">
            <w:pPr>
              <w:rPr>
                <w:sz w:val="20"/>
                <w:szCs w:val="20"/>
              </w:rPr>
            </w:pPr>
            <w:r w:rsidDel="00000000" w:rsidR="00000000" w:rsidRPr="00000000">
              <w:rPr>
                <w:rFonts w:ascii="Arial Unicode MS" w:cs="Arial Unicode MS" w:eastAsia="Arial Unicode MS" w:hAnsi="Arial Unicode MS"/>
                <w:sz w:val="20"/>
                <w:szCs w:val="20"/>
                <w:rtl w:val="0"/>
              </w:rPr>
              <w:t xml:space="preserve">−1,525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1">
            <w:pPr>
              <w:rPr>
                <w:sz w:val="20"/>
                <w:szCs w:val="20"/>
              </w:rPr>
            </w:pPr>
            <w:r w:rsidDel="00000000" w:rsidR="00000000" w:rsidRPr="00000000">
              <w:rPr>
                <w:rFonts w:ascii="Arial Unicode MS" w:cs="Arial Unicode MS" w:eastAsia="Arial Unicode MS" w:hAnsi="Arial Unicode MS"/>
                <w:sz w:val="20"/>
                <w:szCs w:val="20"/>
                <w:rtl w:val="0"/>
              </w:rPr>
              <w:t xml:space="preserve">−985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2">
            <w:pPr>
              <w:rPr>
                <w:sz w:val="20"/>
                <w:szCs w:val="20"/>
              </w:rPr>
            </w:pPr>
            <w:r w:rsidDel="00000000" w:rsidR="00000000" w:rsidRPr="00000000">
              <w:rPr>
                <w:sz w:val="20"/>
                <w:szCs w:val="20"/>
                <w:rtl w:val="0"/>
              </w:rPr>
              <w:t xml:space="preserve">+3,048</w:t>
            </w:r>
          </w:p>
        </w:tc>
      </w:tr>
    </w:tbl>
    <w:p w:rsidR="00000000" w:rsidDel="00000000" w:rsidP="00000000" w:rsidRDefault="00000000" w:rsidRPr="00000000" w14:paraId="00000213">
      <w:pPr>
        <w:spacing w:after="200" w:lineRule="auto"/>
        <w:rPr>
          <w:i w:val="1"/>
          <w:iCs w:val="1"/>
          <w:color w:val="555555"/>
        </w:rPr>
      </w:pPr>
      <w:r w:rsidDel="00000000" w:rsidR="00000000" w:rsidRPr="00000000">
        <w:rPr>
          <w:i w:val="1"/>
          <w:iCs w:val="1"/>
          <w:color w:val="555555"/>
          <w:rtl w:val="0"/>
        </w:rPr>
        <w:t xml:space="preserve">B2B API revenue is shown at one-third of the baseline figures from Section 5.4 to reflect realistic data network bootstrapping: a 0.2% market coverage in Year 1 does not yet justify the optimistic per-partner subscription fees, but the trajectory is preserved. Year 3 marks first sustained protocol-level profitability under stress assumptions.</w:t>
      </w:r>
    </w:p>
    <w:p w:rsidR="00000000" w:rsidDel="00000000" w:rsidP="00000000" w:rsidRDefault="00000000" w:rsidRPr="00000000" w14:paraId="00000214">
      <w:pPr>
        <w:spacing w:after="200" w:lineRule="auto"/>
        <w:rPr>
          <w:b w:val="1"/>
          <w:bCs w:val="1"/>
        </w:rPr>
      </w:pPr>
      <w:r w:rsidDel="00000000" w:rsidR="00000000" w:rsidRPr="00000000">
        <w:rPr>
          <w:b w:val="1"/>
          <w:bCs w:val="1"/>
          <w:rtl w:val="0"/>
        </w:rPr>
        <w:t xml:space="preserve">Total funding requirement</w:t>
      </w:r>
    </w:p>
    <w:p w:rsidR="00000000" w:rsidDel="00000000" w:rsidP="00000000" w:rsidRDefault="00000000" w:rsidRPr="00000000" w14:paraId="00000215">
      <w:pPr>
        <w:spacing w:after="200" w:lineRule="auto"/>
        <w:rPr/>
      </w:pPr>
      <w:r w:rsidDel="00000000" w:rsidR="00000000" w:rsidRPr="00000000">
        <w:rPr>
          <w:rtl w:val="0"/>
        </w:rPr>
        <w:t xml:space="preserve">Cumulative operating loss across Years 1–2 is ~₩2.5B. With a 12-month operating runway buffer beyond breakeven (₩2B), the protocol requires approximately ₩4.5B (~$3.3M USD) of seed and Series A capital to reach sustained profitability — separately from the LP capital required for pool underwriting. Combined with the LP capital targets above, total external capital required to launch and operate to Year 3 is in the ₩7.5–10.0B range (~$5.5–7.5M USD).</w:t>
      </w:r>
    </w:p>
    <w:p w:rsidR="00000000" w:rsidDel="00000000" w:rsidP="00000000" w:rsidRDefault="00000000" w:rsidRPr="00000000" w14:paraId="00000216">
      <w:pPr>
        <w:spacing w:after="200" w:lineRule="auto"/>
        <w:rPr>
          <w:b w:val="1"/>
          <w:bCs w:val="1"/>
        </w:rPr>
      </w:pPr>
      <w:r w:rsidDel="00000000" w:rsidR="00000000" w:rsidRPr="00000000">
        <w:rPr>
          <w:b w:val="1"/>
          <w:bCs w:val="1"/>
          <w:rtl w:val="0"/>
        </w:rPr>
        <w:t xml:space="preserve">Sensitivity analysis: what breaks the model</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070"/>
        <w:gridCol w:w="4395"/>
        <w:tblGridChange w:id="0">
          <w:tblGrid>
            <w:gridCol w:w="2655"/>
            <w:gridCol w:w="2070"/>
            <w:gridCol w:w="4395"/>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217">
            <w:pPr>
              <w:rPr>
                <w:b w:val="1"/>
                <w:bCs w:val="1"/>
                <w:sz w:val="20"/>
                <w:szCs w:val="20"/>
              </w:rPr>
            </w:pPr>
            <w:r w:rsidDel="00000000" w:rsidR="00000000" w:rsidRPr="00000000">
              <w:rPr>
                <w:b w:val="1"/>
                <w:bCs w:val="1"/>
                <w:sz w:val="20"/>
                <w:szCs w:val="20"/>
                <w:rtl w:val="0"/>
              </w:rPr>
              <w:t xml:space="preserve">Stress Factor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218">
            <w:pPr>
              <w:rPr>
                <w:b w:val="1"/>
                <w:bCs w:val="1"/>
                <w:sz w:val="20"/>
                <w:szCs w:val="20"/>
              </w:rPr>
            </w:pPr>
            <w:r w:rsidDel="00000000" w:rsidR="00000000" w:rsidRPr="00000000">
              <w:rPr>
                <w:b w:val="1"/>
                <w:bCs w:val="1"/>
                <w:sz w:val="20"/>
                <w:szCs w:val="20"/>
                <w:rtl w:val="0"/>
              </w:rPr>
              <w:t xml:space="preserve">Breaking Threshold</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219">
            <w:pPr>
              <w:rPr>
                <w:b w:val="1"/>
                <w:bCs w:val="1"/>
                <w:sz w:val="20"/>
                <w:szCs w:val="20"/>
              </w:rPr>
            </w:pPr>
            <w:r w:rsidDel="00000000" w:rsidR="00000000" w:rsidRPr="00000000">
              <w:rPr>
                <w:b w:val="1"/>
                <w:bCs w:val="1"/>
                <w:sz w:val="20"/>
                <w:szCs w:val="20"/>
                <w:rtl w:val="0"/>
              </w:rPr>
              <w:t xml:space="preserve">Consequence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Claim frequency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&gt; 25%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Loss ratio &gt; 60%; rebates eliminated; mandatory premium increase</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D">
            <w:pPr>
              <w:rPr>
                <w:b w:val="1"/>
                <w:bCs w:val="1"/>
                <w:sz w:val="20"/>
                <w:szCs w:val="20"/>
              </w:rPr>
            </w:pPr>
            <w:r w:rsidDel="00000000" w:rsidR="00000000" w:rsidRPr="00000000">
              <w:rPr>
                <w:b w:val="1"/>
                <w:bCs w:val="1"/>
                <w:sz w:val="20"/>
                <w:szCs w:val="20"/>
                <w:rtl w:val="0"/>
              </w:rPr>
              <w:t xml:space="preserve">Average claim severity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&gt; ₩4M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Loss ratio approaches 75%; pool requires LP backstop activation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0">
            <w:pPr>
              <w:rPr>
                <w:b w:val="1"/>
                <w:bCs w:val="1"/>
                <w:sz w:val="20"/>
                <w:szCs w:val="20"/>
              </w:rPr>
            </w:pPr>
            <w:r w:rsidDel="00000000" w:rsidR="00000000" w:rsidRPr="00000000">
              <w:rPr>
                <w:b w:val="1"/>
                <w:bCs w:val="1"/>
                <w:sz w:val="20"/>
                <w:szCs w:val="20"/>
                <w:rtl w:val="0"/>
              </w:rPr>
              <w:t xml:space="preserve">Rider acquisition (Year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1">
            <w:pPr>
              <w:rPr>
                <w:sz w:val="20"/>
                <w:szCs w:val="20"/>
              </w:rPr>
            </w:pPr>
            <w:r w:rsidDel="00000000" w:rsidR="00000000" w:rsidRPr="00000000">
              <w:rPr>
                <w:sz w:val="20"/>
                <w:szCs w:val="20"/>
                <w:rtl w:val="0"/>
              </w:rPr>
              <w:t xml:space="preserve">&lt; 1,500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Revenue insufficient to cover OpEx; runway shortens to ~6 months</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3">
            <w:pPr>
              <w:rPr>
                <w:b w:val="1"/>
                <w:bCs w:val="1"/>
                <w:sz w:val="20"/>
                <w:szCs w:val="20"/>
              </w:rPr>
            </w:pPr>
            <w:r w:rsidDel="00000000" w:rsidR="00000000" w:rsidRPr="00000000">
              <w:rPr>
                <w:b w:val="1"/>
                <w:bCs w:val="1"/>
                <w:sz w:val="20"/>
                <w:szCs w:val="20"/>
                <w:rtl w:val="0"/>
              </w:rPr>
              <w:t xml:space="preserve">LP capital recruitment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4">
            <w:pPr>
              <w:rPr>
                <w:sz w:val="20"/>
                <w:szCs w:val="20"/>
              </w:rPr>
            </w:pPr>
            <w:r w:rsidDel="00000000" w:rsidR="00000000" w:rsidRPr="00000000">
              <w:rPr>
                <w:sz w:val="20"/>
                <w:szCs w:val="20"/>
                <w:rtl w:val="0"/>
              </w:rPr>
              <w:t xml:space="preserve">&lt; 50% of target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Pool undercollateralized; coverage caps reduced or intake throttled</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B2B API partners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&lt; 2 by Year 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API revenue collapses; profitability deferred to Year 4</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9">
            <w:pPr>
              <w:rPr>
                <w:b w:val="1"/>
                <w:bCs w:val="1"/>
                <w:sz w:val="20"/>
                <w:szCs w:val="20"/>
              </w:rPr>
            </w:pPr>
            <w:r w:rsidDel="00000000" w:rsidR="00000000" w:rsidRPr="00000000">
              <w:rPr>
                <w:b w:val="1"/>
                <w:bCs w:val="1"/>
                <w:sz w:val="20"/>
                <w:szCs w:val="20"/>
                <w:rtl w:val="0"/>
              </w:rPr>
              <w:t xml:space="preserve">Seed/Series A raise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&lt; ₩4B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Year 2 operations require bridge funding or scope reduction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C">
            <w:pPr>
              <w:rPr>
                <w:b w:val="1"/>
                <w:bCs w:val="1"/>
                <w:sz w:val="20"/>
                <w:szCs w:val="20"/>
              </w:rPr>
            </w:pPr>
            <w:r w:rsidDel="00000000" w:rsidR="00000000" w:rsidRPr="00000000">
              <w:rPr>
                <w:b w:val="1"/>
                <w:bCs w:val="1"/>
                <w:sz w:val="20"/>
                <w:szCs w:val="20"/>
                <w:rtl w:val="0"/>
              </w:rPr>
              <w:t xml:space="preserve">Single catastrophic event</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&gt; ₩1B claims in 7 days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Catastrophe reserve invoked; emergency mode triggered; reinsurance tested</w:t>
            </w:r>
          </w:p>
        </w:tc>
      </w:tr>
    </w:tbl>
    <w:p w:rsidR="00000000" w:rsidDel="00000000" w:rsidP="00000000" w:rsidRDefault="00000000" w:rsidRPr="00000000" w14:paraId="0000022F">
      <w:pPr>
        <w:spacing w:after="200" w:lineRule="auto"/>
        <w:rPr>
          <w:b w:val="1"/>
          <w:bCs w:val="1"/>
        </w:rPr>
      </w:pPr>
      <w:r w:rsidDel="00000000" w:rsidR="00000000" w:rsidRPr="00000000">
        <w:rPr>
          <w:b w:val="1"/>
          <w:bCs w:val="1"/>
          <w:rtl w:val="0"/>
        </w:rPr>
        <w:t xml:space="preserve">What the model demonstrates</w:t>
      </w:r>
    </w:p>
    <w:p w:rsidR="00000000" w:rsidDel="00000000" w:rsidP="00000000" w:rsidRDefault="00000000" w:rsidRPr="00000000" w14:paraId="00000230">
      <w:pPr>
        <w:spacing w:after="200" w:lineRule="auto"/>
        <w:rPr/>
      </w:pPr>
      <w:r w:rsidDel="00000000" w:rsidR="00000000" w:rsidRPr="00000000">
        <w:rPr>
          <w:rtl w:val="0"/>
        </w:rPr>
        <w:t xml:space="preserve">Under realistic claim parameters (15% frequency, ₩2.5M severity), the protocol remains commercially viable but is meaningfully tighter than the optimistic baseline. Six implications follow. First, the protocol requires ~₩4.5B of operating capital to reach profitability, in addition to LP capital for pool underwriting. Second, LP capital recruitment is the single most fragile assumption and should be confirmed before public launch. Third, safe-rider rebate allocation drops from 18% to ~10% of premium under stressed claim conditions, shifting the marketing story from 'much cheaper' to 'fairer pricing plus portable score.' Fourth, B2B API revenue is highly sensitive to network coverage and ramps slower than the optimistic baseline. Fifth, coverage caps (₩2M maximum normal payout) are insufficient for a credible motorcycle insurance product; the stressed model assumes caps rise to ₩5M for normal claims and ₩3M for catastrophe staged payouts. Sixth, Year 3 profitability under stress depends on retention of Year 1–2 cohorts, institutional LP capital scaling with premium volume, and at least 10 B2B partnerships by Year 2.</w:t>
      </w:r>
    </w:p>
    <w:p w:rsidR="00000000" w:rsidDel="00000000" w:rsidP="00000000" w:rsidRDefault="00000000" w:rsidRPr="00000000" w14:paraId="00000231">
      <w:pPr>
        <w:spacing w:after="200" w:lineRule="auto"/>
        <w:rPr/>
      </w:pPr>
      <w:r w:rsidDel="00000000" w:rsidR="00000000" w:rsidRPr="00000000">
        <w:rPr>
          <w:rtl w:val="0"/>
        </w:rPr>
        <w:t xml:space="preserve">Internal planning, capital strategy, and investor communication should be calibrated against the stress case shown here. The optimistic baseline in Section 5.3 is best read as a marketing-friendly upside scenario rather than a planning model.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00" w:lineRule="auto"/>
        <w:rPr/>
      </w:pPr>
      <w:r w:rsidDel="00000000" w:rsidR="00000000" w:rsidRPr="00000000">
        <w:rPr>
          <w:rtl w:val="0"/>
        </w:rPr>
        <w:t xml:space="preserve"> </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x2yivfwqs59f" w:id="19"/>
      <w:bookmarkEnd w:id="19"/>
      <w:r w:rsidDel="00000000" w:rsidR="00000000" w:rsidRPr="00000000">
        <w:rPr>
          <w:b w:val="1"/>
          <w:bCs w:val="1"/>
          <w:sz w:val="34"/>
          <w:szCs w:val="34"/>
          <w:rtl w:val="0"/>
        </w:rPr>
        <w:t xml:space="preserve">6. Defensive Strategy &amp; Risk Mitigation</w:t>
      </w:r>
    </w:p>
    <w:p w:rsidR="00000000" w:rsidDel="00000000" w:rsidP="00000000" w:rsidRDefault="00000000" w:rsidRPr="00000000" w14:paraId="00000235">
      <w:pPr>
        <w:spacing w:after="200" w:lineRule="auto"/>
        <w:rPr/>
      </w:pPr>
      <w:r w:rsidDel="00000000" w:rsidR="00000000" w:rsidRPr="00000000">
        <w:rPr>
          <w:rtl w:val="0"/>
        </w:rPr>
        <w:t xml:space="preserve">MotoChain and RideTrue face three categories of risk: competitive risk, technical security risk, and systemic insurance-pool risk. A skeptical investor's main concern is not whether the idea is interesting, but whether the protocol can survive fraud, hacks, bad data, and extreme claim events. The defensive strategy is therefore designed around redundancy, conservative capital management, and incentive-compatible security.</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mtlylu131q7" w:id="20"/>
      <w:bookmarkEnd w:id="20"/>
      <w:r w:rsidDel="00000000" w:rsidR="00000000" w:rsidRPr="00000000">
        <w:rPr>
          <w:b w:val="1"/>
          <w:bCs w:val="1"/>
          <w:color w:val="000000"/>
          <w:sz w:val="26"/>
          <w:szCs w:val="26"/>
          <w:rtl w:val="0"/>
        </w:rPr>
        <w:t xml:space="preserve">6.1 Competitive Analysis &amp; Moat</w:t>
      </w:r>
    </w:p>
    <w:p w:rsidR="00000000" w:rsidDel="00000000" w:rsidP="00000000" w:rsidRDefault="00000000" w:rsidRPr="00000000" w14:paraId="00000237">
      <w:pPr>
        <w:spacing w:after="200" w:lineRule="auto"/>
        <w:rPr/>
      </w:pPr>
      <w:r w:rsidDel="00000000" w:rsidR="00000000" w:rsidRPr="00000000">
        <w:rPr>
          <w:rtl w:val="0"/>
        </w:rPr>
        <w:t xml:space="preserve">The protocol operates against three categories of competitor, each with distinct strengths and structural weaknesses.</w:t>
      </w:r>
    </w:p>
    <w:p w:rsidR="00000000" w:rsidDel="00000000" w:rsidP="00000000" w:rsidRDefault="00000000" w:rsidRPr="00000000" w14:paraId="00000238">
      <w:pPr>
        <w:spacing w:after="200" w:lineRule="auto"/>
        <w:rPr>
          <w:b w:val="1"/>
          <w:bCs w:val="1"/>
        </w:rPr>
      </w:pPr>
      <w:r w:rsidDel="00000000" w:rsidR="00000000" w:rsidRPr="00000000">
        <w:rPr>
          <w:b w:val="1"/>
          <w:bCs w:val="1"/>
          <w:rtl w:val="0"/>
        </w:rPr>
        <w:t xml:space="preserve">Centralized vehicle history providers (CARFAX, Korea Auto Inspection, OEM histories).</w:t>
      </w:r>
    </w:p>
    <w:p w:rsidR="00000000" w:rsidDel="00000000" w:rsidP="00000000" w:rsidRDefault="00000000" w:rsidRPr="00000000" w14:paraId="00000239">
      <w:pPr>
        <w:spacing w:after="200" w:lineRule="auto"/>
        <w:rPr/>
      </w:pPr>
      <w:r w:rsidDel="00000000" w:rsidR="00000000" w:rsidRPr="00000000">
        <w:rPr>
          <w:rtl w:val="0"/>
        </w:rPr>
        <w:t xml:space="preserve">Strengths: established brand trust with dealers, regulatory recognition, large existing data sets. Weaknesses: centralized data ownership eliminates user portability, no economic enforcement against fabricated entries (data providers have no skin in record accuracy), poor standardization across providers, no native integration with insurance or financing. MotoChain's edge is user-owned identity, signed-and-staked entries with slashing, programmable trust-minimization, and native downstream integration with insurance and lending.</w:t>
      </w:r>
    </w:p>
    <w:p w:rsidR="00000000" w:rsidDel="00000000" w:rsidP="00000000" w:rsidRDefault="00000000" w:rsidRPr="00000000" w14:paraId="0000023A">
      <w:pPr>
        <w:spacing w:after="200" w:lineRule="auto"/>
        <w:rPr>
          <w:b w:val="1"/>
          <w:bCs w:val="1"/>
        </w:rPr>
      </w:pPr>
      <w:r w:rsidDel="00000000" w:rsidR="00000000" w:rsidRPr="00000000">
        <w:rPr>
          <w:b w:val="1"/>
          <w:bCs w:val="1"/>
          <w:rtl w:val="0"/>
        </w:rPr>
        <w:t xml:space="preserve">Traditional motorcycle insurers with telematics products (Samsung F&amp;M, Hyundai M&amp;F, DB Insurance, Tokio Marine, and emerging usage-based products).</w:t>
      </w:r>
    </w:p>
    <w:p w:rsidR="00000000" w:rsidDel="00000000" w:rsidP="00000000" w:rsidRDefault="00000000" w:rsidRPr="00000000" w14:paraId="0000023B">
      <w:pPr>
        <w:spacing w:after="200" w:lineRule="auto"/>
        <w:rPr/>
      </w:pPr>
      <w:r w:rsidDel="00000000" w:rsidR="00000000" w:rsidRPr="00000000">
        <w:rPr>
          <w:rtl w:val="0"/>
        </w:rPr>
        <w:t xml:space="preserve">Strengths: capital base, regulatory standing, established distribution, existing customer relationships. Weaknesses: behavioral data is insurer-owned and non-portable, demographic-proxy pricing still dominates underwriting, no integration with vehicle history layer, slow product innovation due to legacy systems. RideTrue's edge is portable behavioral reputation that follows the rider across insurers and products, transparent on-chain pricing, and faster claim settlement via smart contracts.</w:t>
      </w:r>
    </w:p>
    <w:p w:rsidR="00000000" w:rsidDel="00000000" w:rsidP="00000000" w:rsidRDefault="00000000" w:rsidRPr="00000000" w14:paraId="0000023C">
      <w:pPr>
        <w:spacing w:after="200" w:lineRule="auto"/>
        <w:rPr>
          <w:b w:val="1"/>
          <w:bCs w:val="1"/>
        </w:rPr>
      </w:pPr>
      <w:r w:rsidDel="00000000" w:rsidR="00000000" w:rsidRPr="00000000">
        <w:rPr>
          <w:b w:val="1"/>
          <w:bCs w:val="1"/>
          <w:rtl w:val="0"/>
        </w:rPr>
        <w:t xml:space="preserve">DeFi insurance and mutual protocols (Nexus Mutual, InsurAce, Cover, etc.).</w:t>
      </w:r>
    </w:p>
    <w:p w:rsidR="00000000" w:rsidDel="00000000" w:rsidP="00000000" w:rsidRDefault="00000000" w:rsidRPr="00000000" w14:paraId="0000023D">
      <w:pPr>
        <w:spacing w:after="200" w:lineRule="auto"/>
        <w:rPr/>
      </w:pPr>
      <w:r w:rsidDel="00000000" w:rsidR="00000000" w:rsidRPr="00000000">
        <w:rPr>
          <w:rtl w:val="0"/>
        </w:rPr>
        <w:t xml:space="preserve">Strengths: on-chain capital pooling, smart-contract claim processing, demonstrated viability of the mechanism. Weaknesses: focused on crypto-native risks (smart contract failure, custodian risk) rather than real-world risk; limited real-world data integration; consumer reach is essentially zero outside of crypto natives; no vertical specialization. MotoChain/RideTrue's edge is real-world asset and behavior data, dual-protocol composability where one protocol's data enriches the other, and consumer-grade UX targeting non-crypto-native users via account abstraction.</w:t>
      </w:r>
    </w:p>
    <w:p w:rsidR="00000000" w:rsidDel="00000000" w:rsidP="00000000" w:rsidRDefault="00000000" w:rsidRPr="00000000" w14:paraId="0000023E">
      <w:pPr>
        <w:spacing w:after="200" w:lineRule="auto"/>
        <w:rPr>
          <w:b w:val="1"/>
          <w:bCs w:val="1"/>
        </w:rPr>
      </w:pPr>
      <w:r w:rsidDel="00000000" w:rsidR="00000000" w:rsidRPr="00000000">
        <w:rPr>
          <w:b w:val="1"/>
          <w:bCs w:val="1"/>
          <w:rtl w:val="0"/>
        </w:rPr>
        <w:t xml:space="preserve">Unfair advantage / moat.</w:t>
      </w:r>
    </w:p>
    <w:p w:rsidR="00000000" w:rsidDel="00000000" w:rsidP="00000000" w:rsidRDefault="00000000" w:rsidRPr="00000000" w14:paraId="0000023F">
      <w:pPr>
        <w:spacing w:after="200" w:lineRule="auto"/>
        <w:rPr/>
      </w:pPr>
      <w:r w:rsidDel="00000000" w:rsidR="00000000" w:rsidRPr="00000000">
        <w:rPr>
          <w:rtl w:val="0"/>
        </w:rPr>
        <w:t xml:space="preserve">Vertical data network effect: as more motorcycles, riders, mechanics, dealers, and partners join, the dataset's value compounds for every other participant. A motorcycle is worth more if its history is on MotoChain; a rider gets better pricing if their score is on RideTrue; an insurer makes better underwriting decisions if they consume both. This compounds non-linearly and is structurally hard for a new entrant to replicate from a standing start. The combination of vertical specialization (two-wheelers), dual-protocol design (identity + behavior), the layered trust architecture in Section 5.6, and a Korea-first wedge with realistic expansion to Vietnam, Indonesia, and Thailand together constitute the protocol's defensible position.</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xpkbh3nwt5ss" w:id="21"/>
      <w:bookmarkEnd w:id="21"/>
      <w:r w:rsidDel="00000000" w:rsidR="00000000" w:rsidRPr="00000000">
        <w:rPr>
          <w:b w:val="1"/>
          <w:bCs w:val="1"/>
          <w:color w:val="000000"/>
          <w:sz w:val="26"/>
          <w:szCs w:val="26"/>
          <w:rtl w:val="0"/>
        </w:rPr>
        <w:t xml:space="preserve">6.2 Security Roadmap</w:t>
      </w:r>
    </w:p>
    <w:p w:rsidR="00000000" w:rsidDel="00000000" w:rsidP="00000000" w:rsidRDefault="00000000" w:rsidRPr="00000000" w14:paraId="00000241">
      <w:pPr>
        <w:spacing w:after="200" w:lineRule="auto"/>
        <w:rPr/>
      </w:pPr>
      <w:r w:rsidDel="00000000" w:rsidR="00000000" w:rsidRPr="00000000">
        <w:rPr>
          <w:rtl w:val="0"/>
        </w:rPr>
        <w:t xml:space="preserve">Because RideTrue handles user funds and the protocol's smart contracts hold insurance reserves, security is treated as a launch-gating requirement rather than a post-launch concern. The plan below defines the minimum standard.</w:t>
      </w:r>
    </w:p>
    <w:p w:rsidR="00000000" w:rsidDel="00000000" w:rsidP="00000000" w:rsidRDefault="00000000" w:rsidRPr="00000000" w14:paraId="00000242">
      <w:pPr>
        <w:spacing w:after="200" w:lineRule="auto"/>
        <w:rPr>
          <w:b w:val="1"/>
          <w:bCs w:val="1"/>
        </w:rPr>
      </w:pPr>
      <w:r w:rsidDel="00000000" w:rsidR="00000000" w:rsidRPr="00000000">
        <w:rPr>
          <w:b w:val="1"/>
          <w:bCs w:val="1"/>
          <w:rtl w:val="0"/>
        </w:rPr>
        <w:t xml:space="preserve">Pre-launch engineering gate.</w:t>
      </w:r>
    </w:p>
    <w:p w:rsidR="00000000" w:rsidDel="00000000" w:rsidP="00000000" w:rsidRDefault="00000000" w:rsidRPr="00000000" w14:paraId="0000024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Comprehensive unit and integration test coverage (≥90% for fund-handling contracts).</w:t>
      </w:r>
    </w:p>
    <w:p w:rsidR="00000000" w:rsidDel="00000000" w:rsidP="00000000" w:rsidRDefault="00000000" w:rsidRPr="00000000" w14:paraId="0000024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Property-based and invariant testing for accounting, staking, slashing, and payout flows.</w:t>
      </w:r>
    </w:p>
    <w:p w:rsidR="00000000" w:rsidDel="00000000" w:rsidP="00000000" w:rsidRDefault="00000000" w:rsidRPr="00000000" w14:paraId="0000024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Fuzz testing via Echidna or Foundry invariant fuzzing.</w:t>
      </w:r>
    </w:p>
    <w:p w:rsidR="00000000" w:rsidDel="00000000" w:rsidP="00000000" w:rsidRDefault="00000000" w:rsidRPr="00000000" w14:paraId="0000024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Static analysis via Slither and equivalent tooling, with zero unresolved high-severity findings prior to audit handoff.</w:t>
      </w:r>
    </w:p>
    <w:p w:rsidR="00000000" w:rsidDel="00000000" w:rsidP="00000000" w:rsidRDefault="00000000" w:rsidRPr="00000000" w14:paraId="0000024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threat modeling reviewed by the core team plus at least one external security advisor.</w:t>
      </w:r>
    </w:p>
    <w:p w:rsidR="00000000" w:rsidDel="00000000" w:rsidP="00000000" w:rsidRDefault="00000000" w:rsidRPr="00000000" w14:paraId="00000248">
      <w:pPr>
        <w:spacing w:after="200" w:lineRule="auto"/>
        <w:rPr>
          <w:b w:val="1"/>
          <w:bCs w:val="1"/>
        </w:rPr>
      </w:pPr>
      <w:r w:rsidDel="00000000" w:rsidR="00000000" w:rsidRPr="00000000">
        <w:rPr>
          <w:b w:val="1"/>
          <w:bCs w:val="1"/>
          <w:rtl w:val="0"/>
        </w:rPr>
        <w:t xml:space="preserve">External audits.</w:t>
      </w:r>
    </w:p>
    <w:p w:rsidR="00000000" w:rsidDel="00000000" w:rsidP="00000000" w:rsidRDefault="00000000" w:rsidRPr="00000000" w14:paraId="00000249">
      <w:pPr>
        <w:spacing w:after="200" w:lineRule="auto"/>
        <w:rPr/>
      </w:pPr>
      <w:r w:rsidDel="00000000" w:rsidR="00000000" w:rsidRPr="00000000">
        <w:rPr>
          <w:rtl w:val="0"/>
        </w:rPr>
        <w:t xml:space="preserve">A minimum of two independent smart-contract audits is required before mainnet deployment of fund-handling contracts. Target firms (final selection TBD): OpenZeppelin, Trail of Bits, ChainSecurity, Quantstamp, Spearbit, Code4rena competitive audit. At least one audit must include formal verification of the accounting, escrow, and slashing logic. Audit reports are published in full, including unresolved findings and the team's response.</w:t>
      </w:r>
    </w:p>
    <w:p w:rsidR="00000000" w:rsidDel="00000000" w:rsidP="00000000" w:rsidRDefault="00000000" w:rsidRPr="00000000" w14:paraId="0000024A">
      <w:pPr>
        <w:spacing w:after="200" w:lineRule="auto"/>
        <w:rPr>
          <w:b w:val="1"/>
          <w:bCs w:val="1"/>
        </w:rPr>
      </w:pPr>
      <w:r w:rsidDel="00000000" w:rsidR="00000000" w:rsidRPr="00000000">
        <w:rPr>
          <w:b w:val="1"/>
          <w:bCs w:val="1"/>
          <w:rtl w:val="0"/>
        </w:rPr>
        <w:t xml:space="preserve">Continuous bug bounty.</w:t>
      </w:r>
    </w:p>
    <w:p w:rsidR="00000000" w:rsidDel="00000000" w:rsidP="00000000" w:rsidRDefault="00000000" w:rsidRPr="00000000" w14:paraId="0000024B">
      <w:pPr>
        <w:spacing w:after="200" w:lineRule="auto"/>
        <w:rPr/>
      </w:pPr>
      <w:r w:rsidDel="00000000" w:rsidR="00000000" w:rsidRPr="00000000">
        <w:rPr>
          <w:rtl w:val="0"/>
        </w:rPr>
        <w:t xml:space="preserve">Hosted on Immunefi or equivalent from mainnet launch. Indicative reward bands: critical severity up to USD 250,000, high up to USD 75,000, medium up to USD 15,000, low up to USD 2,500. Annual program budget funded from the treasury allocation.</w:t>
      </w:r>
    </w:p>
    <w:p w:rsidR="00000000" w:rsidDel="00000000" w:rsidP="00000000" w:rsidRDefault="00000000" w:rsidRPr="00000000" w14:paraId="0000024C">
      <w:pPr>
        <w:spacing w:after="200" w:lineRule="auto"/>
        <w:rPr>
          <w:b w:val="1"/>
          <w:bCs w:val="1"/>
        </w:rPr>
      </w:pPr>
      <w:r w:rsidDel="00000000" w:rsidR="00000000" w:rsidRPr="00000000">
        <w:rPr>
          <w:b w:val="1"/>
          <w:bCs w:val="1"/>
          <w:rtl w:val="0"/>
        </w:rPr>
        <w:t xml:space="preserve">Operational security.</w:t>
      </w:r>
    </w:p>
    <w:p w:rsidR="00000000" w:rsidDel="00000000" w:rsidP="00000000" w:rsidRDefault="00000000" w:rsidRPr="00000000" w14:paraId="0000024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Treasury and admin functions controlled by a multi-signature wallet with geographically distributed signers (target 5-of-9).</w:t>
      </w:r>
    </w:p>
    <w:p w:rsidR="00000000" w:rsidDel="00000000" w:rsidP="00000000" w:rsidRDefault="00000000" w:rsidRPr="00000000" w14:paraId="0000024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Time-locked upgrades for any non-emergency parameter change (48-hour minimum).</w:t>
      </w:r>
    </w:p>
    <w:p w:rsidR="00000000" w:rsidDel="00000000" w:rsidP="00000000" w:rsidRDefault="00000000" w:rsidRPr="00000000" w14:paraId="0000024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Emergency pause restricted to a narrow scope, governed by a security council with documented invocation criteria.</w:t>
      </w:r>
    </w:p>
    <w:p w:rsidR="00000000" w:rsidDel="00000000" w:rsidP="00000000" w:rsidRDefault="00000000" w:rsidRPr="00000000" w14:paraId="0000025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 incident response runbook with quarterly drills.</w:t>
      </w:r>
    </w:p>
    <w:p w:rsidR="00000000" w:rsidDel="00000000" w:rsidP="00000000" w:rsidRDefault="00000000" w:rsidRPr="00000000" w14:paraId="00000251">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Annual third-party penetration testing for mobile and back-end systems handling telematics ingestion.</w:t>
      </w:r>
    </w:p>
    <w:p w:rsidR="00000000" w:rsidDel="00000000" w:rsidP="00000000" w:rsidRDefault="00000000" w:rsidRPr="00000000" w14:paraId="00000252">
      <w:pPr>
        <w:spacing w:after="200" w:lineRule="auto"/>
        <w:rPr>
          <w:b w:val="1"/>
          <w:bCs w:val="1"/>
        </w:rPr>
      </w:pPr>
      <w:r w:rsidDel="00000000" w:rsidR="00000000" w:rsidRPr="00000000">
        <w:rPr>
          <w:b w:val="1"/>
          <w:bCs w:val="1"/>
          <w:rtl w:val="0"/>
        </w:rPr>
        <w:t xml:space="preserve">Ongoing posture.</w:t>
      </w:r>
    </w:p>
    <w:p w:rsidR="00000000" w:rsidDel="00000000" w:rsidP="00000000" w:rsidRDefault="00000000" w:rsidRPr="00000000" w14:paraId="00000253">
      <w:pPr>
        <w:spacing w:after="200" w:lineRule="auto"/>
        <w:rPr/>
      </w:pPr>
      <w:r w:rsidDel="00000000" w:rsidR="00000000" w:rsidRPr="00000000">
        <w:rPr>
          <w:rtl w:val="0"/>
        </w:rPr>
        <w:t xml:space="preserve">Each material protocol upgrade is preceded by an incremental audit. The bug bounty remains live for the lifetime of the protocol. Audit and bounty results feed back into the threat model on a continuous basis.</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sqvbaswhw85y" w:id="22"/>
      <w:bookmarkEnd w:id="22"/>
      <w:r w:rsidDel="00000000" w:rsidR="00000000" w:rsidRPr="00000000">
        <w:rPr>
          <w:b w:val="1"/>
          <w:bCs w:val="1"/>
          <w:color w:val="000000"/>
          <w:sz w:val="26"/>
          <w:szCs w:val="26"/>
          <w:rtl w:val="0"/>
        </w:rPr>
        <w:t xml:space="preserve">6.3 Economic Stress Testing &amp; Black Swan Plan</w:t>
      </w:r>
    </w:p>
    <w:p w:rsidR="00000000" w:rsidDel="00000000" w:rsidP="00000000" w:rsidRDefault="00000000" w:rsidRPr="00000000" w14:paraId="00000255">
      <w:pPr>
        <w:spacing w:after="200" w:lineRule="auto"/>
        <w:rPr/>
      </w:pPr>
      <w:r w:rsidDel="00000000" w:rsidR="00000000" w:rsidRPr="00000000">
        <w:rPr>
          <w:rtl w:val="0"/>
        </w:rPr>
        <w:t xml:space="preserve">The largest systemic risk is a concentrated-claim event such as a flood, typhoon, mass theft event, or major infrastructure failure. Korea experiences typhoons annually; these are base-case events for the protocol's risk model, not tail events. The defensive structure below is designed to absorb concentrated claim periods without pool collapse.</w:t>
      </w:r>
    </w:p>
    <w:p w:rsidR="00000000" w:rsidDel="00000000" w:rsidP="00000000" w:rsidRDefault="00000000" w:rsidRPr="00000000" w14:paraId="00000256">
      <w:pPr>
        <w:spacing w:after="200" w:lineRule="auto"/>
        <w:rPr>
          <w:b w:val="1"/>
          <w:bCs w:val="1"/>
        </w:rPr>
      </w:pPr>
      <w:r w:rsidDel="00000000" w:rsidR="00000000" w:rsidRPr="00000000">
        <w:rPr>
          <w:b w:val="1"/>
          <w:bCs w:val="1"/>
          <w:rtl w:val="0"/>
        </w:rPr>
        <w:t xml:space="preserve">1. Mandatory liquid reserve.</w:t>
      </w:r>
    </w:p>
    <w:p w:rsidR="00000000" w:rsidDel="00000000" w:rsidP="00000000" w:rsidRDefault="00000000" w:rsidRPr="00000000" w14:paraId="00000257">
      <w:pPr>
        <w:spacing w:after="200" w:lineRule="auto"/>
        <w:rPr/>
      </w:pPr>
      <w:r w:rsidDel="00000000" w:rsidR="00000000" w:rsidRPr="00000000">
        <w:rPr>
          <w:rtl w:val="0"/>
        </w:rPr>
        <w:t xml:space="preserve">At least 25% of pool capital remains in liquid form at all times. This capital is ineligible for DeFi yield deployment.</w:t>
      </w:r>
    </w:p>
    <w:p w:rsidR="00000000" w:rsidDel="00000000" w:rsidP="00000000" w:rsidRDefault="00000000" w:rsidRPr="00000000" w14:paraId="00000258">
      <w:pPr>
        <w:spacing w:after="200" w:lineRule="auto"/>
        <w:rPr>
          <w:b w:val="1"/>
          <w:bCs w:val="1"/>
        </w:rPr>
      </w:pPr>
      <w:r w:rsidDel="00000000" w:rsidR="00000000" w:rsidRPr="00000000">
        <w:rPr>
          <w:b w:val="1"/>
          <w:bCs w:val="1"/>
          <w:rtl w:val="0"/>
        </w:rPr>
        <w:t xml:space="preserve">2. Catastrophe reserve fund.</w:t>
      </w:r>
    </w:p>
    <w:p w:rsidR="00000000" w:rsidDel="00000000" w:rsidP="00000000" w:rsidRDefault="00000000" w:rsidRPr="00000000" w14:paraId="00000259">
      <w:pPr>
        <w:spacing w:after="200" w:lineRule="auto"/>
        <w:rPr/>
      </w:pPr>
      <w:r w:rsidDel="00000000" w:rsidR="00000000" w:rsidRPr="00000000">
        <w:rPr>
          <w:rtl w:val="0"/>
        </w:rPr>
        <w:t xml:space="preserve">20% of every premium is routed to a dedicated catastrophe reserve, used only during designated extreme events. Calibrated to Korean weather patterns where typhoon-related claim spikes are a recurring base-case risk.</w:t>
      </w:r>
    </w:p>
    <w:p w:rsidR="00000000" w:rsidDel="00000000" w:rsidP="00000000" w:rsidRDefault="00000000" w:rsidRPr="00000000" w14:paraId="0000025A">
      <w:pPr>
        <w:spacing w:after="200" w:lineRule="auto"/>
        <w:rPr>
          <w:b w:val="1"/>
          <w:bCs w:val="1"/>
        </w:rPr>
      </w:pPr>
      <w:r w:rsidDel="00000000" w:rsidR="00000000" w:rsidRPr="00000000">
        <w:rPr>
          <w:b w:val="1"/>
          <w:bCs w:val="1"/>
          <w:rtl w:val="0"/>
        </w:rPr>
        <w:t xml:space="preserve">3. Reinsurance / backstop partner.</w:t>
      </w:r>
    </w:p>
    <w:p w:rsidR="00000000" w:rsidDel="00000000" w:rsidP="00000000" w:rsidRDefault="00000000" w:rsidRPr="00000000" w14:paraId="0000025B">
      <w:pPr>
        <w:spacing w:after="200" w:lineRule="auto"/>
        <w:rPr/>
      </w:pPr>
      <w:r w:rsidDel="00000000" w:rsidR="00000000" w:rsidRPr="00000000">
        <w:rPr>
          <w:rtl w:val="0"/>
        </w:rPr>
        <w:t xml:space="preserve">RideTrue does not carry all catastrophic risk alone. The intended structure is a reinsurance or backstop arrangement with [counterparty TBD]. Candidates include traditional reinsurers, Lloyd's syndicates, parametric reinsurance providers, and DeFi backstop capital pools. Discussions with at least one named counterparty must be in advanced stages prior to launch; the protocol will not market unlimited coverage without a confirmed backstop in place. The 10% reinsurance premium budget in Section 5.7 is the budget allocated to acquire this protection.</w:t>
      </w:r>
    </w:p>
    <w:p w:rsidR="00000000" w:rsidDel="00000000" w:rsidP="00000000" w:rsidRDefault="00000000" w:rsidRPr="00000000" w14:paraId="0000025C">
      <w:pPr>
        <w:spacing w:after="200" w:lineRule="auto"/>
        <w:rPr>
          <w:b w:val="1"/>
          <w:bCs w:val="1"/>
        </w:rPr>
      </w:pPr>
      <w:r w:rsidDel="00000000" w:rsidR="00000000" w:rsidRPr="00000000">
        <w:rPr>
          <w:b w:val="1"/>
          <w:bCs w:val="1"/>
          <w:rtl w:val="0"/>
        </w:rPr>
        <w:t xml:space="preserve">4. Emergency payout limits.</w:t>
      </w:r>
    </w:p>
    <w:p w:rsidR="00000000" w:rsidDel="00000000" w:rsidP="00000000" w:rsidRDefault="00000000" w:rsidRPr="00000000" w14:paraId="0000025D">
      <w:pPr>
        <w:spacing w:after="200" w:lineRule="auto"/>
        <w:rPr/>
      </w:pPr>
      <w:r w:rsidDel="00000000" w:rsidR="00000000" w:rsidRPr="00000000">
        <w:rPr>
          <w:rtl w:val="0"/>
        </w:rPr>
        <w:t xml:space="preserve">Smart contracts include limits for extreme claim periods. Under normal conditions, 100% of approved claims are paid immediately. In emergency conditions, payouts shift to staged distribution (e.g., 50% immediate, 50% over 3–6 months as liquidity replenishes). This prevents a bank-run dynamic in which the first claimants drain the pool.</w:t>
      </w:r>
    </w:p>
    <w:p w:rsidR="00000000" w:rsidDel="00000000" w:rsidP="00000000" w:rsidRDefault="00000000" w:rsidRPr="00000000" w14:paraId="0000025E">
      <w:pPr>
        <w:spacing w:after="200" w:lineRule="auto"/>
        <w:rPr>
          <w:b w:val="1"/>
          <w:bCs w:val="1"/>
        </w:rPr>
      </w:pPr>
      <w:r w:rsidDel="00000000" w:rsidR="00000000" w:rsidRPr="00000000">
        <w:rPr>
          <w:b w:val="1"/>
          <w:bCs w:val="1"/>
          <w:rtl w:val="0"/>
        </w:rPr>
        <w:t xml:space="preserve">5. Pro-rata claim distribution.</w:t>
      </w:r>
    </w:p>
    <w:p w:rsidR="00000000" w:rsidDel="00000000" w:rsidP="00000000" w:rsidRDefault="00000000" w:rsidRPr="00000000" w14:paraId="0000025F">
      <w:pPr>
        <w:spacing w:after="200" w:lineRule="auto"/>
        <w:rPr/>
      </w:pPr>
      <w:r w:rsidDel="00000000" w:rsidR="00000000" w:rsidRPr="00000000">
        <w:rPr>
          <w:rtl w:val="0"/>
        </w:rPr>
        <w:t xml:space="preserve">If the pool becomes undercollateralized, claims are paid proportionally. Against ₩5B of verified claims with ₩3B of available emergency liquidity, each claimant receives 60% immediately, with the remaining 40% becoming a pending claim obligation. Pro-rata payout is communicated transparently at onboarding to ensure expectation alignment.</w:t>
      </w:r>
    </w:p>
    <w:p w:rsidR="00000000" w:rsidDel="00000000" w:rsidP="00000000" w:rsidRDefault="00000000" w:rsidRPr="00000000" w14:paraId="00000260">
      <w:pPr>
        <w:spacing w:after="200" w:lineRule="auto"/>
        <w:rPr>
          <w:b w:val="1"/>
          <w:bCs w:val="1"/>
        </w:rPr>
      </w:pPr>
      <w:r w:rsidDel="00000000" w:rsidR="00000000" w:rsidRPr="00000000">
        <w:rPr>
          <w:b w:val="1"/>
          <w:bCs w:val="1"/>
          <w:rtl w:val="0"/>
        </w:rPr>
        <w:t xml:space="preserve">6. Catastrophe trigger / circuit breaker.</w:t>
      </w:r>
    </w:p>
    <w:p w:rsidR="00000000" w:rsidDel="00000000" w:rsidP="00000000" w:rsidRDefault="00000000" w:rsidRPr="00000000" w14:paraId="00000261">
      <w:pPr>
        <w:spacing w:after="200" w:lineRule="auto"/>
        <w:rPr/>
      </w:pPr>
      <w:r w:rsidDel="00000000" w:rsidR="00000000" w:rsidRPr="00000000">
        <w:rPr>
          <w:rtl w:val="0"/>
        </w:rPr>
        <w:t xml:space="preserve">Emergency mode activates when (i) claims in 7 days exceed 20% of pool liquidity, (ii) reserve ratio falls below 15%, (iii) oracle detects a certified natural disaster zone, or (iv) claim volume exceeds 3× normal baseline. In emergency mode: new high-risk coverage is paused, claim review tightens, payouts stage, DeFi-deployed funds are recalled, safe-rider rebates are temporarily suspended, and reinsurance/backstop capital is triggered.</w:t>
      </w:r>
    </w:p>
    <w:p w:rsidR="00000000" w:rsidDel="00000000" w:rsidP="00000000" w:rsidRDefault="00000000" w:rsidRPr="00000000" w14:paraId="00000262">
      <w:pPr>
        <w:spacing w:after="200" w:lineRule="auto"/>
        <w:rPr>
          <w:b w:val="1"/>
          <w:bCs w:val="1"/>
        </w:rPr>
      </w:pPr>
      <w:r w:rsidDel="00000000" w:rsidR="00000000" w:rsidRPr="00000000">
        <w:rPr>
          <w:b w:val="1"/>
          <w:bCs w:val="1"/>
          <w:rtl w:val="0"/>
        </w:rPr>
        <w:t xml:space="preserve">7. Conservative DeFi yield rules.</w:t>
      </w:r>
    </w:p>
    <w:p w:rsidR="00000000" w:rsidDel="00000000" w:rsidP="00000000" w:rsidRDefault="00000000" w:rsidRPr="00000000" w14:paraId="00000263">
      <w:pPr>
        <w:spacing w:after="200" w:lineRule="auto"/>
        <w:rPr/>
      </w:pPr>
      <w:r w:rsidDel="00000000" w:rsidR="00000000" w:rsidRPr="00000000">
        <w:rPr>
          <w:rtl w:val="0"/>
        </w:rPr>
        <w:t xml:space="preserve">Only excess reserves can be deployed, capped at 10–15% of total pool, and only into low-risk audited protocols (e.g., blue-chip lending markets). Withdrawable liquidity must remain available at all times.</w:t>
      </w:r>
    </w:p>
    <w:p w:rsidR="00000000" w:rsidDel="00000000" w:rsidP="00000000" w:rsidRDefault="00000000" w:rsidRPr="00000000" w14:paraId="00000264">
      <w:pPr>
        <w:spacing w:after="200" w:lineRule="auto"/>
        <w:rPr>
          <w:b w:val="1"/>
          <w:bCs w:val="1"/>
        </w:rPr>
      </w:pPr>
      <w:r w:rsidDel="00000000" w:rsidR="00000000" w:rsidRPr="00000000">
        <w:rPr>
          <w:b w:val="1"/>
          <w:bCs w:val="1"/>
          <w:rtl w:val="0"/>
        </w:rPr>
        <w:t xml:space="preserve">8. Dynamic premium adjustment after shock.</w:t>
      </w:r>
    </w:p>
    <w:p w:rsidR="00000000" w:rsidDel="00000000" w:rsidP="00000000" w:rsidRDefault="00000000" w:rsidRPr="00000000" w14:paraId="00000265">
      <w:pPr>
        <w:spacing w:after="200" w:lineRule="auto"/>
        <w:rPr/>
      </w:pPr>
      <w:r w:rsidDel="00000000" w:rsidR="00000000" w:rsidRPr="00000000">
        <w:rPr>
          <w:rtl w:val="0"/>
        </w:rPr>
        <w:t xml:space="preserve">After a catastrophic event, premiums adjust upward (typically 10–20% temporary increase) and safe-rider rebates pause to rebuild the pool. Premium adjustments are capped by governance to prevent abrupt rider hardship.</w:t>
      </w:r>
    </w:p>
    <w:p w:rsidR="00000000" w:rsidDel="00000000" w:rsidP="00000000" w:rsidRDefault="00000000" w:rsidRPr="00000000" w14:paraId="00000266">
      <w:pPr>
        <w:spacing w:after="200" w:lineRule="auto"/>
        <w:rPr>
          <w:b w:val="1"/>
          <w:bCs w:val="1"/>
        </w:rPr>
      </w:pPr>
      <w:r w:rsidDel="00000000" w:rsidR="00000000" w:rsidRPr="00000000">
        <w:rPr>
          <w:b w:val="1"/>
          <w:bCs w:val="1"/>
          <w:rtl w:val="0"/>
        </w:rPr>
        <w:t xml:space="preserve">9. Coverage exclusions and caps.</w:t>
      </w:r>
    </w:p>
    <w:p w:rsidR="00000000" w:rsidDel="00000000" w:rsidP="00000000" w:rsidRDefault="00000000" w:rsidRPr="00000000" w14:paraId="00000267">
      <w:pPr>
        <w:spacing w:after="200" w:lineRule="auto"/>
        <w:rPr/>
      </w:pPr>
      <w:r w:rsidDel="00000000" w:rsidR="00000000" w:rsidRPr="00000000">
        <w:rPr>
          <w:rtl w:val="0"/>
        </w:rPr>
        <w:t xml:space="preserve">Covered: normal accidents, theft, verified repair claims, minor weather-related damage. Limited or capped: mass natural disasters, war or civil unrest, government seizure, extreme flood zones, force majeure. Coverage caps under stressed assumptions (Section 5.9): maximum normal claim payout ₩5M; maximum catastrophe payout ₩3M immediate plus staged remainder.</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maypscz17lg4" w:id="23"/>
      <w:bookmarkEnd w:id="23"/>
      <w:r w:rsidDel="00000000" w:rsidR="00000000" w:rsidRPr="00000000">
        <w:rPr>
          <w:b w:val="1"/>
          <w:bCs w:val="1"/>
          <w:color w:val="000000"/>
          <w:sz w:val="26"/>
          <w:szCs w:val="26"/>
          <w:rtl w:val="0"/>
        </w:rPr>
        <w:t xml:space="preserve">6.4 Liquidity Safeguards</w:t>
      </w:r>
    </w:p>
    <w:p w:rsidR="00000000" w:rsidDel="00000000" w:rsidP="00000000" w:rsidRDefault="00000000" w:rsidRPr="00000000" w14:paraId="00000269">
      <w:pPr>
        <w:spacing w:after="200" w:lineRule="auto"/>
        <w:rPr/>
      </w:pPr>
      <w:r w:rsidDel="00000000" w:rsidR="00000000" w:rsidRPr="00000000">
        <w:rPr>
          <w:rtl w:val="0"/>
        </w:rPr>
        <w:t xml:space="preserve">The protocol must ensure withdrawal liquidity for both riders (claim payouts) and LP capital providers (yield distributions and exits). The mechanisms below maintain liquidity even under stress.</w:t>
      </w:r>
    </w:p>
    <w:p w:rsidR="00000000" w:rsidDel="00000000" w:rsidP="00000000" w:rsidRDefault="00000000" w:rsidRPr="00000000" w14:paraId="0000026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25% mandatory liquid reserve floor — pool capital held in immediately accessible USDC, ineligible for DeFi deployment.</w:t>
      </w:r>
    </w:p>
    <w:p w:rsidR="00000000" w:rsidDel="00000000" w:rsidP="00000000" w:rsidRDefault="00000000" w:rsidRPr="00000000" w14:paraId="0000026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Capped DeFi deployment (10–15% of pool) — only into protocols with high-utilization withdrawability and short notice periods.</w:t>
      </w:r>
    </w:p>
    <w:p w:rsidR="00000000" w:rsidDel="00000000" w:rsidP="00000000" w:rsidRDefault="00000000" w:rsidRPr="00000000" w14:paraId="0000026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LP withdrawal notice periods — large LP redemptions (&gt;5% of LP pool in a single redemption) require 30-day advance notice, preventing bank-run dynamics during stress.</w:t>
      </w:r>
    </w:p>
    <w:p w:rsidR="00000000" w:rsidDel="00000000" w:rsidP="00000000" w:rsidRDefault="00000000" w:rsidRPr="00000000" w14:paraId="0000026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 exit queue mechanism — during emergency mode, LP and rider withdrawals enter a timed pro-rata queue rather than first-come-first-served.</w:t>
      </w:r>
    </w:p>
    <w:p w:rsidR="00000000" w:rsidDel="00000000" w:rsidP="00000000" w:rsidRDefault="00000000" w:rsidRPr="00000000" w14:paraId="0000026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Reinsurance backstop — once secured, provides catastrophic liquidity above normal pool capacity for designated extreme events.</w:t>
      </w:r>
    </w:p>
    <w:p w:rsidR="00000000" w:rsidDel="00000000" w:rsidP="00000000" w:rsidRDefault="00000000" w:rsidRPr="00000000" w14:paraId="0000026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Stablecoin diversification — pool capital held across at least two regulated stablecoin issuers (e.g., USDC plus a Korean won-pegged stablecoin where reliably available) to reduce single-issuer dependency.</w:t>
      </w:r>
    </w:p>
    <w:p w:rsidR="00000000" w:rsidDel="00000000" w:rsidP="00000000" w:rsidRDefault="00000000" w:rsidRPr="00000000" w14:paraId="0000027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liquidity dashboard — pool reserves, deployment ratios, claim queue, and exit queue depth published on-chain and via a public dashboard, supporting market discipline.</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jy6848bguqr0" w:id="24"/>
      <w:bookmarkEnd w:id="24"/>
      <w:r w:rsidDel="00000000" w:rsidR="00000000" w:rsidRPr="00000000">
        <w:rPr>
          <w:b w:val="1"/>
          <w:bCs w:val="1"/>
          <w:color w:val="000000"/>
          <w:sz w:val="26"/>
          <w:szCs w:val="26"/>
          <w:rtl w:val="0"/>
        </w:rPr>
        <w:t xml:space="preserve">6.5 Oracle Risk &amp; Data Integrity</w:t>
      </w:r>
    </w:p>
    <w:p w:rsidR="00000000" w:rsidDel="00000000" w:rsidP="00000000" w:rsidRDefault="00000000" w:rsidRPr="00000000" w14:paraId="00000272">
      <w:pPr>
        <w:spacing w:after="200" w:lineRule="auto"/>
        <w:rPr/>
      </w:pPr>
      <w:r w:rsidDel="00000000" w:rsidR="00000000" w:rsidRPr="00000000">
        <w:rPr>
          <w:rtl w:val="0"/>
        </w:rPr>
        <w:t xml:space="preserve">Oracle risk is a major concern because RideTrue depends on real-world information such as repair confirmation, theft reports, accident data, and inspection results. To avoid trusting a single data provider, claims require multi-source verification. A theft claim might require confirmation from a police report, vehicle status registry, and insurer or dealer record. A repair claim might require mechanic submission, invoice evidence, and validator confirmation. The key design principle is not 'use Chainlink' — it is to avoid single-source truth by combining multiple independent data feeds, staking, dispute windows, and stale-data safeguards.</w:t>
      </w:r>
    </w:p>
    <w:p w:rsidR="00000000" w:rsidDel="00000000" w:rsidP="00000000" w:rsidRDefault="00000000" w:rsidRPr="00000000" w14:paraId="00000273">
      <w:pPr>
        <w:spacing w:after="200" w:lineRule="auto"/>
        <w:rPr/>
      </w:pPr>
      <w:r w:rsidDel="00000000" w:rsidR="00000000" w:rsidRPr="00000000">
        <w:rPr>
          <w:rtl w:val="0"/>
        </w:rPr>
        <w:t xml:space="preserve">If oracle data becomes stale or contradictory, smart contracts do not execute automatically. Instead, the protocol enters a verification-pending state: funds remain locked, payouts are delayed, and the claim is escalated to additional validators or decentralized arbitration. For high-value claims, the system requires higher consensus thresholds and longer review periods than low-value claims.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h7mii8ib3rmn" w:id="25"/>
      <w:bookmarkEnd w:id="25"/>
      <w:r w:rsidDel="00000000" w:rsidR="00000000" w:rsidRPr="00000000">
        <w:rPr>
          <w:b w:val="1"/>
          <w:bCs w:val="1"/>
          <w:color w:val="000000"/>
          <w:sz w:val="26"/>
          <w:szCs w:val="26"/>
          <w:rtl w:val="0"/>
        </w:rPr>
        <w:t xml:space="preserve">6.6 Mechanic &amp; Validator Fraud</w:t>
      </w:r>
    </w:p>
    <w:p w:rsidR="00000000" w:rsidDel="00000000" w:rsidP="00000000" w:rsidRDefault="00000000" w:rsidRPr="00000000" w14:paraId="00000275">
      <w:pPr>
        <w:spacing w:after="200" w:lineRule="auto"/>
        <w:rPr/>
      </w:pPr>
      <w:r w:rsidDel="00000000" w:rsidR="00000000" w:rsidRPr="00000000">
        <w:rPr>
          <w:rtl w:val="0"/>
        </w:rPr>
        <w:t xml:space="preserve">Mechanic fraud is mitigated through the layered trust architecture detailed in Section 5.6. Prevention mechanisms (multi-party signing on every entry, hardware-captured telemetry for mileage and other tamper-prone data) eliminate categories of unilateral fraud at the source. Detection mechanisms (a bounty market that rewards third parties for surfacing fraudulent entries, plus trigger-on-monetization re-verification at resale, trade-in, underwriting, and financing) extend fraud discovery beyond the colluding parties and beyond the escrow window. Enforcement mechanisms (tiered staking that scales accountability with influence, risk-tiered escrow with 30–90 day windows, and per-entry stake-at-risk that prevents disposable-account attacks) make detected fraud economically irrational.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00" w:lineRule="auto"/>
        <w:rPr/>
      </w:pPr>
      <w:r w:rsidDel="00000000" w:rsidR="00000000" w:rsidRPr="00000000">
        <w:rPr>
          <w:rtl w:val="0"/>
        </w:rPr>
        <w:t xml:space="preserve"> </w:t>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yfe7bs41l57m" w:id="26"/>
      <w:bookmarkEnd w:id="26"/>
      <w:r w:rsidDel="00000000" w:rsidR="00000000" w:rsidRPr="00000000">
        <w:rPr>
          <w:b w:val="1"/>
          <w:bCs w:val="1"/>
          <w:sz w:val="46"/>
          <w:szCs w:val="46"/>
          <w:rtl w:val="0"/>
        </w:rPr>
        <w:t xml:space="preserve">References</w:t>
      </w:r>
    </w:p>
    <w:p w:rsidR="00000000" w:rsidDel="00000000" w:rsidP="00000000" w:rsidRDefault="00000000" w:rsidRPr="00000000" w14:paraId="00000279">
      <w:pPr>
        <w:spacing w:after="80" w:lineRule="auto"/>
        <w:rPr/>
      </w:pPr>
      <w:r w:rsidDel="00000000" w:rsidR="00000000" w:rsidRPr="00000000">
        <w:rPr>
          <w:rtl w:val="0"/>
        </w:rPr>
        <w:t xml:space="preserve">Akerlof, G. A. (1970). The market for “lemons”: Quality uncertainty and the market mechanism. The Quarterly Journal of Economics, 84(3), 488–500.</w:t>
      </w:r>
    </w:p>
    <w:p w:rsidR="00000000" w:rsidDel="00000000" w:rsidP="00000000" w:rsidRDefault="00000000" w:rsidRPr="00000000" w14:paraId="0000027A">
      <w:pPr>
        <w:spacing w:after="80" w:lineRule="auto"/>
        <w:rPr/>
      </w:pPr>
      <w:r w:rsidDel="00000000" w:rsidR="00000000" w:rsidRPr="00000000">
        <w:rPr>
          <w:rtl w:val="0"/>
        </w:rPr>
        <w:t xml:space="preserve">Organisation for Economic Co-operation and Development. (2018). The use of big data analytics in insurance. OECD Publishing.</w:t>
      </w:r>
    </w:p>
    <w:p w:rsidR="00000000" w:rsidDel="00000000" w:rsidP="00000000" w:rsidRDefault="00000000" w:rsidRPr="00000000" w14:paraId="0000027B">
      <w:pPr>
        <w:spacing w:after="80" w:lineRule="auto"/>
        <w:rPr/>
      </w:pPr>
      <w:r w:rsidDel="00000000" w:rsidR="00000000" w:rsidRPr="00000000">
        <w:rPr>
          <w:rtl w:val="0"/>
        </w:rPr>
        <w:t xml:space="preserve">McKinsey &amp; Company. (2021). Insurance 2030 — The impact of AI on the future of insurance.</w:t>
      </w:r>
    </w:p>
    <w:p w:rsidR="00000000" w:rsidDel="00000000" w:rsidP="00000000" w:rsidRDefault="00000000" w:rsidRPr="00000000" w14:paraId="0000027C">
      <w:pPr>
        <w:spacing w:after="80" w:lineRule="auto"/>
        <w:rPr/>
      </w:pPr>
      <w:r w:rsidDel="00000000" w:rsidR="00000000" w:rsidRPr="00000000">
        <w:rPr>
          <w:rtl w:val="0"/>
        </w:rPr>
        <w:t xml:space="preserve">Statista. (2024). Global motorcycle market size, 2020–2028.</w:t>
      </w:r>
    </w:p>
    <w:p w:rsidR="00000000" w:rsidDel="00000000" w:rsidP="00000000" w:rsidRDefault="00000000" w:rsidRPr="00000000" w14:paraId="0000027D">
      <w:pPr>
        <w:spacing w:after="80" w:lineRule="auto"/>
        <w:rPr/>
      </w:pPr>
      <w:r w:rsidDel="00000000" w:rsidR="00000000" w:rsidRPr="00000000">
        <w:rPr>
          <w:rtl w:val="0"/>
        </w:rPr>
        <w:t xml:space="preserve">Statista. (2024). Global insurance industry market value.</w:t>
      </w:r>
    </w:p>
    <w:p w:rsidR="00000000" w:rsidDel="00000000" w:rsidP="00000000" w:rsidRDefault="00000000" w:rsidRPr="00000000" w14:paraId="0000027E">
      <w:pPr>
        <w:spacing w:after="80" w:lineRule="auto"/>
        <w:rPr/>
      </w:pPr>
      <w:r w:rsidDel="00000000" w:rsidR="00000000" w:rsidRPr="00000000">
        <w:rPr>
          <w:rtl w:val="0"/>
        </w:rPr>
        <w:t xml:space="preserve">Nakamoto, S. (2008). Bitcoin: A peer-to-peer electronic cash system.</w:t>
      </w:r>
    </w:p>
    <w:p w:rsidR="00000000" w:rsidDel="00000000" w:rsidP="00000000" w:rsidRDefault="00000000" w:rsidRPr="00000000" w14:paraId="0000027F">
      <w:pPr>
        <w:spacing w:after="80" w:lineRule="auto"/>
        <w:rPr/>
      </w:pPr>
      <w:r w:rsidDel="00000000" w:rsidR="00000000" w:rsidRPr="00000000">
        <w:rPr>
          <w:rtl w:val="0"/>
        </w:rPr>
        <w:t xml:space="preserve">Buterin, V. (2014). A next-generation smart contract and decentralized application platform.</w:t>
      </w:r>
    </w:p>
    <w:p w:rsidR="00000000" w:rsidDel="00000000" w:rsidP="00000000" w:rsidRDefault="00000000" w:rsidRPr="00000000" w14:paraId="00000280">
      <w:pPr>
        <w:spacing w:after="80" w:lineRule="auto"/>
        <w:rPr/>
      </w:pPr>
      <w:r w:rsidDel="00000000" w:rsidR="00000000" w:rsidRPr="00000000">
        <w:rPr>
          <w:rtl w:val="0"/>
        </w:rPr>
        <w:t xml:space="preserve">Deloitte. (2020). Blockchain and the five vectors of progress.</w:t>
      </w:r>
    </w:p>
    <w:p w:rsidR="00000000" w:rsidDel="00000000" w:rsidP="00000000" w:rsidRDefault="00000000" w:rsidRPr="00000000" w14:paraId="00000281">
      <w:pPr>
        <w:spacing w:after="80" w:lineRule="auto"/>
        <w:rPr/>
      </w:pPr>
      <w:r w:rsidDel="00000000" w:rsidR="00000000" w:rsidRPr="00000000">
        <w:rPr>
          <w:rtl w:val="0"/>
        </w:rPr>
        <w:t xml:space="preserve">Rochet, J.-C., &amp; Tirole, J. (2003). Platform competition in two-sided markets. Journal of the European Economic Association, 1(4), 990–1029.</w:t>
      </w:r>
    </w:p>
    <w:p w:rsidR="00000000" w:rsidDel="00000000" w:rsidP="00000000" w:rsidRDefault="00000000" w:rsidRPr="00000000" w14:paraId="00000282">
      <w:pPr>
        <w:spacing w:after="80" w:lineRule="auto"/>
        <w:rPr/>
      </w:pPr>
      <w:r w:rsidDel="00000000" w:rsidR="00000000" w:rsidRPr="00000000">
        <w:rPr>
          <w:rtl w:val="0"/>
        </w:rPr>
        <w:t xml:space="preserve">Eisenmann, T., Parker, G., &amp; Van Alstyne, M. W. (2006). Strategies for two-sided markets. Harvard Business Review, 84(10), 92–101.</w:t>
      </w:r>
    </w:p>
    <w:p w:rsidR="00000000" w:rsidDel="00000000" w:rsidP="00000000" w:rsidRDefault="00000000" w:rsidRPr="00000000" w14:paraId="00000283">
      <w:pPr>
        <w:spacing w:after="80" w:lineRule="auto"/>
        <w:rPr/>
      </w:pPr>
      <w:r w:rsidDel="00000000" w:rsidR="00000000" w:rsidRPr="00000000">
        <w:rPr>
          <w:rtl w:val="0"/>
        </w:rPr>
        <w:t xml:space="preserve">He, Y., Liu, Y., Li, X., &amp; Wang, X. (2025). Detecting Sybil addresses in blockchain airdrops. arXiv:2505.09313.</w:t>
      </w:r>
    </w:p>
    <w:p w:rsidR="00000000" w:rsidDel="00000000" w:rsidP="00000000" w:rsidRDefault="00000000" w:rsidRPr="00000000" w14:paraId="00000284">
      <w:pPr>
        <w:spacing w:after="80" w:lineRule="auto"/>
        <w:rPr/>
      </w:pPr>
      <w:r w:rsidDel="00000000" w:rsidR="00000000" w:rsidRPr="00000000">
        <w:rPr>
          <w:rtl w:val="0"/>
        </w:rPr>
        <w:t xml:space="preserve">World Economic Forum. (2021). Decentralized finance (DeFi) policy-maker toolkit.</w:t>
      </w:r>
    </w:p>
    <w:p w:rsidR="00000000" w:rsidDel="00000000" w:rsidP="00000000" w:rsidRDefault="00000000" w:rsidRPr="00000000" w14:paraId="00000285">
      <w:pPr>
        <w:spacing w:after="80" w:lineRule="auto"/>
        <w:rPr/>
      </w:pPr>
      <w:r w:rsidDel="00000000" w:rsidR="00000000" w:rsidRPr="00000000">
        <w:rPr>
          <w:rtl w:val="0"/>
        </w:rPr>
        <w:t xml:space="preserve">OpenZeppelin. The security standard for on-chain finance. https://www.openzeppelin.com/</w:t>
      </w:r>
    </w:p>
    <w:p w:rsidR="00000000" w:rsidDel="00000000" w:rsidP="00000000" w:rsidRDefault="00000000" w:rsidRPr="00000000" w14:paraId="00000286">
      <w:pPr>
        <w:spacing w:after="80" w:lineRule="auto"/>
        <w:rPr/>
      </w:pPr>
      <w:r w:rsidDel="00000000" w:rsidR="00000000" w:rsidRPr="00000000">
        <w:rPr>
          <w:rtl w:val="0"/>
        </w:rPr>
        <w:t xml:space="preserve">Chainlink. Data feeds. https://docs.chain.link/data-feeds</w:t>
      </w:r>
    </w:p>
    <w:p w:rsidR="00000000" w:rsidDel="00000000" w:rsidP="00000000" w:rsidRDefault="00000000" w:rsidRPr="00000000" w14:paraId="00000287">
      <w:pPr>
        <w:spacing w:after="80" w:lineRule="auto"/>
        <w:rPr/>
      </w:pPr>
      <w:r w:rsidDel="00000000" w:rsidR="00000000" w:rsidRPr="00000000">
        <w:rPr>
          <w:rtl w:val="0"/>
        </w:rPr>
        <w:t xml:space="preserve">Financial Services Commission, Republic of Korea. Virtual Asset User Protection Act (effective July 2024).</w:t>
      </w:r>
    </w:p>
    <w:p w:rsidR="00000000" w:rsidDel="00000000" w:rsidP="00000000" w:rsidRDefault="00000000" w:rsidRPr="00000000" w14:paraId="00000288">
      <w:pPr>
        <w:spacing w:after="80" w:lineRule="auto"/>
        <w:rPr/>
      </w:pPr>
      <w:r w:rsidDel="00000000" w:rsidR="00000000" w:rsidRPr="00000000">
        <w:rPr>
          <w:rtl w:val="0"/>
        </w:rPr>
        <w:t xml:space="preserve">Financial Supervisory Service, Republic of Korea. Insurance Business Act guidance materials.</w:t>
      </w:r>
    </w:p>
    <w:p w:rsidR="00000000" w:rsidDel="00000000" w:rsidP="00000000" w:rsidRDefault="00000000" w:rsidRPr="00000000" w14:paraId="00000289">
      <w:pPr>
        <w:spacing w:after="80" w:lineRule="auto"/>
        <w:rPr/>
      </w:pPr>
      <w:r w:rsidDel="00000000" w:rsidR="00000000" w:rsidRPr="00000000">
        <w:rPr>
          <w:rtl w:val="0"/>
        </w:rPr>
        <w:t xml:space="preserve">Personal Information Protection Commission, Republic of Korea. Personal Information Protection Act.</w:t>
      </w:r>
    </w:p>
    <w:p w:rsidR="00000000" w:rsidDel="00000000" w:rsidP="00000000" w:rsidRDefault="00000000" w:rsidRPr="00000000" w14:paraId="000002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