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color w:val="1f3a5f"/>
          <w:sz w:val="56"/>
          <w:szCs w:val="56"/>
        </w:rPr>
      </w:pPr>
      <w:r w:rsidDel="00000000" w:rsidR="00000000" w:rsidRPr="00000000">
        <w:rPr>
          <w:b w:val="1"/>
          <w:bCs w:val="1"/>
          <w:color w:val="1f3a5f"/>
          <w:sz w:val="56"/>
          <w:szCs w:val="56"/>
          <w:rtl w:val="0"/>
        </w:rPr>
        <w:t xml:space="preserve">MotoChain &amp; RideTrue</w:t>
      </w:r>
    </w:p>
    <w:p w:rsidR="00000000" w:rsidDel="00000000" w:rsidP="00000000" w:rsidRDefault="00000000" w:rsidRPr="00000000" w14:paraId="00000002">
      <w:pPr>
        <w:spacing w:after="200" w:lineRule="auto"/>
        <w:jc w:val="center"/>
        <w:rPr>
          <w:i w:val="1"/>
          <w:iCs w:val="1"/>
          <w:sz w:val="26"/>
          <w:szCs w:val="26"/>
        </w:rPr>
      </w:pPr>
      <w:r w:rsidDel="00000000" w:rsidR="00000000" w:rsidRPr="00000000">
        <w:rPr>
          <w:i w:val="1"/>
          <w:iCs w:val="1"/>
          <w:sz w:val="26"/>
          <w:szCs w:val="26"/>
          <w:rtl w:val="0"/>
        </w:rPr>
        <w:t xml:space="preserve">A Verifiable Identity &amp; Behavior-Based Insurance Protocol for Motorcycles</w:t>
      </w:r>
    </w:p>
    <w:p w:rsidR="00000000" w:rsidDel="00000000" w:rsidP="00000000" w:rsidRDefault="00000000" w:rsidRPr="00000000" w14:paraId="00000003">
      <w:pPr>
        <w:spacing w:after="200" w:lineRule="auto"/>
        <w:rPr/>
      </w:pPr>
      <w:r w:rsidDel="00000000" w:rsidR="00000000" w:rsidRPr="00000000">
        <w:rPr>
          <w:rtl w:val="0"/>
        </w:rPr>
        <w:t xml:space="preserve"> </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3axxy023s3t9" w:id="0"/>
      <w:bookmarkEnd w:id="0"/>
      <w:r w:rsidDel="00000000" w:rsidR="00000000" w:rsidRPr="00000000">
        <w:rPr>
          <w:b w:val="1"/>
          <w:bCs w:val="1"/>
          <w:sz w:val="46"/>
          <w:szCs w:val="46"/>
          <w:rtl w:val="0"/>
        </w:rPr>
        <w:t xml:space="preserve">I. The Elevator Pitch</w:t>
      </w:r>
    </w:p>
    <w:p w:rsidR="00000000" w:rsidDel="00000000" w:rsidP="00000000" w:rsidRDefault="00000000" w:rsidRPr="00000000" w14:paraId="00000005">
      <w:pPr>
        <w:spacing w:after="200" w:lineRule="auto"/>
        <w:rPr/>
      </w:pPr>
      <w:r w:rsidDel="00000000" w:rsidR="00000000" w:rsidRPr="00000000">
        <w:rPr>
          <w:rtl w:val="0"/>
        </w:rPr>
        <w:t xml:space="preserve">MotoChain and RideTrue are a dual-protocol DeFi system that creates a tamper-proof identity layer for motorcycles and a behavior-based insurance market for riders. MotoChain solves fraud and information asymmetry in the secondhand vehicle market by creating an immutable, verifiable history of each bike, while RideTrue replaces demographic-based insurance pricing with real-time, behavior-driven risk assessment. The core innovation lies in combining on-chain identity, economic incentives, and privacy-preserving data proofs to transform trust-dependent systems into verifiable, self-enforcing markets.</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7ni9myihw8z5" w:id="1"/>
      <w:bookmarkEnd w:id="1"/>
      <w:r w:rsidDel="00000000" w:rsidR="00000000" w:rsidRPr="00000000">
        <w:rPr>
          <w:b w:val="1"/>
          <w:bCs w:val="1"/>
          <w:sz w:val="46"/>
          <w:szCs w:val="46"/>
          <w:rtl w:val="0"/>
        </w:rPr>
        <w:t xml:space="preserve">Mission Statement</w:t>
      </w:r>
    </w:p>
    <w:p w:rsidR="00000000" w:rsidDel="00000000" w:rsidP="00000000" w:rsidRDefault="00000000" w:rsidRPr="00000000" w14:paraId="00000007">
      <w:pPr>
        <w:spacing w:after="200" w:lineRule="auto"/>
        <w:rPr/>
      </w:pPr>
      <w:r w:rsidDel="00000000" w:rsidR="00000000" w:rsidRPr="00000000">
        <w:rPr>
          <w:rtl w:val="0"/>
        </w:rPr>
        <w:t xml:space="preserve">MotoChain and RideTrue aim to eliminate trust-based inefficiencies in real-world markets by replacing them with verifiable, user-owned data and economically enforced truth systems. The long-term vision is to build a decentralized infrastructure for asset identity and risk pricing, where individuals — not institutions — control their history, reputation, and financial outcomes. Starting with motorcycles and rider insurance, the protocol expands toward a broader goal: creating a global, trustless layer for real-world asset verification and behavior-based financial services.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 </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wb9a9fxgngvg" w:id="2"/>
      <w:bookmarkEnd w:id="2"/>
      <w:r w:rsidDel="00000000" w:rsidR="00000000" w:rsidRPr="00000000">
        <w:rPr>
          <w:b w:val="1"/>
          <w:bCs w:val="1"/>
          <w:sz w:val="46"/>
          <w:szCs w:val="46"/>
          <w:rtl w:val="0"/>
        </w:rPr>
        <w:t xml:space="preserve">II. Deep-Dive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60rnu5a1nlk" w:id="3"/>
      <w:bookmarkEnd w:id="3"/>
      <w:r w:rsidDel="00000000" w:rsidR="00000000" w:rsidRPr="00000000">
        <w:rPr>
          <w:b w:val="1"/>
          <w:bCs w:val="1"/>
          <w:sz w:val="34"/>
          <w:szCs w:val="34"/>
          <w:rtl w:val="0"/>
        </w:rPr>
        <w:t xml:space="preserve">1. Comprehensive Problem &amp; Root Cause Analysis</w:t>
      </w:r>
    </w:p>
    <w:p w:rsidR="00000000" w:rsidDel="00000000" w:rsidP="00000000" w:rsidRDefault="00000000" w:rsidRPr="00000000" w14:paraId="0000000C">
      <w:pPr>
        <w:spacing w:after="200" w:lineRule="auto"/>
        <w:rPr/>
      </w:pPr>
      <w:r w:rsidDel="00000000" w:rsidR="00000000" w:rsidRPr="00000000">
        <w:rPr>
          <w:rtl w:val="0"/>
        </w:rPr>
        <w:t xml:space="preserve">The motorcycle resale and insurance markets are both constrained by the same structural limitation: reliance on fragmented, trust-based data controlled by centralized actors. In the secondhand motorcycle market, sellers possess full knowledge of a vehicle's history, while buyers depend on unverifiable claims. Critical information such as accident history, mileage, and maintenance records can be selectively disclosed, altered, or entirely omitted. This creates a classic case of information asymmetry, leading to adverse selection where lower-quality assets dominate the market and overall trust deteriorates. As a result, transaction friction increases, prices become inefficient, and both buyers and honest sellers are penalized.</w:t>
      </w:r>
    </w:p>
    <w:p w:rsidR="00000000" w:rsidDel="00000000" w:rsidP="00000000" w:rsidRDefault="00000000" w:rsidRPr="00000000" w14:paraId="0000000D">
      <w:pPr>
        <w:spacing w:after="200" w:lineRule="auto"/>
        <w:rPr/>
      </w:pPr>
      <w:r w:rsidDel="00000000" w:rsidR="00000000" w:rsidRPr="00000000">
        <w:rPr>
          <w:rtl w:val="0"/>
        </w:rPr>
        <w:t xml:space="preserve">A parallel inefficiency exists in the insurance market, where risk is priced using indirect proxies rather than real behavior. Insurers rely on variables such as age, registration duration, and demographic averages because they lack access to consistent, verifiable behavioral data. This leads to systematic mispricing: safe riders subsidize riskier ones, while pricing models fail to accurately reflect actual exposure. The consequence is not only economic inefficiency but also reduced trust in insurance providers, particularly among younger or experienced riders who are unfairly penalized.</w:t>
      </w:r>
    </w:p>
    <w:p w:rsidR="00000000" w:rsidDel="00000000" w:rsidP="00000000" w:rsidRDefault="00000000" w:rsidRPr="00000000" w14:paraId="0000000E">
      <w:pPr>
        <w:spacing w:after="200" w:lineRule="auto"/>
        <w:rPr/>
      </w:pPr>
      <w:r w:rsidDel="00000000" w:rsidR="00000000" w:rsidRPr="00000000">
        <w:rPr>
          <w:rtl w:val="0"/>
        </w:rPr>
        <w:t xml:space="preserve">At the core, both markets suffer from the absence of a shared, tamper-proof, and portable record of real-world events. Data is siloed across institutions, mutable within centralized systems, and inaccessible across platforms. Users cannot carry their history with them, and no neutral system exists to reconcile conflicting information between stakeholders.</w:t>
      </w:r>
    </w:p>
    <w:p w:rsidR="00000000" w:rsidDel="00000000" w:rsidP="00000000" w:rsidRDefault="00000000" w:rsidRPr="00000000" w14:paraId="0000000F">
      <w:pPr>
        <w:spacing w:after="200" w:lineRule="auto"/>
        <w:rPr/>
      </w:pPr>
      <w:r w:rsidDel="00000000" w:rsidR="00000000" w:rsidRPr="00000000">
        <w:rPr>
          <w:rtl w:val="0"/>
        </w:rPr>
        <w:t xml:space="preserve">The economic scale of this inefficiency is significant. The global motorcycle market exceeds $120 billion annually, with used vehicles representing a substantial share of total transactions. Even conservative estimates suggest that fraud, misrepresentation, and pricing inefficiencies reduce transaction value by 5 to 10 percent. In parallel, the global motorcycle insurance market, valued at over $70 billion, suffers from persistent misallocation of risk. A marginal improvement in pricing accuracy or fraud reduction — on the order of one to two percent — translates into billions of dollars in recoverable economic value.</w:t>
      </w:r>
    </w:p>
    <w:p w:rsidR="00000000" w:rsidDel="00000000" w:rsidP="00000000" w:rsidRDefault="00000000" w:rsidRPr="00000000" w14:paraId="00000010">
      <w:pPr>
        <w:spacing w:after="200" w:lineRule="auto"/>
        <w:rPr/>
      </w:pPr>
      <w:r w:rsidDel="00000000" w:rsidR="00000000" w:rsidRPr="00000000">
        <w:rPr>
          <w:rtl w:val="0"/>
        </w:rPr>
        <w:t xml:space="preserve">Centralized alternatives fail for structural reasons: data-holders have conflicts of interest in monetizing access, competing institutions have little incentive to share, and centralized records remain mutable and selectively disclosable. MotoChain and RideTrue introduce four properties that centralized systems cannot simultaneously guarantee: immutability of records, decentralized validation by independent participants, economic enforcement through staking and slashing, and portable user-owned identity. In this context, blockchain is not an implementation choice but a structural requirement.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jjbnjg89iqai" w:id="4"/>
      <w:bookmarkEnd w:id="4"/>
      <w:r w:rsidDel="00000000" w:rsidR="00000000" w:rsidRPr="00000000">
        <w:rPr>
          <w:b w:val="1"/>
          <w:bCs w:val="1"/>
          <w:sz w:val="34"/>
          <w:szCs w:val="34"/>
          <w:rtl w:val="0"/>
        </w:rPr>
        <w:t xml:space="preserve">2. Technical Architecture &amp; System Logic</w:t>
      </w:r>
    </w:p>
    <w:p w:rsidR="00000000" w:rsidDel="00000000" w:rsidP="00000000" w:rsidRDefault="00000000" w:rsidRPr="00000000" w14:paraId="00000012">
      <w:pPr>
        <w:spacing w:after="200" w:lineRule="auto"/>
        <w:rPr/>
      </w:pPr>
      <w:r w:rsidDel="00000000" w:rsidR="00000000" w:rsidRPr="00000000">
        <w:rPr>
          <w:rtl w:val="0"/>
        </w:rPr>
        <w:t xml:space="preserve">MotoChain and RideTrue are designed as a modular, interoperable system deployed on an Ethereum Layer 2 network — specifically Base — to balance security, cost efficiency, and user accessibility. Base inherits Ethereum's security guarantees while offering significantly lower transaction costs and faster finality, which is critical for a system that requires frequent data writes such as service logs, ownership transfers, and behavioral updates.</w:t>
      </w:r>
    </w:p>
    <w:p w:rsidR="00000000" w:rsidDel="00000000" w:rsidP="00000000" w:rsidRDefault="00000000" w:rsidRPr="00000000" w14:paraId="00000013">
      <w:pPr>
        <w:spacing w:after="200" w:lineRule="auto"/>
        <w:rPr/>
      </w:pPr>
      <w:r w:rsidDel="00000000" w:rsidR="00000000" w:rsidRPr="00000000">
        <w:rPr>
          <w:rtl w:val="0"/>
        </w:rPr>
        <w:t xml:space="preserve">At the core of MotoChain lies a set of smart contracts that manage the lifecycle of a motorcycle's on-chain identity. When a bike enters the system, a VIN-linked identity token is minted, establishing a permanent digital anchor. Ownership is tracked through controlled state transitions rather than simple token transfers, ensuring that title history remains verifiable and structured. Service entries are appended by authorized participants who have staked collateral, with each entry cryptographically signed and permanently recorded. These contracts enforce validation rules at the protocol level, automatically flagging inconsistencies such as non-sequential mileage updates or conflicting service records, thereby embedding data integrity directly into the system logic rather than relying on external enforcement.</w:t>
      </w:r>
    </w:p>
    <w:p w:rsidR="00000000" w:rsidDel="00000000" w:rsidP="00000000" w:rsidRDefault="00000000" w:rsidRPr="00000000" w14:paraId="00000014">
      <w:pPr>
        <w:spacing w:after="200" w:lineRule="auto"/>
        <w:rPr/>
      </w:pPr>
      <w:r w:rsidDel="00000000" w:rsidR="00000000" w:rsidRPr="00000000">
        <w:rPr>
          <w:rtl w:val="0"/>
        </w:rPr>
        <w:t xml:space="preserve">RideTrue operates as a complementary smart contract layer that manages rider identity, behavioral scoring, and pooled insurance capital. Riders interact with the protocol through a mobile interface that collects telematics data, which is processed off-chain into verifiable safety metrics. Instead of transmitting raw data, the system generates zero-knowledge proofs that attest to specific behavioral conditions — such as adherence to speed limits or absence of high-risk braking patterns — without exposing sensitive information. These proofs are submitted on-chain and update the rider's safety score, which directly influences premium calculations and eligibility for rewards.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vobf6olan1p" w:id="5"/>
      <w:bookmarkEnd w:id="5"/>
      <w:r w:rsidDel="00000000" w:rsidR="00000000" w:rsidRPr="00000000">
        <w:rPr>
          <w:b w:val="1"/>
          <w:bCs w:val="1"/>
          <w:color w:val="000000"/>
          <w:sz w:val="26"/>
          <w:szCs w:val="26"/>
          <w:rtl w:val="0"/>
        </w:rPr>
        <w:t xml:space="preserve">2.1 Telematics Integrity &amp; Anti-Spoofing</w:t>
      </w:r>
    </w:p>
    <w:p w:rsidR="00000000" w:rsidDel="00000000" w:rsidP="00000000" w:rsidRDefault="00000000" w:rsidRPr="00000000" w14:paraId="00000016">
      <w:pPr>
        <w:spacing w:after="200" w:lineRule="auto"/>
        <w:rPr/>
      </w:pPr>
      <w:r w:rsidDel="00000000" w:rsidR="00000000" w:rsidRPr="00000000">
        <w:rPr>
          <w:rtl w:val="0"/>
        </w:rPr>
        <w:t xml:space="preserve">A critical consideration in behavior-based scoring is that cryptographic proofs validate computation, not input authenticity. A zero-knowledge proof can confirm that a given input data set leads to a particular safety score, but it cannot, in isolation, prove that the input data reflects real-world riding behavior. Without additional defenses, a malicious user could spoof GPS coordinates, replay a clean ride profile on a stationary device, or fabricate accelerometer data to obtain undeserved premium discounts. RideTrue therefore layers four defenses on top of its ZK-proof attestation system.</w:t>
      </w:r>
    </w:p>
    <w:p w:rsidR="00000000" w:rsidDel="00000000" w:rsidP="00000000" w:rsidRDefault="00000000" w:rsidRPr="00000000" w14:paraId="00000017">
      <w:pPr>
        <w:spacing w:after="200" w:lineRule="auto"/>
        <w:rPr/>
      </w:pPr>
      <w:r w:rsidDel="00000000" w:rsidR="00000000" w:rsidRPr="00000000">
        <w:rPr>
          <w:rtl w:val="0"/>
        </w:rPr>
        <w:t xml:space="preserve">First, hardware attestation: where supported, the mobile client requests platform-level attestation (Android Play Integrity API, iOS DeviceCheck and App Attest) to confirm that data originates from a genuine, uncompromised device running the official application. Second, sensor fusion: behavioral data is reconstructed from multiple uncorrelated sources — GPS, accelerometer, gyroscope, magnetometer, and, where available, motorcycle ECU telemetry via Bluetooth or aftermarket OBD adapters. A spoofer must produce internally consistent data across all sensors, which is materially harder than fabricating a single feed. Third, statistical anomaly detection: the protocol maintains a per-rider behavioral baseline and flags rides that deviate sharply from established patterns, such as physically implausible trajectories, instantaneous position changes, or accelerometer signatures inconsistent with the reported speed profile. Flagged rides are excluded from scoring and trigger optional manual or oracle-based review. Fourth, sampling and challenge mechanics: a randomized subset of rides is subjected to additional verification, including comparison against cellular tower triangulation, third-party traffic data, and where available, paired hardware tokens installed on the motorcycle. Mechanic- or dealer-installed hardware modules that sign telemetry at the source are offered as an optional Verified Rider tier, unlocking deeper premium discounts in exchange for stronger anti-spoofing guarantees.</w:t>
      </w:r>
    </w:p>
    <w:p w:rsidR="00000000" w:rsidDel="00000000" w:rsidP="00000000" w:rsidRDefault="00000000" w:rsidRPr="00000000" w14:paraId="00000018">
      <w:pPr>
        <w:spacing w:after="200" w:lineRule="auto"/>
        <w:rPr/>
      </w:pPr>
      <w:r w:rsidDel="00000000" w:rsidR="00000000" w:rsidRPr="00000000">
        <w:rPr>
          <w:rtl w:val="0"/>
        </w:rPr>
        <w:t xml:space="preserve">These defenses are not absolute. The protocol explicitly acknowledges that no behavior-based system can fully eliminate adversarial spoofing. Instead, the goal is to make spoofing economically irrational by combining (i) detection probability above a threshold that exceeds the expected benefit of fraud, (ii) economic penalties via slashing of a user's deposited collateral if fraud is confirmed, and (iii) tiered trust where larger premium discounts require stronger attestation guarantees.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et6ro6yx8" w:id="6"/>
      <w:bookmarkEnd w:id="6"/>
      <w:r w:rsidDel="00000000" w:rsidR="00000000" w:rsidRPr="00000000">
        <w:rPr>
          <w:b w:val="1"/>
          <w:bCs w:val="1"/>
          <w:color w:val="000000"/>
          <w:sz w:val="26"/>
          <w:szCs w:val="26"/>
          <w:rtl w:val="0"/>
        </w:rPr>
        <w:t xml:space="preserve">2.2 Insurance Pool, Claims &amp; Oracles</w:t>
      </w:r>
    </w:p>
    <w:p w:rsidR="00000000" w:rsidDel="00000000" w:rsidP="00000000" w:rsidRDefault="00000000" w:rsidRPr="00000000" w14:paraId="0000001A">
      <w:pPr>
        <w:spacing w:after="200" w:lineRule="auto"/>
        <w:rPr/>
      </w:pPr>
      <w:r w:rsidDel="00000000" w:rsidR="00000000" w:rsidRPr="00000000">
        <w:rPr>
          <w:rtl w:val="0"/>
        </w:rPr>
        <w:t xml:space="preserve">The lifecycle of a typical transaction within RideTrue begins when a rider connects to the application — ideally through an abstracted wallet interface that removes the need for direct interaction with private keys or gas payments. When contributing to the insurance pool, the rider deposits stablecoins (e.g., USDC) into a smart contract that aggregates capital across participants. Premiums are dynamically adjusted based on the rider's current safety score and overall pool conditions. In the event of a claim, the rider submits a request that triggers a verification process through decentralized oracle networks. These oracles — such as Chainlink or similar providers — aggregate data from multiple real-world sources, including repair shops, insurers, and public records. A consensus mechanism determines the validity of the claim, after which the smart contract executes the payout automatically or routes the claim to a secondary validation layer if discrepancies arise.</w:t>
      </w:r>
    </w:p>
    <w:p w:rsidR="00000000" w:rsidDel="00000000" w:rsidP="00000000" w:rsidRDefault="00000000" w:rsidRPr="00000000" w14:paraId="0000001B">
      <w:pPr>
        <w:spacing w:after="200" w:lineRule="auto"/>
        <w:rPr/>
      </w:pPr>
      <w:r w:rsidDel="00000000" w:rsidR="00000000" w:rsidRPr="00000000">
        <w:rPr>
          <w:rtl w:val="0"/>
        </w:rPr>
        <w:t xml:space="preserve">Oracle integrity is a critical component of the system, as it bridges off-chain reality with on-chain execution. To mitigate the risk of oracle manipulation, MotoChain and RideTrue rely on multi-source aggregation, economic staking, and fallback mechanisms. No single data provider is trusted in isolation; instead, multiple independent oracles must reach consensus before a data point is accepted. If conflicting data is detected or feeds become stale, the system can pause execution or escalate the decision to a decentralized arbitration layer.</w:t>
      </w:r>
    </w:p>
    <w:p w:rsidR="00000000" w:rsidDel="00000000" w:rsidP="00000000" w:rsidRDefault="00000000" w:rsidRPr="00000000" w14:paraId="0000001C">
      <w:pPr>
        <w:spacing w:after="200" w:lineRule="auto"/>
        <w:rPr/>
      </w:pPr>
      <w:r w:rsidDel="00000000" w:rsidR="00000000" w:rsidRPr="00000000">
        <w:rPr>
          <w:rtl w:val="0"/>
        </w:rPr>
        <w:t xml:space="preserve">The protocol is also designed for composability within the broader DeFi ecosystem. Idle capital within the insurance pool can be deployed into established lending protocols such as Aave to generate yield, improving capital efficiency without compromising liquidity requirements. In scenarios involving liquidation or rapid capital rebalancing, integration with decentralized exchanges allows the protocol to access liquidity in real time.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8i45ij3lb8x5" w:id="7"/>
      <w:bookmarkEnd w:id="7"/>
      <w:r w:rsidDel="00000000" w:rsidR="00000000" w:rsidRPr="00000000">
        <w:rPr>
          <w:b w:val="1"/>
          <w:bCs w:val="1"/>
          <w:sz w:val="34"/>
          <w:szCs w:val="34"/>
          <w:rtl w:val="0"/>
        </w:rPr>
        <w:t xml:space="preserve">3. User Experience &amp; Onboarding Framework</w:t>
      </w:r>
    </w:p>
    <w:p w:rsidR="00000000" w:rsidDel="00000000" w:rsidP="00000000" w:rsidRDefault="00000000" w:rsidRPr="00000000" w14:paraId="0000001E">
      <w:pPr>
        <w:spacing w:after="200" w:lineRule="auto"/>
        <w:rPr/>
      </w:pPr>
      <w:r w:rsidDel="00000000" w:rsidR="00000000" w:rsidRPr="00000000">
        <w:rPr>
          <w:rtl w:val="0"/>
        </w:rPr>
        <w:t xml:space="preserve">A critical barrier to adoption in decentralized systems is not technical feasibility but user friction. Traditional DeFi applications require users to manage private keys, understand gas fees, and interact with complex interfaces, creating a steep learning curve that limits adoption to technically sophisticated users. MotoChain and RideTrue are designed with the explicit objective of abstracting this complexity, enabling a user experience comparable to modern mobile applications while preserving the underlying benefits of decentralized infrastructure.</w:t>
      </w:r>
    </w:p>
    <w:p w:rsidR="00000000" w:rsidDel="00000000" w:rsidP="00000000" w:rsidRDefault="00000000" w:rsidRPr="00000000" w14:paraId="0000001F">
      <w:pPr>
        <w:spacing w:after="200" w:lineRule="auto"/>
        <w:rPr/>
      </w:pPr>
      <w:r w:rsidDel="00000000" w:rsidR="00000000" w:rsidRPr="00000000">
        <w:rPr>
          <w:rtl w:val="0"/>
        </w:rPr>
        <w:t xml:space="preserve">To achieve this, the protocol integrates account abstraction mechanisms that allow users to onboard through familiar authentication methods such as email or social login, while wallets are generated and managed seamlessly in the background. This eliminates the need for users to manually handle seed phrases or interact directly with cryptographic signing processes. In parallel, the system supports gas abstraction, whereby transaction fees are either bundled into application-level costs or subsidized by the protocol, ensuring that users do not need to acquire or manage native blockchain tokens to interact with the system.</w:t>
      </w:r>
    </w:p>
    <w:p w:rsidR="00000000" w:rsidDel="00000000" w:rsidP="00000000" w:rsidRDefault="00000000" w:rsidRPr="00000000" w14:paraId="00000020">
      <w:pPr>
        <w:spacing w:after="200" w:lineRule="auto"/>
        <w:rPr/>
      </w:pPr>
      <w:r w:rsidDel="00000000" w:rsidR="00000000" w:rsidRPr="00000000">
        <w:rPr>
          <w:rtl w:val="0"/>
        </w:rPr>
        <w:t xml:space="preserve">The primary user interface is designed as a mobile-first application, reflecting the behavioral patterns of the target market. For riders, the interface centers around a simple dashboard displaying key metrics such as safety score, premium level, and potential savings. Behavioral tracking operates passively in the background, requiring minimal active input from the user. For mechanics, the interface is optimized for speed and simplicity, enabling service entries to be recorded in under thirty seconds through structured forms or QR-based identification of vehicles. Buyers interact with the system through a lightweight verification interface, where scanning a code or entering a vehicle identifier provides immediate access to a complete, verifiable history.</w:t>
      </w:r>
    </w:p>
    <w:p w:rsidR="00000000" w:rsidDel="00000000" w:rsidP="00000000" w:rsidRDefault="00000000" w:rsidRPr="00000000" w14:paraId="00000021">
      <w:pPr>
        <w:spacing w:after="200" w:lineRule="auto"/>
        <w:rPr/>
      </w:pPr>
      <w:r w:rsidDel="00000000" w:rsidR="00000000" w:rsidRPr="00000000">
        <w:rPr>
          <w:rtl w:val="0"/>
        </w:rPr>
        <w:t xml:space="preserve">Long-term retention is driven by a combination of financial incentives and embedded reputation systems. Riders are incentivized to remain active through dynamic premium adjustments and periodic rebates tied to their safety performance. Mechanics and data providers build persistent reputational capital through their contributions, which directly impacts their visibility and attractiveness to customers and dealers.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g9pr5q5fff2c" w:id="8"/>
      <w:bookmarkEnd w:id="8"/>
      <w:r w:rsidDel="00000000" w:rsidR="00000000" w:rsidRPr="00000000">
        <w:rPr>
          <w:b w:val="1"/>
          <w:bCs w:val="1"/>
          <w:sz w:val="34"/>
          <w:szCs w:val="34"/>
          <w:rtl w:val="0"/>
        </w:rPr>
        <w:t xml:space="preserve">4. Target Audience &amp; Customer Acquisition</w:t>
      </w:r>
    </w:p>
    <w:p w:rsidR="00000000" w:rsidDel="00000000" w:rsidP="00000000" w:rsidRDefault="00000000" w:rsidRPr="00000000" w14:paraId="00000023">
      <w:pPr>
        <w:spacing w:after="200" w:lineRule="auto"/>
        <w:rPr/>
      </w:pPr>
      <w:r w:rsidDel="00000000" w:rsidR="00000000" w:rsidRPr="00000000">
        <w:rPr>
          <w:rtl w:val="0"/>
        </w:rPr>
        <w:t xml:space="preserve">MotoChain and RideTrue operate as a multi-sided DeFi marketplace, meaning the protocol must attract both capital providers and end users at the same time. Unlike a simple consumer application, the system only becomes powerful when multiple groups participate: riders provide behavioral data and insurance demand, liquidity providers supply capital to the insurance pool, mechanics and dealers create verified vehicle records, and insurers or lenders consume the data for underwriting.</w:t>
      </w:r>
    </w:p>
    <w:p w:rsidR="00000000" w:rsidDel="00000000" w:rsidP="00000000" w:rsidRDefault="00000000" w:rsidRPr="00000000" w14:paraId="00000024">
      <w:pPr>
        <w:spacing w:after="200" w:lineRule="auto"/>
        <w:rPr/>
      </w:pPr>
      <w:r w:rsidDel="00000000" w:rsidR="00000000" w:rsidRPr="00000000">
        <w:rPr>
          <w:rtl w:val="0"/>
        </w:rPr>
        <w:t xml:space="preserve">On the supply side, the main liquidity providers are riders, DeFi investors, and potentially institutional partners seeking yield from insurance pool participation. Their return comes from a share of protocol fees, conservative DeFi yield on idle capital, and risk-adjusted premiums collected from riders. Unlike unsustainable DeFi projects that attract capital through inflated token emissions, RideTrue's capital supply is supported by real insurance demand.</w:t>
      </w:r>
    </w:p>
    <w:p w:rsidR="00000000" w:rsidDel="00000000" w:rsidP="00000000" w:rsidRDefault="00000000" w:rsidRPr="00000000" w14:paraId="00000025">
      <w:pPr>
        <w:spacing w:after="200" w:lineRule="auto"/>
        <w:rPr/>
      </w:pPr>
      <w:r w:rsidDel="00000000" w:rsidR="00000000" w:rsidRPr="00000000">
        <w:rPr>
          <w:rtl w:val="0"/>
        </w:rPr>
        <w:t xml:space="preserve">On the demand side, the primary users are riders who want fairer insurance pricing and buyers who want trustworthy motorcycle history. For mechanics and dealers, the protocol provides reputational value: verified participation allows them to signal trustworthiness, attract more customers, and differentiate themselves from competitors.</w:t>
      </w:r>
    </w:p>
    <w:p w:rsidR="00000000" w:rsidDel="00000000" w:rsidP="00000000" w:rsidRDefault="00000000" w:rsidRPr="00000000" w14:paraId="00000026">
      <w:pPr>
        <w:spacing w:after="200" w:lineRule="auto"/>
        <w:rPr/>
      </w:pPr>
      <w:r w:rsidDel="00000000" w:rsidR="00000000" w:rsidRPr="00000000">
        <w:rPr>
          <w:rtl w:val="0"/>
        </w:rPr>
        <w:t xml:space="preserve">Customer acquisition should begin with a focused geographic and commercial wedge rather than immediate nationwide expansion. The strongest initial strategy is to launch in Seoul or another dense urban motorcycle market by partnering with a small number of high-volume used motorcycle dealers and trusted repair shops. Dealers are especially important because they control supply and can push adoption downstream. If verified bike histories allow dealers to sell motorcycles faster, at higher prices, and with fewer disputes, they have a direct financial reason to require mechanics to log repairs and maintenance through MotoChain.</w:t>
      </w:r>
    </w:p>
    <w:p w:rsidR="00000000" w:rsidDel="00000000" w:rsidP="00000000" w:rsidRDefault="00000000" w:rsidRPr="00000000" w14:paraId="00000027">
      <w:pPr>
        <w:spacing w:after="200" w:lineRule="auto"/>
        <w:rPr/>
      </w:pPr>
      <w:r w:rsidDel="00000000" w:rsidR="00000000" w:rsidRPr="00000000">
        <w:rPr>
          <w:rtl w:val="0"/>
        </w:rPr>
        <w:t xml:space="preserve">Sybil resistance is essential for any incentive campaign. Instead of distributing rewards simply for wallet creation, MotoChain and RideTrue require proof of real participation: a rider qualifies for incentives only after completing meaningful actions such as registering a real vehicle, maintaining a verified riding record for a minimum period, or contributing to the insurance pool. Mechanics receive rewards only for verified service entries that pass audit and cross-checking rules. Buyers receive discounts or credits based on real paid history checks, not empty account activity.</w:t>
      </w:r>
    </w:p>
    <w:p w:rsidR="00000000" w:rsidDel="00000000" w:rsidP="00000000" w:rsidRDefault="00000000" w:rsidRPr="00000000" w14:paraId="00000028">
      <w:pPr>
        <w:spacing w:after="200" w:lineRule="auto"/>
        <w:rPr/>
      </w:pPr>
      <w:r w:rsidDel="00000000" w:rsidR="00000000" w:rsidRPr="00000000">
        <w:rPr>
          <w:rtl w:val="0"/>
        </w:rPr>
        <w:t xml:space="preserve">B2B partnerships are also central to growth. The protocol will integrate with motorcycle marketplaces, insurance brokers, repair networks, and eventually wallets or fintech applications. A marketplace integration allows listings to display a MotoChain Verified History badge, making the protocol visible at the exact moment buyers are making purchasing decisions. An insurance partnership allows RideTrue scores to be used as an underwriting input, converting behavioral data into immediate financial value.</w:t>
        <w:br w:type="textWrapping"/>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e5fv1fxwoeg" w:id="9"/>
      <w:bookmarkEnd w:id="9"/>
      <w:r w:rsidDel="00000000" w:rsidR="00000000" w:rsidRPr="00000000">
        <w:rPr>
          <w:b w:val="1"/>
          <w:bCs w:val="1"/>
          <w:sz w:val="34"/>
          <w:szCs w:val="34"/>
          <w:rtl w:val="0"/>
        </w:rPr>
        <w:t xml:space="preserve">5. Economic Engineering &amp; Tokenomics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h8vr8mscu4g" w:id="10"/>
      <w:bookmarkEnd w:id="10"/>
      <w:r w:rsidDel="00000000" w:rsidR="00000000" w:rsidRPr="00000000">
        <w:rPr>
          <w:b w:val="1"/>
          <w:bCs w:val="1"/>
          <w:color w:val="000000"/>
          <w:sz w:val="26"/>
          <w:szCs w:val="26"/>
          <w:rtl w:val="0"/>
        </w:rPr>
        <w:t xml:space="preserve">5.1 Core Principle</w:t>
      </w:r>
    </w:p>
    <w:p w:rsidR="00000000" w:rsidDel="00000000" w:rsidP="00000000" w:rsidRDefault="00000000" w:rsidRPr="00000000" w14:paraId="0000002B">
      <w:pPr>
        <w:spacing w:after="200" w:lineRule="auto"/>
        <w:rPr/>
      </w:pPr>
      <w:r w:rsidDel="00000000" w:rsidR="00000000" w:rsidRPr="00000000">
        <w:rPr>
          <w:rtl w:val="0"/>
        </w:rPr>
        <w:t xml:space="preserve">The economic design of MotoChain and RideTrue is built around one core principle: the protocol must generate revenue from real usage, not from speculative token emissions. MotoChain and RideTrue link protocol revenue directly to valuable actions: registering motorcycles, verifying service records, transferring ownership, contributing to insurance pools, accessing verified data, and underwriting real-world rider risk. The token is not the product; the token is an enforcement and coordination tool that supports the larger economic system.</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h64lvpou1dl" w:id="11"/>
      <w:bookmarkEnd w:id="11"/>
      <w:r w:rsidDel="00000000" w:rsidR="00000000" w:rsidRPr="00000000">
        <w:rPr>
          <w:b w:val="1"/>
          <w:bCs w:val="1"/>
          <w:color w:val="000000"/>
          <w:sz w:val="26"/>
          <w:szCs w:val="26"/>
          <w:rtl w:val="0"/>
        </w:rPr>
        <w:t xml:space="preserve">5.2 Revenue Streams</w:t>
      </w:r>
    </w:p>
    <w:p w:rsidR="00000000" w:rsidDel="00000000" w:rsidP="00000000" w:rsidRDefault="00000000" w:rsidRPr="00000000" w14:paraId="0000002D">
      <w:pPr>
        <w:spacing w:after="200" w:lineRule="auto"/>
        <w:rPr/>
      </w:pPr>
      <w:r w:rsidDel="00000000" w:rsidR="00000000" w:rsidRPr="00000000">
        <w:rPr>
          <w:rtl w:val="0"/>
        </w:rPr>
        <w:t xml:space="preserve">The primary revenue engine begins with MotoChain's vehicle identity layer. Each motorcycle entering the system pays a one-time VIN registration fee when its on-chain identity token is created. After registration, every ownership transfer generates a small transaction fee, replacing the trust-heavy and paperwork-based transfer process with a verifiable digital record.</w:t>
      </w:r>
    </w:p>
    <w:p w:rsidR="00000000" w:rsidDel="00000000" w:rsidP="00000000" w:rsidRDefault="00000000" w:rsidRPr="00000000" w14:paraId="0000002E">
      <w:pPr>
        <w:spacing w:after="200" w:lineRule="auto"/>
        <w:rPr/>
      </w:pPr>
      <w:r w:rsidDel="00000000" w:rsidR="00000000" w:rsidRPr="00000000">
        <w:rPr>
          <w:rtl w:val="0"/>
        </w:rPr>
        <w:t xml:space="preserve">RideTrue adds a second revenue engine through the insurance pool. Riders contribute stablecoins, such as USDC, as premium deposits into a smart contract-managed mutual pool. The protocol retains a small percentage of premium contributions as an operating fee, while the majority remains available for claim payouts, reserves, and year-end safe-rider rebates. Premiums are not fixed arbitrarily; they are dynamically adjusted based on each rider's verified behavioral score, claim history, and the liquidity condition of the pool.</w:t>
      </w:r>
    </w:p>
    <w:p w:rsidR="00000000" w:rsidDel="00000000" w:rsidP="00000000" w:rsidRDefault="00000000" w:rsidRPr="00000000" w14:paraId="0000002F">
      <w:pPr>
        <w:spacing w:after="200" w:lineRule="auto"/>
        <w:rPr/>
      </w:pPr>
      <w:r w:rsidDel="00000000" w:rsidR="00000000" w:rsidRPr="00000000">
        <w:rPr>
          <w:rtl w:val="0"/>
        </w:rPr>
        <w:t xml:space="preserve">A third revenue stream comes from verified data access. Insurers, lenders, marketplaces, and dealerships can pay subscription or API fees to access tamper-proof vehicle histories and privacy-preserving rider risk scores. For insurers, RideTrue scores can improve underwriting accuracy. For lenders, MotoChain histories can support motorcycle-backed financing by reducing uncertainty around collateral quality. For marketplaces, verified history badges can increase buyer confidence and transaction completion rates.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1ajo5k54u87" w:id="12"/>
      <w:bookmarkEnd w:id="12"/>
      <w:r w:rsidDel="00000000" w:rsidR="00000000" w:rsidRPr="00000000">
        <w:rPr>
          <w:b w:val="1"/>
          <w:bCs w:val="1"/>
          <w:color w:val="000000"/>
          <w:sz w:val="26"/>
          <w:szCs w:val="26"/>
          <w:rtl w:val="0"/>
        </w:rPr>
        <w:t xml:space="preserve">5.3 Core Financial Assumptions (Seoul Launch)</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2010"/>
        <w:gridCol w:w="2025"/>
        <w:gridCol w:w="2010"/>
        <w:tblGridChange w:id="0">
          <w:tblGrid>
            <w:gridCol w:w="3075"/>
            <w:gridCol w:w="2010"/>
            <w:gridCol w:w="2025"/>
            <w:gridCol w:w="201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Metric</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Year 1</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Year 2</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Year 3</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Registered motorcycles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5,000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25,000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100,000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Active RideTrue riders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2,000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12,000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50,000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Verified mechanics / dealers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500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2,000</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Average monthly rider premium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₩90,000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₩90,000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₩90,000</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Annual insurance pool contributions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₩2.16B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₩12.96B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₩54B</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Modeled claim frequency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8%</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Average claim size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₩1.2M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₩1.2M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₩1.2M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Modeled loss ratio</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~8.9%</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Protocol insurance fee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059">
      <w:pPr>
        <w:spacing w:after="200" w:lineRule="auto"/>
        <w:rPr>
          <w:i w:val="1"/>
          <w:iCs w:val="1"/>
          <w:color w:val="555555"/>
        </w:rPr>
      </w:pPr>
      <w:r w:rsidDel="00000000" w:rsidR="00000000" w:rsidRPr="00000000">
        <w:rPr>
          <w:i w:val="1"/>
          <w:iCs w:val="1"/>
          <w:color w:val="555555"/>
          <w:rtl w:val="0"/>
        </w:rPr>
        <w:t xml:space="preserve">Note on loss ratio: The modeled ~8.9% loss ratio is intentionally conservative at launch. Industry-standard motorcycle insurance loss ratios are typically 55–70%. The protocol prioritizes pool solvency over premium competitiveness during the first 12–24 months while real claim experience is gathered. As actuarial data matures, premiums, coverage limits, and rebate ratios will be re-calibrated through governance to converge toward a target combined ratio aligned with industry norms, with surplus capital returned to riders via rebates and to liquidity providers via yield.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igc3hz508xpp" w:id="13"/>
      <w:bookmarkEnd w:id="13"/>
      <w:r w:rsidDel="00000000" w:rsidR="00000000" w:rsidRPr="00000000">
        <w:rPr>
          <w:b w:val="1"/>
          <w:bCs w:val="1"/>
          <w:color w:val="000000"/>
          <w:sz w:val="26"/>
          <w:szCs w:val="26"/>
          <w:rtl w:val="0"/>
        </w:rPr>
        <w:t xml:space="preserve">5.4 Revenue Stream Detail</w:t>
      </w:r>
    </w:p>
    <w:p w:rsidR="00000000" w:rsidDel="00000000" w:rsidP="00000000" w:rsidRDefault="00000000" w:rsidRPr="00000000" w14:paraId="0000005B">
      <w:pPr>
        <w:spacing w:after="200" w:lineRule="auto"/>
        <w:rPr>
          <w:b w:val="1"/>
          <w:bCs w:val="1"/>
        </w:rPr>
      </w:pPr>
      <w:r w:rsidDel="00000000" w:rsidR="00000000" w:rsidRPr="00000000">
        <w:rPr>
          <w:b w:val="1"/>
          <w:bCs w:val="1"/>
          <w:rtl w:val="0"/>
        </w:rPr>
        <w:t xml:space="preserve">VIN Registration Fees</w:t>
      </w:r>
    </w:p>
    <w:p w:rsidR="00000000" w:rsidDel="00000000" w:rsidP="00000000" w:rsidRDefault="00000000" w:rsidRPr="00000000" w14:paraId="0000005C">
      <w:pPr>
        <w:spacing w:after="200" w:lineRule="auto"/>
        <w:rPr/>
      </w:pPr>
      <w:r w:rsidDel="00000000" w:rsidR="00000000" w:rsidRPr="00000000">
        <w:rPr>
          <w:rtl w:val="0"/>
        </w:rPr>
        <w:t xml:space="preserve">Fee: ₩10,000 per motorcycle, paid by the bike owner, dealer, or first registrant.</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90"/>
        <w:gridCol w:w="1725"/>
        <w:gridCol w:w="2685"/>
        <w:tblGridChange w:id="0">
          <w:tblGrid>
            <w:gridCol w:w="1620"/>
            <w:gridCol w:w="3090"/>
            <w:gridCol w:w="1725"/>
            <w:gridCol w:w="268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Registered Motorcycles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Fee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5,000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25,000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₩250M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100,000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₩1B</w:t>
            </w:r>
          </w:p>
        </w:tc>
      </w:tr>
    </w:tbl>
    <w:p w:rsidR="00000000" w:rsidDel="00000000" w:rsidP="00000000" w:rsidRDefault="00000000" w:rsidRPr="00000000" w14:paraId="0000006D">
      <w:pPr>
        <w:spacing w:after="200" w:lineRule="auto"/>
        <w:rPr>
          <w:b w:val="1"/>
          <w:bCs w:val="1"/>
        </w:rPr>
      </w:pPr>
      <w:r w:rsidDel="00000000" w:rsidR="00000000" w:rsidRPr="00000000">
        <w:rPr>
          <w:b w:val="1"/>
          <w:bCs w:val="1"/>
          <w:rtl w:val="0"/>
        </w:rPr>
        <w:t xml:space="preserve">Ownership Transfer Fees</w:t>
      </w:r>
    </w:p>
    <w:p w:rsidR="00000000" w:rsidDel="00000000" w:rsidP="00000000" w:rsidRDefault="00000000" w:rsidRPr="00000000" w14:paraId="0000006E">
      <w:pPr>
        <w:spacing w:after="200" w:lineRule="auto"/>
        <w:rPr/>
      </w:pPr>
      <w:r w:rsidDel="00000000" w:rsidR="00000000" w:rsidRPr="00000000">
        <w:rPr>
          <w:rtl w:val="0"/>
        </w:rPr>
        <w:t xml:space="preserve">Annual resale/transfer rate: 20% of registered motorcycles. Fee: ₩15,000 per transfer.</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75"/>
        <w:gridCol w:w="2385"/>
        <w:gridCol w:w="2040"/>
        <w:tblGridChange w:id="0">
          <w:tblGrid>
            <w:gridCol w:w="1620"/>
            <w:gridCol w:w="3075"/>
            <w:gridCol w:w="2385"/>
            <w:gridCol w:w="204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70">
            <w:pPr>
              <w:rPr>
                <w:b w:val="1"/>
                <w:bCs w:val="1"/>
                <w:sz w:val="20"/>
                <w:szCs w:val="20"/>
              </w:rPr>
            </w:pPr>
            <w:r w:rsidDel="00000000" w:rsidR="00000000" w:rsidRPr="00000000">
              <w:rPr>
                <w:b w:val="1"/>
                <w:bCs w:val="1"/>
                <w:sz w:val="20"/>
                <w:szCs w:val="20"/>
                <w:rtl w:val="0"/>
              </w:rPr>
              <w:t xml:space="preserve">Registered Motorcycles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Estimated Transfers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5,000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1,000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₩15M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25,000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5,000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₩75M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100,000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20,000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₩300M</w:t>
            </w:r>
          </w:p>
        </w:tc>
      </w:tr>
    </w:tbl>
    <w:p w:rsidR="00000000" w:rsidDel="00000000" w:rsidP="00000000" w:rsidRDefault="00000000" w:rsidRPr="00000000" w14:paraId="0000007F">
      <w:pPr>
        <w:spacing w:after="200" w:lineRule="auto"/>
        <w:rPr>
          <w:b w:val="1"/>
          <w:bCs w:val="1"/>
        </w:rPr>
      </w:pPr>
      <w:r w:rsidDel="00000000" w:rsidR="00000000" w:rsidRPr="00000000">
        <w:rPr>
          <w:b w:val="1"/>
          <w:bCs w:val="1"/>
          <w:rtl w:val="0"/>
        </w:rPr>
        <w:t xml:space="preserve">Verified Service-Entry Marketplace</w:t>
      </w:r>
    </w:p>
    <w:p w:rsidR="00000000" w:rsidDel="00000000" w:rsidP="00000000" w:rsidRDefault="00000000" w:rsidRPr="00000000" w14:paraId="00000080">
      <w:pPr>
        <w:spacing w:after="200" w:lineRule="auto"/>
        <w:rPr/>
      </w:pPr>
      <w:r w:rsidDel="00000000" w:rsidR="00000000" w:rsidRPr="00000000">
        <w:rPr>
          <w:rtl w:val="0"/>
        </w:rPr>
        <w:t xml:space="preserve">Average service records per motorcycle per year: 2. Fee: ₩5,000 per record, paid by owner/dealer/seller (not the mechanic). Fee split: 60% mechanic, 20% validator/oracle, 20% protocol.</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485"/>
        <w:gridCol w:w="1620"/>
        <w:gridCol w:w="1725"/>
        <w:gridCol w:w="1620"/>
        <w:gridCol w:w="1680"/>
        <w:tblGridChange w:id="0">
          <w:tblGrid>
            <w:gridCol w:w="990"/>
            <w:gridCol w:w="1485"/>
            <w:gridCol w:w="1620"/>
            <w:gridCol w:w="1725"/>
            <w:gridCol w:w="1620"/>
            <w:gridCol w:w="1680"/>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Service Entries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Gross Service Fees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Mechanic Rewards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5">
            <w:pPr>
              <w:rPr>
                <w:b w:val="1"/>
                <w:bCs w:val="1"/>
                <w:sz w:val="20"/>
                <w:szCs w:val="20"/>
              </w:rPr>
            </w:pPr>
            <w:r w:rsidDel="00000000" w:rsidR="00000000" w:rsidRPr="00000000">
              <w:rPr>
                <w:b w:val="1"/>
                <w:bCs w:val="1"/>
                <w:sz w:val="20"/>
                <w:szCs w:val="20"/>
                <w:rtl w:val="0"/>
              </w:rPr>
              <w:t xml:space="preserve">Validator Rewards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Protocol 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10,000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₩50M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₩30M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₩10M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₩10M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50,000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₩250M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₩150M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200,000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₩1B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₩600M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₩200M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₩200M</w:t>
            </w:r>
          </w:p>
        </w:tc>
      </w:tr>
    </w:tbl>
    <w:p w:rsidR="00000000" w:rsidDel="00000000" w:rsidP="00000000" w:rsidRDefault="00000000" w:rsidRPr="00000000" w14:paraId="00000099">
      <w:pPr>
        <w:spacing w:after="200" w:lineRule="auto"/>
        <w:rPr>
          <w:b w:val="1"/>
          <w:bCs w:val="1"/>
        </w:rPr>
      </w:pPr>
      <w:r w:rsidDel="00000000" w:rsidR="00000000" w:rsidRPr="00000000">
        <w:rPr>
          <w:b w:val="1"/>
          <w:bCs w:val="1"/>
          <w:rtl w:val="0"/>
        </w:rPr>
        <w:t xml:space="preserve">RideTrue Insurance Pool Fee</w:t>
      </w:r>
    </w:p>
    <w:p w:rsidR="00000000" w:rsidDel="00000000" w:rsidP="00000000" w:rsidRDefault="00000000" w:rsidRPr="00000000" w14:paraId="0000009A">
      <w:pPr>
        <w:spacing w:after="200" w:lineRule="auto"/>
        <w:rPr/>
      </w:pPr>
      <w:r w:rsidDel="00000000" w:rsidR="00000000" w:rsidRPr="00000000">
        <w:rPr>
          <w:rtl w:val="0"/>
        </w:rPr>
        <w:t xml:space="preserve">Protocol fee: 5% of premium contributions. Remainder allocated per Section 5.7.</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785"/>
        <w:gridCol w:w="2685"/>
        <w:gridCol w:w="1650"/>
        <w:gridCol w:w="1665"/>
        <w:tblGridChange w:id="0">
          <w:tblGrid>
            <w:gridCol w:w="1335"/>
            <w:gridCol w:w="1785"/>
            <w:gridCol w:w="2685"/>
            <w:gridCol w:w="1650"/>
            <w:gridCol w:w="1665"/>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Active Riders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D">
            <w:pPr>
              <w:rPr>
                <w:b w:val="1"/>
                <w:bCs w:val="1"/>
                <w:sz w:val="20"/>
                <w:szCs w:val="20"/>
              </w:rPr>
            </w:pPr>
            <w:r w:rsidDel="00000000" w:rsidR="00000000" w:rsidRPr="00000000">
              <w:rPr>
                <w:b w:val="1"/>
                <w:bCs w:val="1"/>
                <w:sz w:val="20"/>
                <w:szCs w:val="20"/>
                <w:rtl w:val="0"/>
              </w:rPr>
              <w:t xml:space="preserve">Annual Pool Contributions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Protocol Fee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9F">
            <w:pPr>
              <w:rPr>
                <w:b w:val="1"/>
                <w:bCs w:val="1"/>
                <w:sz w:val="20"/>
                <w:szCs w:val="20"/>
              </w:rPr>
            </w:pPr>
            <w:r w:rsidDel="00000000" w:rsidR="00000000" w:rsidRPr="00000000">
              <w:rPr>
                <w:b w:val="1"/>
                <w:bCs w:val="1"/>
                <w:sz w:val="20"/>
                <w:szCs w:val="20"/>
                <w:rtl w:val="0"/>
              </w:rPr>
              <w:t xml:space="preserve">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2,000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₩2.16B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₩108M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5">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12,000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₩12.96B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₩648M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50,000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₩54B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₩2.7B</w:t>
            </w:r>
          </w:p>
        </w:tc>
      </w:tr>
    </w:tbl>
    <w:p w:rsidR="00000000" w:rsidDel="00000000" w:rsidP="00000000" w:rsidRDefault="00000000" w:rsidRPr="00000000" w14:paraId="000000AF">
      <w:pPr>
        <w:spacing w:after="200" w:lineRule="auto"/>
        <w:rPr>
          <w:b w:val="1"/>
          <w:bCs w:val="1"/>
        </w:rPr>
      </w:pPr>
      <w:r w:rsidDel="00000000" w:rsidR="00000000" w:rsidRPr="00000000">
        <w:rPr>
          <w:b w:val="1"/>
          <w:bCs w:val="1"/>
          <w:rtl w:val="0"/>
        </w:rPr>
        <w:t xml:space="preserve">Claim Processing Fee</w:t>
      </w:r>
    </w:p>
    <w:p w:rsidR="00000000" w:rsidDel="00000000" w:rsidP="00000000" w:rsidRDefault="00000000" w:rsidRPr="00000000" w14:paraId="000000B0">
      <w:pPr>
        <w:spacing w:after="200" w:lineRule="auto"/>
        <w:rPr/>
      </w:pPr>
      <w:r w:rsidDel="00000000" w:rsidR="00000000" w:rsidRPr="00000000">
        <w:rPr>
          <w:rtl w:val="0"/>
        </w:rPr>
        <w:t xml:space="preserve">Claim-processing fee: 1.5% of claim value. Oracle/validator cost: 0.5%. Net protocol margin: 1%.</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980"/>
        <w:gridCol w:w="2550"/>
        <w:gridCol w:w="2985"/>
        <w:tblGridChange w:id="0">
          <w:tblGrid>
            <w:gridCol w:w="1605"/>
            <w:gridCol w:w="1980"/>
            <w:gridCol w:w="2550"/>
            <w:gridCol w:w="298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B1">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Claims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 xml:space="preserve">Claim Volume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Net Protocol 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160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₩192M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₩1.92M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960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₩1.152B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₩11.52M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4,000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₩4.8B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₩48M</w:t>
            </w:r>
          </w:p>
        </w:tc>
      </w:tr>
    </w:tbl>
    <w:p w:rsidR="00000000" w:rsidDel="00000000" w:rsidP="00000000" w:rsidRDefault="00000000" w:rsidRPr="00000000" w14:paraId="000000C1">
      <w:pPr>
        <w:spacing w:after="200" w:lineRule="auto"/>
        <w:rPr>
          <w:b w:val="1"/>
          <w:bCs w:val="1"/>
        </w:rPr>
      </w:pPr>
      <w:r w:rsidDel="00000000" w:rsidR="00000000" w:rsidRPr="00000000">
        <w:rPr>
          <w:b w:val="1"/>
          <w:bCs w:val="1"/>
          <w:rtl w:val="0"/>
        </w:rPr>
        <w:t xml:space="preserve">API / Data Access Fees</w:t>
      </w:r>
    </w:p>
    <w:p w:rsidR="00000000" w:rsidDel="00000000" w:rsidP="00000000" w:rsidRDefault="00000000" w:rsidRPr="00000000" w14:paraId="000000C2">
      <w:pPr>
        <w:spacing w:after="200" w:lineRule="auto"/>
        <w:rPr/>
      </w:pPr>
      <w:r w:rsidDel="00000000" w:rsidR="00000000" w:rsidRPr="00000000">
        <w:rPr>
          <w:rtl w:val="0"/>
        </w:rPr>
        <w:t xml:space="preserve">Insurers, lenders, marketplaces, and dealers pay subscription fees for access to verified vehicle histories and privacy-preserving rider risk scores. This is the highest-margin long-term revenue stream because data network value compounds as the catalog grows.</w:t>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340"/>
        <w:gridCol w:w="2535"/>
        <w:gridCol w:w="2655"/>
        <w:tblGridChange w:id="0">
          <w:tblGrid>
            <w:gridCol w:w="1605"/>
            <w:gridCol w:w="2340"/>
            <w:gridCol w:w="2535"/>
            <w:gridCol w:w="265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C3">
            <w:pPr>
              <w:rPr>
                <w:b w:val="1"/>
                <w:bCs w:val="1"/>
                <w:sz w:val="20"/>
                <w:szCs w:val="20"/>
              </w:rPr>
            </w:pPr>
            <w:r w:rsidDel="00000000" w:rsidR="00000000" w:rsidRPr="00000000">
              <w:rPr>
                <w:b w:val="1"/>
                <w:bCs w:val="1"/>
                <w:sz w:val="20"/>
                <w:szCs w:val="20"/>
                <w:rtl w:val="0"/>
              </w:rPr>
              <w:t xml:space="preserve">Year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C4">
            <w:pPr>
              <w:rPr>
                <w:b w:val="1"/>
                <w:bCs w:val="1"/>
                <w:sz w:val="20"/>
                <w:szCs w:val="20"/>
              </w:rPr>
            </w:pPr>
            <w:r w:rsidDel="00000000" w:rsidR="00000000" w:rsidRPr="00000000">
              <w:rPr>
                <w:b w:val="1"/>
                <w:bCs w:val="1"/>
                <w:sz w:val="20"/>
                <w:szCs w:val="20"/>
                <w:rtl w:val="0"/>
              </w:rPr>
              <w:t xml:space="preserve">B2B Partners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Avg Monthly Fee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Annual Revenue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7">
            <w:pPr>
              <w:rPr>
                <w:b w:val="1"/>
                <w:bCs w:val="1"/>
                <w:sz w:val="20"/>
                <w:szCs w:val="20"/>
              </w:rPr>
            </w:pPr>
            <w:r w:rsidDel="00000000" w:rsidR="00000000" w:rsidRPr="00000000">
              <w:rPr>
                <w:b w:val="1"/>
                <w:bCs w:val="1"/>
                <w:sz w:val="20"/>
                <w:szCs w:val="20"/>
                <w:rtl w:val="0"/>
              </w:rPr>
              <w:t xml:space="preserve">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₩5M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₩180M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Year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₩7M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₩840M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Year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₩10M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₩3.6B</w:t>
            </w:r>
          </w:p>
        </w:tc>
      </w:tr>
    </w:tbl>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19zagw6ox0s5" w:id="14"/>
      <w:bookmarkEnd w:id="14"/>
      <w:r w:rsidDel="00000000" w:rsidR="00000000" w:rsidRPr="00000000">
        <w:rPr>
          <w:b w:val="1"/>
          <w:bCs w:val="1"/>
          <w:color w:val="000000"/>
          <w:sz w:val="26"/>
          <w:szCs w:val="26"/>
          <w:rtl w:val="0"/>
        </w:rPr>
        <w:t xml:space="preserve">5.5 Token Design (Draft Assumptions)</w:t>
      </w:r>
    </w:p>
    <w:p w:rsidR="00000000" w:rsidDel="00000000" w:rsidP="00000000" w:rsidRDefault="00000000" w:rsidRPr="00000000" w14:paraId="000000D4">
      <w:pPr>
        <w:spacing w:after="200" w:lineRule="auto"/>
        <w:rPr>
          <w:i w:val="1"/>
          <w:iCs w:val="1"/>
          <w:color w:val="555555"/>
        </w:rPr>
      </w:pPr>
      <w:r w:rsidDel="00000000" w:rsidR="00000000" w:rsidRPr="00000000">
        <w:rPr>
          <w:i w:val="1"/>
          <w:iCs w:val="1"/>
          <w:color w:val="555555"/>
          <w:rtl w:val="0"/>
        </w:rPr>
        <w:t xml:space="preserve">The following parameters are draft assumptions for discussion. Final token economics will be set by the foundation in consultation with legal counsel and external token-design advisors, and may differ materially from what is shown here.</w:t>
      </w:r>
    </w:p>
    <w:p w:rsidR="00000000" w:rsidDel="00000000" w:rsidP="00000000" w:rsidRDefault="00000000" w:rsidRPr="00000000" w14:paraId="000000D5">
      <w:pPr>
        <w:spacing w:after="200" w:lineRule="auto"/>
        <w:rPr/>
      </w:pPr>
      <w:r w:rsidDel="00000000" w:rsidR="00000000" w:rsidRPr="00000000">
        <w:rPr>
          <w:rtl w:val="0"/>
        </w:rPr>
        <w:t xml:space="preserve">Working name: $MOTO (placeholder)</w:t>
      </w:r>
    </w:p>
    <w:p w:rsidR="00000000" w:rsidDel="00000000" w:rsidP="00000000" w:rsidRDefault="00000000" w:rsidRPr="00000000" w14:paraId="000000D6">
      <w:pPr>
        <w:spacing w:after="200" w:lineRule="auto"/>
        <w:rPr/>
      </w:pPr>
      <w:r w:rsidDel="00000000" w:rsidR="00000000" w:rsidRPr="00000000">
        <w:rPr>
          <w:rtl w:val="0"/>
        </w:rPr>
        <w:t xml:space="preserve">Network: Base (Ethereum Layer 2)</w:t>
      </w:r>
    </w:p>
    <w:p w:rsidR="00000000" w:rsidDel="00000000" w:rsidP="00000000" w:rsidRDefault="00000000" w:rsidRPr="00000000" w14:paraId="000000D7">
      <w:pPr>
        <w:spacing w:after="200" w:lineRule="auto"/>
        <w:rPr/>
      </w:pPr>
      <w:r w:rsidDel="00000000" w:rsidR="00000000" w:rsidRPr="00000000">
        <w:rPr>
          <w:rtl w:val="0"/>
        </w:rPr>
        <w:t xml:space="preserve">Total supply: 1,000,000,000 tokens — fixed cap, no protocol inflation post-TGE</w:t>
      </w:r>
    </w:p>
    <w:p w:rsidR="00000000" w:rsidDel="00000000" w:rsidP="00000000" w:rsidRDefault="00000000" w:rsidRPr="00000000" w14:paraId="000000D8">
      <w:pPr>
        <w:spacing w:after="200" w:lineRule="auto"/>
        <w:rPr/>
      </w:pPr>
      <w:r w:rsidDel="00000000" w:rsidR="00000000" w:rsidRPr="00000000">
        <w:rPr>
          <w:rtl w:val="0"/>
        </w:rPr>
        <w:t xml:space="preserve">Standard: ERC-20 with governance and staking modules</w:t>
      </w:r>
    </w:p>
    <w:p w:rsidR="00000000" w:rsidDel="00000000" w:rsidP="00000000" w:rsidRDefault="00000000" w:rsidRPr="00000000" w14:paraId="000000D9">
      <w:pPr>
        <w:spacing w:after="200" w:lineRule="auto"/>
        <w:rPr>
          <w:b w:val="1"/>
          <w:bCs w:val="1"/>
        </w:rPr>
      </w:pPr>
      <w:r w:rsidDel="00000000" w:rsidR="00000000" w:rsidRPr="00000000">
        <w:rPr>
          <w:b w:val="1"/>
          <w:bCs w:val="1"/>
          <w:rtl w:val="0"/>
        </w:rPr>
        <w:t xml:space="preserve">Token Allocation</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665"/>
        <w:gridCol w:w="4215"/>
        <w:tblGridChange w:id="0">
          <w:tblGrid>
            <w:gridCol w:w="3240"/>
            <w:gridCol w:w="1665"/>
            <w:gridCol w:w="421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DA">
            <w:pPr>
              <w:rPr>
                <w:b w:val="1"/>
                <w:bCs w:val="1"/>
                <w:sz w:val="20"/>
                <w:szCs w:val="20"/>
              </w:rPr>
            </w:pPr>
            <w:r w:rsidDel="00000000" w:rsidR="00000000" w:rsidRPr="00000000">
              <w:rPr>
                <w:b w:val="1"/>
                <w:bCs w:val="1"/>
                <w:sz w:val="20"/>
                <w:szCs w:val="20"/>
                <w:rtl w:val="0"/>
              </w:rPr>
              <w:t xml:space="preserve">Bucket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DB">
            <w:pPr>
              <w:rPr>
                <w:b w:val="1"/>
                <w:bCs w:val="1"/>
                <w:sz w:val="20"/>
                <w:szCs w:val="20"/>
              </w:rPr>
            </w:pPr>
            <w:r w:rsidDel="00000000" w:rsidR="00000000" w:rsidRPr="00000000">
              <w:rPr>
                <w:b w:val="1"/>
                <w:bCs w:val="1"/>
                <w:sz w:val="20"/>
                <w:szCs w:val="20"/>
                <w:rtl w:val="0"/>
              </w:rPr>
              <w:t xml:space="preserve">Allocation</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0DC">
            <w:pPr>
              <w:rPr>
                <w:b w:val="1"/>
                <w:bCs w:val="1"/>
                <w:sz w:val="20"/>
                <w:szCs w:val="20"/>
              </w:rPr>
            </w:pPr>
            <w:r w:rsidDel="00000000" w:rsidR="00000000" w:rsidRPr="00000000">
              <w:rPr>
                <w:b w:val="1"/>
                <w:bCs w:val="1"/>
                <w:sz w:val="20"/>
                <w:szCs w:val="20"/>
                <w:rtl w:val="0"/>
              </w:rPr>
              <w:t xml:space="preserve">Purpose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D">
            <w:pPr>
              <w:rPr>
                <w:b w:val="1"/>
                <w:bCs w:val="1"/>
                <w:sz w:val="20"/>
                <w:szCs w:val="20"/>
              </w:rPr>
            </w:pPr>
            <w:r w:rsidDel="00000000" w:rsidR="00000000" w:rsidRPr="00000000">
              <w:rPr>
                <w:b w:val="1"/>
                <w:bCs w:val="1"/>
                <w:sz w:val="20"/>
                <w:szCs w:val="20"/>
                <w:rtl w:val="0"/>
              </w:rPr>
              <w:t xml:space="preserve">Community &amp; ecosystem incentives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Mechanic onboarding, rider rewards, dealer partnerships, B2B integration grants</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0">
            <w:pPr>
              <w:rPr>
                <w:b w:val="1"/>
                <w:bCs w:val="1"/>
                <w:sz w:val="20"/>
                <w:szCs w:val="20"/>
              </w:rPr>
            </w:pPr>
            <w:r w:rsidDel="00000000" w:rsidR="00000000" w:rsidRPr="00000000">
              <w:rPr>
                <w:b w:val="1"/>
                <w:bCs w:val="1"/>
                <w:sz w:val="20"/>
                <w:szCs w:val="20"/>
                <w:rtl w:val="0"/>
              </w:rPr>
              <w:t xml:space="preserve">Insurance pool subsidy &amp; safe-rider rewards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Year 1–3 bootstrapping; tapers as real premium revenue grows</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Team &amp; founders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4-year vesting with 1-year cliff</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6">
            <w:pPr>
              <w:rPr>
                <w:b w:val="1"/>
                <w:bCs w:val="1"/>
                <w:sz w:val="20"/>
                <w:szCs w:val="20"/>
              </w:rPr>
            </w:pPr>
            <w:r w:rsidDel="00000000" w:rsidR="00000000" w:rsidRPr="00000000">
              <w:rPr>
                <w:b w:val="1"/>
                <w:bCs w:val="1"/>
                <w:sz w:val="20"/>
                <w:szCs w:val="20"/>
                <w:rtl w:val="0"/>
              </w:rPr>
              <w:t xml:space="preserve">Investors (seed)</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2-year vesting with 6-month cliff</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Investors (private/strategic)</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18-month vesting with 3-month cliff</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C">
            <w:pPr>
              <w:rPr>
                <w:b w:val="1"/>
                <w:bCs w:val="1"/>
                <w:sz w:val="20"/>
                <w:szCs w:val="20"/>
              </w:rPr>
            </w:pPr>
            <w:r w:rsidDel="00000000" w:rsidR="00000000" w:rsidRPr="00000000">
              <w:rPr>
                <w:b w:val="1"/>
                <w:bCs w:val="1"/>
                <w:sz w:val="20"/>
                <w:szCs w:val="20"/>
                <w:rtl w:val="0"/>
              </w:rPr>
              <w:t xml:space="preserve">Treasury / DAO 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Governance-controlled, multi-year unlock</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EF">
            <w:pPr>
              <w:rPr>
                <w:b w:val="1"/>
                <w:bCs w:val="1"/>
                <w:sz w:val="20"/>
                <w:szCs w:val="20"/>
              </w:rPr>
            </w:pPr>
            <w:r w:rsidDel="00000000" w:rsidR="00000000" w:rsidRPr="00000000">
              <w:rPr>
                <w:b w:val="1"/>
                <w:bCs w:val="1"/>
                <w:sz w:val="20"/>
                <w:szCs w:val="20"/>
                <w:rtl w:val="0"/>
              </w:rPr>
              <w:t xml:space="preserve">Liquidity provision</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DEX and CEX market-making; unlocked at TGE</w:t>
            </w:r>
          </w:p>
        </w:tc>
      </w:tr>
    </w:tbl>
    <w:p w:rsidR="00000000" w:rsidDel="00000000" w:rsidP="00000000" w:rsidRDefault="00000000" w:rsidRPr="00000000" w14:paraId="000000F2">
      <w:pPr>
        <w:spacing w:after="200" w:lineRule="auto"/>
        <w:rPr>
          <w:b w:val="1"/>
          <w:bCs w:val="1"/>
        </w:rPr>
      </w:pPr>
      <w:r w:rsidDel="00000000" w:rsidR="00000000" w:rsidRPr="00000000">
        <w:rPr>
          <w:b w:val="1"/>
          <w:bCs w:val="1"/>
          <w:rtl w:val="0"/>
        </w:rPr>
        <w:t xml:space="preserve">Token Utility</w:t>
      </w:r>
    </w:p>
    <w:p w:rsidR="00000000" w:rsidDel="00000000" w:rsidP="00000000" w:rsidRDefault="00000000" w:rsidRPr="00000000" w14:paraId="000000F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Staking &amp; slashing: mechanics, validators, oracle operators, and dealers stake $MOTO to gain write or verification privileges; misbehavior is penalized via slashing.</w:t>
      </w:r>
    </w:p>
    <w:p w:rsidR="00000000" w:rsidDel="00000000" w:rsidP="00000000" w:rsidRDefault="00000000" w:rsidRPr="00000000" w14:paraId="000000F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Governance: token holders vote on protocol parameters (fees, reserve ratios, rebate formulas, treasury deployment, supported integrations).</w:t>
      </w:r>
    </w:p>
    <w:p w:rsidR="00000000" w:rsidDel="00000000" w:rsidP="00000000" w:rsidRDefault="00000000" w:rsidRPr="00000000" w14:paraId="000000F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Reputation gating: tiered staking unlocks higher write limits and reward shares for established mechanics and dealers.</w:t>
      </w:r>
    </w:p>
    <w:p w:rsidR="00000000" w:rsidDel="00000000" w:rsidP="00000000" w:rsidRDefault="00000000" w:rsidRPr="00000000" w14:paraId="000000F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 discounts: select API and registration fees may be paid in $MOTO at a discount, with protocol burning or treasury accrual of received tokens.</w:t>
      </w:r>
    </w:p>
    <w:p w:rsidR="00000000" w:rsidDel="00000000" w:rsidP="00000000" w:rsidRDefault="00000000" w:rsidRPr="00000000" w14:paraId="000000F7">
      <w:pPr>
        <w:spacing w:after="200" w:lineRule="auto"/>
        <w:rPr>
          <w:b w:val="1"/>
          <w:bCs w:val="1"/>
        </w:rPr>
      </w:pPr>
      <w:r w:rsidDel="00000000" w:rsidR="00000000" w:rsidRPr="00000000">
        <w:rPr>
          <w:b w:val="1"/>
          <w:bCs w:val="1"/>
          <w:rtl w:val="0"/>
        </w:rPr>
        <w:t xml:space="preserve">Critical Note on Non-Utility</w:t>
      </w:r>
    </w:p>
    <w:p w:rsidR="00000000" w:rsidDel="00000000" w:rsidP="00000000" w:rsidRDefault="00000000" w:rsidRPr="00000000" w14:paraId="000000F8">
      <w:pPr>
        <w:spacing w:after="200" w:lineRule="auto"/>
        <w:rPr/>
      </w:pPr>
      <w:r w:rsidDel="00000000" w:rsidR="00000000" w:rsidRPr="00000000">
        <w:rPr>
          <w:rtl w:val="0"/>
        </w:rPr>
        <w:t xml:space="preserve">$MOTO is explicitly designed as a utility and governance token. It is not used as a speculative reward engine: insurance pool returns, rider rebates, and protocol revenue distributions are paid in stablecoins, not in $MOTO. This separation is intentional, both to preserve economic discipline and to reduce the risk of securities classification in major jurisdictions (see Section 7).</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7walmw38tp" w:id="15"/>
      <w:bookmarkEnd w:id="15"/>
      <w:r w:rsidDel="00000000" w:rsidR="00000000" w:rsidRPr="00000000">
        <w:rPr>
          <w:b w:val="1"/>
          <w:bCs w:val="1"/>
          <w:color w:val="000000"/>
          <w:sz w:val="26"/>
          <w:szCs w:val="26"/>
          <w:rtl w:val="0"/>
        </w:rPr>
        <w:t xml:space="preserve">5.6 Mechanic Trust: A Layered Defense</w:t>
      </w:r>
    </w:p>
    <w:p w:rsidR="00000000" w:rsidDel="00000000" w:rsidP="00000000" w:rsidRDefault="00000000" w:rsidRPr="00000000" w14:paraId="000000FA">
      <w:pPr>
        <w:spacing w:after="200" w:lineRule="auto"/>
        <w:rPr/>
      </w:pPr>
      <w:r w:rsidDel="00000000" w:rsidR="00000000" w:rsidRPr="00000000">
        <w:rPr>
          <w:rtl w:val="0"/>
        </w:rPr>
        <w:t xml:space="preserve">Mechanic-submitted service records are the foundation of MotoChain's value proposition: without trustworthy entries, the vehicle history layer is no better than a centralized database, and arguably worse because immutability prevents correction of bad data. Designing for trust requires more than punishing fraud after the fact — it requires preventing it where possible, detecting it when it occurs, and enforcing penalties that make detected fraud uneconomic.</w:t>
      </w:r>
    </w:p>
    <w:p w:rsidR="00000000" w:rsidDel="00000000" w:rsidP="00000000" w:rsidRDefault="00000000" w:rsidRPr="00000000" w14:paraId="000000FB">
      <w:pPr>
        <w:spacing w:after="200" w:lineRule="auto"/>
        <w:rPr/>
      </w:pPr>
      <w:r w:rsidDel="00000000" w:rsidR="00000000" w:rsidRPr="00000000">
        <w:rPr>
          <w:rtl w:val="0"/>
        </w:rPr>
        <w:t xml:space="preserve">The protocol implements a three-layer defense: prevention mechanisms that reduce the surface area for fraud, detection mechanisms that surface fraud when it does occur, and enforcement mechanisms that make detected fraud economically irrational. Each layer compensates for the others' weaknesses. The system does not assume mechanics are honest or dishonest by default — it assumes they are rational economic actors who will commit fraud when expected value is positive, and the architecture is designed to keep that expected value negative across all attack vectors.</w:t>
      </w:r>
    </w:p>
    <w:p w:rsidR="00000000" w:rsidDel="00000000" w:rsidP="00000000" w:rsidRDefault="00000000" w:rsidRPr="00000000" w14:paraId="000000FC">
      <w:pPr>
        <w:spacing w:after="80" w:before="160" w:lineRule="auto"/>
        <w:rPr>
          <w:b w:val="1"/>
          <w:bCs w:val="1"/>
          <w:color w:val="1f3a5f"/>
          <w:sz w:val="24"/>
          <w:szCs w:val="24"/>
        </w:rPr>
      </w:pPr>
      <w:r w:rsidDel="00000000" w:rsidR="00000000" w:rsidRPr="00000000">
        <w:rPr>
          <w:b w:val="1"/>
          <w:bCs w:val="1"/>
          <w:color w:val="1f3a5f"/>
          <w:sz w:val="24"/>
          <w:szCs w:val="24"/>
          <w:rtl w:val="0"/>
        </w:rPr>
        <w:t xml:space="preserve">Prevention Layer</w:t>
      </w:r>
    </w:p>
    <w:p w:rsidR="00000000" w:rsidDel="00000000" w:rsidP="00000000" w:rsidRDefault="00000000" w:rsidRPr="00000000" w14:paraId="000000FD">
      <w:pPr>
        <w:spacing w:after="200" w:lineRule="auto"/>
        <w:rPr/>
      </w:pPr>
      <w:r w:rsidDel="00000000" w:rsidR="00000000" w:rsidRPr="00000000">
        <w:rPr>
          <w:b w:val="1"/>
          <w:bCs w:val="1"/>
          <w:rtl w:val="0"/>
        </w:rPr>
        <w:t xml:space="preserve">Multi-party signing on service entries. </w:t>
      </w:r>
      <w:r w:rsidDel="00000000" w:rsidR="00000000" w:rsidRPr="00000000">
        <w:rPr>
          <w:rtl w:val="0"/>
        </w:rPr>
        <w:t xml:space="preserve">Every service record requires cryptographic signatures from both the mechanic (writing the entry) and the bike owner (confirming the work was performed). The owner's signature is collected via the rider app at the time of service, typically through a QR-code handoff at the shop. This mechanism does not prevent collusion between mechanic and owner — both parties may benefit from fabricating a clean history — but it eliminates the entire category of unilateral mechanic fraud: fabricating service for a bike never present at the shop, falsifying mileage without owner consent, or inflating cost without owner agreement. It also creates an evidentiary trail: the owner cannot later disclaim a fraudulent entry they signed.</w:t>
      </w:r>
    </w:p>
    <w:p w:rsidR="00000000" w:rsidDel="00000000" w:rsidP="00000000" w:rsidRDefault="00000000" w:rsidRPr="00000000" w14:paraId="000000FE">
      <w:pPr>
        <w:spacing w:after="200" w:lineRule="auto"/>
        <w:rPr/>
      </w:pPr>
      <w:r w:rsidDel="00000000" w:rsidR="00000000" w:rsidRPr="00000000">
        <w:rPr>
          <w:b w:val="1"/>
          <w:bCs w:val="1"/>
          <w:rtl w:val="0"/>
        </w:rPr>
        <w:t xml:space="preserve">Hardware-captured telemetry for tamper-prone data. </w:t>
      </w:r>
      <w:r w:rsidDel="00000000" w:rsidR="00000000" w:rsidRPr="00000000">
        <w:rPr>
          <w:rtl w:val="0"/>
        </w:rPr>
        <w:t xml:space="preserve">Certain data categories are inherently susceptible to fraud and benefit from removing human discretion entirely. Mileage is the canonical example: odometer rollback is the single largest source of vehicle history fraud globally. The protocol supports optional hardware integrations — OBD-II adapters, paired Bluetooth modules, OEM telematics where available — that automatically read and sign mileage and certain repair-trigger events at the source. Hardware-attested entries are flagged as such in the history record, and the protocol's risk scoring weights them more heavily than purely mechanic-attested entries. Over time, dealers, marketplaces, and insurers can require hardware attestation for high-value verification use cases (resale appraisal, loan underwriting, insurance premium tiering), creating commercial pressure for adoption.</w:t>
      </w:r>
    </w:p>
    <w:p w:rsidR="00000000" w:rsidDel="00000000" w:rsidP="00000000" w:rsidRDefault="00000000" w:rsidRPr="00000000" w14:paraId="000000FF">
      <w:pPr>
        <w:spacing w:after="80" w:before="160" w:lineRule="auto"/>
        <w:rPr>
          <w:b w:val="1"/>
          <w:bCs w:val="1"/>
          <w:color w:val="1f3a5f"/>
          <w:sz w:val="24"/>
          <w:szCs w:val="24"/>
        </w:rPr>
      </w:pPr>
      <w:r w:rsidDel="00000000" w:rsidR="00000000" w:rsidRPr="00000000">
        <w:rPr>
          <w:b w:val="1"/>
          <w:bCs w:val="1"/>
          <w:color w:val="1f3a5f"/>
          <w:sz w:val="24"/>
          <w:szCs w:val="24"/>
          <w:rtl w:val="0"/>
        </w:rPr>
        <w:t xml:space="preserve">Detection Layer</w:t>
      </w:r>
    </w:p>
    <w:p w:rsidR="00000000" w:rsidDel="00000000" w:rsidP="00000000" w:rsidRDefault="00000000" w:rsidRPr="00000000" w14:paraId="00000100">
      <w:pPr>
        <w:spacing w:after="200" w:lineRule="auto"/>
        <w:rPr/>
      </w:pPr>
      <w:r w:rsidDel="00000000" w:rsidR="00000000" w:rsidRPr="00000000">
        <w:rPr>
          <w:b w:val="1"/>
          <w:bCs w:val="1"/>
          <w:rtl w:val="0"/>
        </w:rPr>
        <w:t xml:space="preserve">Bounty market for fraud detection. </w:t>
      </w:r>
      <w:r w:rsidDel="00000000" w:rsidR="00000000" w:rsidRPr="00000000">
        <w:rPr>
          <w:rtl w:val="0"/>
        </w:rPr>
        <w:t xml:space="preserve">Enforcement only fires when fraud is detected, and the parties closest to a falsified entry (the colluding mechanic and bike owner) have no incentive to surface it. The protocol therefore creates an open detection market: any third party — competing mechanics, dealers, downstream buyers, professional auditors, even algorithmic bots — can submit evidence of a fraudulent entry and, if the evidence is verified, receive a share of the slashed stake and clawed-back fee. Bounty share is calibrated to entry value and detection difficulty: simple algorithmic catches (mileage inconsistency, frequency anomalies) earn modest bounties, while substantive evidence (photographic proof a repair was never performed, witness testimony, dealer audit findings) earns larger shares. This converts fraud detection from a cost center into a revenue opportunity, attracting the only category of actor with both capability and incentive to surface collusion: independent third parties.</w:t>
      </w:r>
    </w:p>
    <w:p w:rsidR="00000000" w:rsidDel="00000000" w:rsidP="00000000" w:rsidRDefault="00000000" w:rsidRPr="00000000" w14:paraId="00000101">
      <w:pPr>
        <w:spacing w:after="200" w:lineRule="auto"/>
        <w:rPr/>
      </w:pPr>
      <w:r w:rsidDel="00000000" w:rsidR="00000000" w:rsidRPr="00000000">
        <w:rPr>
          <w:b w:val="1"/>
          <w:bCs w:val="1"/>
          <w:rtl w:val="0"/>
        </w:rPr>
        <w:t xml:space="preserve">Trigger-on-monetization verification. </w:t>
      </w:r>
      <w:r w:rsidDel="00000000" w:rsidR="00000000" w:rsidRPr="00000000">
        <w:rPr>
          <w:rtl w:val="0"/>
        </w:rPr>
        <w:t xml:space="preserve">Most service-history fraud only pays off at a downstream monetization event — resale, trade-in, insurance underwriting, loan origination. The protocol routes a re-verification step at each of these events. When a dealer evaluates a trade-in, an insurer prices a policy, or a financier underwrites a loan, the protocol performs an automated cross-check against external data sources (police records, insurance claim databases, OEM service backends where API access exists, OBD historical reads) and surfaces any inconsistencies discovered since the entries were originally recorded. Discrepancies at this stage trigger retroactive dispute proceedings: the original escrow may have released, but the mechanic's accumulated stake and reputation remain at risk indefinitely. This extends the practical detection window from the 30–90 day escrow period to the entire commercial life of the bike, which is when fraud actually pays off.</w:t>
      </w:r>
    </w:p>
    <w:p w:rsidR="00000000" w:rsidDel="00000000" w:rsidP="00000000" w:rsidRDefault="00000000" w:rsidRPr="00000000" w14:paraId="00000102">
      <w:pPr>
        <w:spacing w:after="80" w:before="160" w:lineRule="auto"/>
        <w:rPr>
          <w:b w:val="1"/>
          <w:bCs w:val="1"/>
          <w:color w:val="1f3a5f"/>
          <w:sz w:val="24"/>
          <w:szCs w:val="24"/>
        </w:rPr>
      </w:pPr>
      <w:r w:rsidDel="00000000" w:rsidR="00000000" w:rsidRPr="00000000">
        <w:rPr>
          <w:b w:val="1"/>
          <w:bCs w:val="1"/>
          <w:color w:val="1f3a5f"/>
          <w:sz w:val="24"/>
          <w:szCs w:val="24"/>
          <w:rtl w:val="0"/>
        </w:rPr>
        <w:t xml:space="preserve">Enforcement Layer</w:t>
      </w:r>
    </w:p>
    <w:p w:rsidR="00000000" w:rsidDel="00000000" w:rsidP="00000000" w:rsidRDefault="00000000" w:rsidRPr="00000000" w14:paraId="00000103">
      <w:pPr>
        <w:spacing w:after="200" w:lineRule="auto"/>
        <w:rPr/>
      </w:pPr>
      <w:r w:rsidDel="00000000" w:rsidR="00000000" w:rsidRPr="00000000">
        <w:rPr>
          <w:b w:val="1"/>
          <w:bCs w:val="1"/>
          <w:rtl w:val="0"/>
        </w:rPr>
        <w:t xml:space="preserve">Tiered staking with reputation unlock. </w:t>
      </w:r>
      <w:r w:rsidDel="00000000" w:rsidR="00000000" w:rsidRPr="00000000">
        <w:rPr>
          <w:rtl w:val="0"/>
        </w:rPr>
        <w:t xml:space="preserve">Mechanics gain write access through a tiered system. The purpose of staking is not to extract rent — it is to scale accountability with influence. A new mechanic begins with a small stake and a low monthly write limit; as their record accumulates without disputes, they unlock higher tiers with larger write capacity, higher fee shares, greater customer-visible reputation, and proportionally larger collateral requirements. By the time a mechanic operates at Tier 4 (institutional partner) volumes, the amount of stake and reputation at risk dwarfs the maximum expected fraud payoff from any single entry. Tiers are not purchased — they are earned through clean operating history, which prevents the buy-your-way-to-credibility attack.</w:t>
      </w:r>
    </w:p>
    <w:tbl>
      <w:tblPr>
        <w:tblStyle w:val="Table9"/>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00"/>
        <w:gridCol w:w="1410"/>
        <w:gridCol w:w="1725"/>
        <w:gridCol w:w="1440"/>
        <w:gridCol w:w="1920"/>
        <w:tblGridChange w:id="0">
          <w:tblGrid>
            <w:gridCol w:w="810"/>
            <w:gridCol w:w="1800"/>
            <w:gridCol w:w="1410"/>
            <w:gridCol w:w="1725"/>
            <w:gridCol w:w="1440"/>
            <w:gridCol w:w="1920"/>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4">
            <w:pPr>
              <w:rPr>
                <w:b w:val="1"/>
                <w:bCs w:val="1"/>
                <w:sz w:val="20"/>
                <w:szCs w:val="20"/>
              </w:rPr>
            </w:pPr>
            <w:r w:rsidDel="00000000" w:rsidR="00000000" w:rsidRPr="00000000">
              <w:rPr>
                <w:b w:val="1"/>
                <w:bCs w:val="1"/>
                <w:sz w:val="20"/>
                <w:szCs w:val="20"/>
                <w:rtl w:val="0"/>
              </w:rPr>
              <w:t xml:space="preserve">Tier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5">
            <w:pPr>
              <w:rPr>
                <w:b w:val="1"/>
                <w:bCs w:val="1"/>
                <w:sz w:val="20"/>
                <w:szCs w:val="20"/>
              </w:rPr>
            </w:pPr>
            <w:r w:rsidDel="00000000" w:rsidR="00000000" w:rsidRPr="00000000">
              <w:rPr>
                <w:b w:val="1"/>
                <w:bCs w:val="1"/>
                <w:sz w:val="20"/>
                <w:szCs w:val="20"/>
                <w:rtl w:val="0"/>
              </w:rPr>
              <w:t xml:space="preserve">Mechanic Type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6">
            <w:pPr>
              <w:rPr>
                <w:b w:val="1"/>
                <w:bCs w:val="1"/>
                <w:sz w:val="20"/>
                <w:szCs w:val="20"/>
              </w:rPr>
            </w:pPr>
            <w:r w:rsidDel="00000000" w:rsidR="00000000" w:rsidRPr="00000000">
              <w:rPr>
                <w:b w:val="1"/>
                <w:bCs w:val="1"/>
                <w:sz w:val="20"/>
                <w:szCs w:val="20"/>
                <w:rtl w:val="0"/>
              </w:rPr>
              <w:t xml:space="preserve">Required Stake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Monthly Write Limit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8">
            <w:pPr>
              <w:rPr>
                <w:b w:val="1"/>
                <w:bCs w:val="1"/>
                <w:sz w:val="20"/>
                <w:szCs w:val="20"/>
              </w:rPr>
            </w:pPr>
            <w:r w:rsidDel="00000000" w:rsidR="00000000" w:rsidRPr="00000000">
              <w:rPr>
                <w:b w:val="1"/>
                <w:bCs w:val="1"/>
                <w:sz w:val="20"/>
                <w:szCs w:val="20"/>
                <w:rtl w:val="0"/>
              </w:rPr>
              <w:t xml:space="preserve">Mechanic Fee Share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09">
            <w:pPr>
              <w:rPr>
                <w:b w:val="1"/>
                <w:bCs w:val="1"/>
                <w:sz w:val="20"/>
                <w:szCs w:val="20"/>
              </w:rPr>
            </w:pPr>
            <w:r w:rsidDel="00000000" w:rsidR="00000000" w:rsidRPr="00000000">
              <w:rPr>
                <w:b w:val="1"/>
                <w:bCs w:val="1"/>
                <w:sz w:val="20"/>
                <w:szCs w:val="20"/>
                <w:rtl w:val="0"/>
              </w:rPr>
              <w:t xml:space="preserve">Reputation Requirement</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A">
            <w:pPr>
              <w:rPr>
                <w:b w:val="1"/>
                <w:bCs w:val="1"/>
                <w:sz w:val="20"/>
                <w:szCs w:val="20"/>
              </w:rPr>
            </w:pPr>
            <w:r w:rsidDel="00000000" w:rsidR="00000000" w:rsidRPr="00000000">
              <w:rPr>
                <w:b w:val="1"/>
                <w:bCs w:val="1"/>
                <w:sz w:val="20"/>
                <w:szCs w:val="20"/>
                <w:rtl w:val="0"/>
              </w:rPr>
              <w:t xml:space="preserve">Tier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New verified mechanic</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₩200K equiv.</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50 entries/month</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Business verified</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0">
            <w:pPr>
              <w:rPr>
                <w:b w:val="1"/>
                <w:bCs w:val="1"/>
                <w:sz w:val="20"/>
                <w:szCs w:val="20"/>
              </w:rPr>
            </w:pPr>
            <w:r w:rsidDel="00000000" w:rsidR="00000000" w:rsidRPr="00000000">
              <w:rPr>
                <w:b w:val="1"/>
                <w:bCs w:val="1"/>
                <w:sz w:val="20"/>
                <w:szCs w:val="20"/>
                <w:rtl w:val="0"/>
              </w:rPr>
              <w:t xml:space="preserve">Tier 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Trusted mechanic</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₩750K equiv.</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200 entries/month</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90+ day clean record</w:t>
            </w:r>
          </w:p>
        </w:tc>
      </w:tr>
      <w:tr>
        <w:trPr>
          <w:cantSplit w:val="0"/>
          <w:trHeight w:val="72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 xml:space="preserve">Tier 3</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Premium mechanic / dealer partner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₩2M equiv.</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1,000 entries/month</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70%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High rating + no disputes</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C">
            <w:pPr>
              <w:rPr>
                <w:b w:val="1"/>
                <w:bCs w:val="1"/>
                <w:sz w:val="20"/>
                <w:szCs w:val="20"/>
              </w:rPr>
            </w:pPr>
            <w:r w:rsidDel="00000000" w:rsidR="00000000" w:rsidRPr="00000000">
              <w:rPr>
                <w:b w:val="1"/>
                <w:bCs w:val="1"/>
                <w:sz w:val="20"/>
                <w:szCs w:val="20"/>
                <w:rtl w:val="0"/>
              </w:rPr>
              <w:t xml:space="preserve">Tier 4</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Institutional repair network</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₩5M+ equiv.</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Custom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70–75%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Audited partner status</w:t>
            </w:r>
          </w:p>
        </w:tc>
      </w:tr>
    </w:tbl>
    <w:p w:rsidR="00000000" w:rsidDel="00000000" w:rsidP="00000000" w:rsidRDefault="00000000" w:rsidRPr="00000000" w14:paraId="00000122">
      <w:pPr>
        <w:spacing w:after="200" w:lineRule="auto"/>
        <w:rPr/>
      </w:pPr>
      <w:r w:rsidDel="00000000" w:rsidR="00000000" w:rsidRPr="00000000">
        <w:rPr>
          <w:b w:val="1"/>
          <w:bCs w:val="1"/>
          <w:rtl w:val="0"/>
        </w:rPr>
        <w:t xml:space="preserve">Risk-tiered escrow and delayed fee release. </w:t>
      </w:r>
      <w:r w:rsidDel="00000000" w:rsidR="00000000" w:rsidRPr="00000000">
        <w:rPr>
          <w:rtl w:val="0"/>
        </w:rPr>
        <w:t xml:space="preserve">Service-entry fees are not released immediately. Each fee enters escrow for a duration calibrated to the entry's fraud risk profile. During the escrow window, any dispute — whether raised by the bike owner, a downstream buyer, a third-party bounty hunter, or surfaced by trigger-on-monetization verification — freezes the fee. If the dispute is upheld, the fee is clawed back and a portion of the mechanic's stake is slashed. The slashed amount is distributed across (i) affected users, (ii) the dispute reporter as bounty, (iii) the protocol treasury, and (iv) the catastrophe reserve.</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100"/>
        <w:gridCol w:w="4170"/>
        <w:tblGridChange w:id="0">
          <w:tblGrid>
            <w:gridCol w:w="2850"/>
            <w:gridCol w:w="2100"/>
            <w:gridCol w:w="417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23">
            <w:pPr>
              <w:rPr>
                <w:b w:val="1"/>
                <w:bCs w:val="1"/>
                <w:sz w:val="20"/>
                <w:szCs w:val="20"/>
              </w:rPr>
            </w:pPr>
            <w:r w:rsidDel="00000000" w:rsidR="00000000" w:rsidRPr="00000000">
              <w:rPr>
                <w:b w:val="1"/>
                <w:bCs w:val="1"/>
                <w:sz w:val="20"/>
                <w:szCs w:val="20"/>
                <w:rtl w:val="0"/>
              </w:rPr>
              <w:t xml:space="preserve">Entry Type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24">
            <w:pPr>
              <w:rPr>
                <w:b w:val="1"/>
                <w:bCs w:val="1"/>
                <w:sz w:val="20"/>
                <w:szCs w:val="20"/>
              </w:rPr>
            </w:pPr>
            <w:r w:rsidDel="00000000" w:rsidR="00000000" w:rsidRPr="00000000">
              <w:rPr>
                <w:b w:val="1"/>
                <w:bCs w:val="1"/>
                <w:sz w:val="20"/>
                <w:szCs w:val="20"/>
                <w:rtl w:val="0"/>
              </w:rPr>
              <w:t xml:space="preserve">Escrow Window</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Reason</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6">
            <w:pPr>
              <w:rPr>
                <w:b w:val="1"/>
                <w:bCs w:val="1"/>
                <w:sz w:val="20"/>
                <w:szCs w:val="20"/>
              </w:rPr>
            </w:pPr>
            <w:r w:rsidDel="00000000" w:rsidR="00000000" w:rsidRPr="00000000">
              <w:rPr>
                <w:b w:val="1"/>
                <w:bCs w:val="1"/>
                <w:sz w:val="20"/>
                <w:szCs w:val="20"/>
                <w:rtl w:val="0"/>
              </w:rPr>
              <w:t xml:space="preserve">Basic maintenance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30 days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Low fraud risk</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9">
            <w:pPr>
              <w:rPr>
                <w:b w:val="1"/>
                <w:bCs w:val="1"/>
                <w:sz w:val="20"/>
                <w:szCs w:val="20"/>
              </w:rPr>
            </w:pPr>
            <w:r w:rsidDel="00000000" w:rsidR="00000000" w:rsidRPr="00000000">
              <w:rPr>
                <w:b w:val="1"/>
                <w:bCs w:val="1"/>
                <w:sz w:val="20"/>
                <w:szCs w:val="20"/>
                <w:rtl w:val="0"/>
              </w:rPr>
              <w:t xml:space="preserve">Mileage update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45 days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Needs consistency check</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C">
            <w:pPr>
              <w:rPr>
                <w:b w:val="1"/>
                <w:bCs w:val="1"/>
                <w:sz w:val="20"/>
                <w:szCs w:val="20"/>
              </w:rPr>
            </w:pPr>
            <w:r w:rsidDel="00000000" w:rsidR="00000000" w:rsidRPr="00000000">
              <w:rPr>
                <w:b w:val="1"/>
                <w:bCs w:val="1"/>
                <w:sz w:val="20"/>
                <w:szCs w:val="20"/>
                <w:rtl w:val="0"/>
              </w:rPr>
              <w:t xml:space="preserve">Major repair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D">
            <w:pPr>
              <w:rPr>
                <w:sz w:val="20"/>
                <w:szCs w:val="20"/>
              </w:rPr>
            </w:pPr>
            <w:r w:rsidDel="00000000" w:rsidR="00000000" w:rsidRPr="00000000">
              <w:rPr>
                <w:sz w:val="20"/>
                <w:szCs w:val="20"/>
                <w:rtl w:val="0"/>
              </w:rPr>
              <w:t xml:space="preserve">60 days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Higher value impact</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2F">
            <w:pPr>
              <w:rPr>
                <w:b w:val="1"/>
                <w:bCs w:val="1"/>
                <w:sz w:val="20"/>
                <w:szCs w:val="20"/>
              </w:rPr>
            </w:pPr>
            <w:r w:rsidDel="00000000" w:rsidR="00000000" w:rsidRPr="00000000">
              <w:rPr>
                <w:b w:val="1"/>
                <w:bCs w:val="1"/>
                <w:sz w:val="20"/>
                <w:szCs w:val="20"/>
                <w:rtl w:val="0"/>
              </w:rPr>
              <w:t xml:space="preserve">Accident-related repair</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0">
            <w:pPr>
              <w:rPr>
                <w:sz w:val="20"/>
                <w:szCs w:val="20"/>
              </w:rPr>
            </w:pPr>
            <w:r w:rsidDel="00000000" w:rsidR="00000000" w:rsidRPr="00000000">
              <w:rPr>
                <w:sz w:val="20"/>
                <w:szCs w:val="20"/>
                <w:rtl w:val="0"/>
              </w:rPr>
              <w:t xml:space="preserve">90 days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Highest fraud/dispute risk</w:t>
            </w:r>
          </w:p>
        </w:tc>
      </w:tr>
    </w:tbl>
    <w:p w:rsidR="00000000" w:rsidDel="00000000" w:rsidP="00000000" w:rsidRDefault="00000000" w:rsidRPr="00000000" w14:paraId="00000132">
      <w:pPr>
        <w:spacing w:after="200" w:lineRule="auto"/>
        <w:rPr/>
      </w:pPr>
      <w:r w:rsidDel="00000000" w:rsidR="00000000" w:rsidRPr="00000000">
        <w:rPr>
          <w:b w:val="1"/>
          <w:bCs w:val="1"/>
          <w:rtl w:val="0"/>
        </w:rPr>
        <w:t xml:space="preserve">Per-entry stake-at-risk. </w:t>
      </w:r>
      <w:r w:rsidDel="00000000" w:rsidR="00000000" w:rsidRPr="00000000">
        <w:rPr>
          <w:rtl w:val="0"/>
        </w:rPr>
        <w:t xml:space="preserve">In addition to the tier-level base stake, a small fraction of stake is dynamically allocated against each open service entry. A mechanic with 50 unresolved escrowed entries has 50 × per-entry stake at risk, not just the tier-level base. This closes the spin-up-cheap-accounts attack: a fraud actor considering large-scale fabrication cannot cap downside at the base stake, because aggregate exposure scales with activity. Per-entry stake-at-risk releases back to the mechanic as each entry's escrow clears without dispute.</w:t>
      </w:r>
    </w:p>
    <w:p w:rsidR="00000000" w:rsidDel="00000000" w:rsidP="00000000" w:rsidRDefault="00000000" w:rsidRPr="00000000" w14:paraId="00000133">
      <w:pPr>
        <w:spacing w:after="200" w:lineRule="auto"/>
        <w:rPr>
          <w:b w:val="1"/>
          <w:bCs w:val="1"/>
        </w:rPr>
      </w:pPr>
      <w:r w:rsidDel="00000000" w:rsidR="00000000" w:rsidRPr="00000000">
        <w:rPr>
          <w:b w:val="1"/>
          <w:bCs w:val="1"/>
          <w:rtl w:val="0"/>
        </w:rPr>
        <w:t xml:space="preserve">Why all three layers are necessary</w:t>
      </w:r>
    </w:p>
    <w:p w:rsidR="00000000" w:rsidDel="00000000" w:rsidP="00000000" w:rsidRDefault="00000000" w:rsidRPr="00000000" w14:paraId="00000134">
      <w:pPr>
        <w:spacing w:after="200" w:lineRule="auto"/>
        <w:rPr/>
      </w:pPr>
      <w:r w:rsidDel="00000000" w:rsidR="00000000" w:rsidRPr="00000000">
        <w:rPr>
          <w:rtl w:val="0"/>
        </w:rPr>
        <w:t xml:space="preserve">Enforcement mechanisms (staking, escrow, per-entry stake) determine the consequence of detected fraud but do nothing to surface it. Detection mechanisms (bounty market, monetization-triggered verification) surface fraud but only matter if enforcement creates real cost. Prevention mechanisms (co-signing, hardware capture) eliminate fraud categories entirely but cannot address every entry type. Each layer's weakness is another layer's strength: the bounty market handles collusion that co-signing cannot prevent; monetization triggers extend the detection window beyond the escrow period; per-entry stake-at-risk prevents disposable-account attacks; hardware capture removes discretion where it most invites abuse. The system acknowledges that no architecture eliminates fraud entirely — but a layered defense raises the cost of successful fraud above the realistic payoff, which is the practical definition of trust-minimization in adversarial environments.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h3j7amntljrh" w:id="16"/>
      <w:bookmarkEnd w:id="16"/>
      <w:r w:rsidDel="00000000" w:rsidR="00000000" w:rsidRPr="00000000">
        <w:rPr>
          <w:b w:val="1"/>
          <w:bCs w:val="1"/>
          <w:color w:val="000000"/>
          <w:sz w:val="26"/>
          <w:szCs w:val="26"/>
          <w:rtl w:val="0"/>
        </w:rPr>
        <w:t xml:space="preserve">5.7 Premium Pool Allocation</w:t>
      </w:r>
    </w:p>
    <w:p w:rsidR="00000000" w:rsidDel="00000000" w:rsidP="00000000" w:rsidRDefault="00000000" w:rsidRPr="00000000" w14:paraId="00000136">
      <w:pPr>
        <w:spacing w:after="200" w:lineRule="auto"/>
        <w:rPr/>
      </w:pPr>
      <w:r w:rsidDel="00000000" w:rsidR="00000000" w:rsidRPr="00000000">
        <w:rPr>
          <w:rtl w:val="0"/>
        </w:rPr>
        <w:t xml:space="preserve">Premium contributions are not treated as free revenue. With a modeled loss ratio of ~9%, the protocol holds a substantial solvency buffer that is allocated across reserves, rebates, conservative yield, and reinsurance. The allocation below is calibrated for launch conditions and will be re-tuned by governance as claim data matures.</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070"/>
        <w:gridCol w:w="3900"/>
        <w:tblGridChange w:id="0">
          <w:tblGrid>
            <w:gridCol w:w="3150"/>
            <w:gridCol w:w="2070"/>
            <w:gridCol w:w="390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37">
            <w:pPr>
              <w:rPr>
                <w:b w:val="1"/>
                <w:bCs w:val="1"/>
                <w:sz w:val="20"/>
                <w:szCs w:val="20"/>
              </w:rPr>
            </w:pPr>
            <w:r w:rsidDel="00000000" w:rsidR="00000000" w:rsidRPr="00000000">
              <w:rPr>
                <w:b w:val="1"/>
                <w:bCs w:val="1"/>
                <w:sz w:val="20"/>
                <w:szCs w:val="20"/>
                <w:rtl w:val="0"/>
              </w:rPr>
              <w:t xml:space="preserve">Allocation</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38">
            <w:pPr>
              <w:rPr>
                <w:b w:val="1"/>
                <w:bCs w:val="1"/>
                <w:sz w:val="20"/>
                <w:szCs w:val="20"/>
              </w:rPr>
            </w:pPr>
            <w:r w:rsidDel="00000000" w:rsidR="00000000" w:rsidRPr="00000000">
              <w:rPr>
                <w:b w:val="1"/>
                <w:bCs w:val="1"/>
                <w:sz w:val="20"/>
                <w:szCs w:val="20"/>
                <w:rtl w:val="0"/>
              </w:rPr>
              <w:t xml:space="preserve">% of Premium Pool</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39">
            <w:pPr>
              <w:rPr>
                <w:b w:val="1"/>
                <w:bCs w:val="1"/>
                <w:sz w:val="20"/>
                <w:szCs w:val="20"/>
              </w:rPr>
            </w:pPr>
            <w:r w:rsidDel="00000000" w:rsidR="00000000" w:rsidRPr="00000000">
              <w:rPr>
                <w:b w:val="1"/>
                <w:bCs w:val="1"/>
                <w:sz w:val="20"/>
                <w:szCs w:val="20"/>
                <w:rtl w:val="0"/>
              </w:rPr>
              <w:t xml:space="preserve">Purpose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3A">
            <w:pPr>
              <w:rPr>
                <w:b w:val="1"/>
                <w:bCs w:val="1"/>
                <w:sz w:val="20"/>
                <w:szCs w:val="20"/>
              </w:rPr>
            </w:pPr>
            <w:r w:rsidDel="00000000" w:rsidR="00000000" w:rsidRPr="00000000">
              <w:rPr>
                <w:b w:val="1"/>
                <w:bCs w:val="1"/>
                <w:sz w:val="20"/>
                <w:szCs w:val="20"/>
                <w:rtl w:val="0"/>
              </w:rPr>
              <w:t xml:space="preserve">Expected claims (loss + buffer)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Pays approved claims; buffer above ~9% modeled loss ratio</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D">
            <w:pPr>
              <w:rPr>
                <w:b w:val="1"/>
                <w:bCs w:val="1"/>
                <w:sz w:val="20"/>
                <w:szCs w:val="20"/>
              </w:rPr>
            </w:pPr>
            <w:r w:rsidDel="00000000" w:rsidR="00000000" w:rsidRPr="00000000">
              <w:rPr>
                <w:b w:val="1"/>
                <w:bCs w:val="1"/>
                <w:sz w:val="20"/>
                <w:szCs w:val="20"/>
                <w:rtl w:val="0"/>
              </w:rPr>
              <w:t xml:space="preserve">Liquidity 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Immediate, liquid claim coverage</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0">
            <w:pPr>
              <w:rPr>
                <w:b w:val="1"/>
                <w:bCs w:val="1"/>
                <w:sz w:val="20"/>
                <w:szCs w:val="20"/>
              </w:rPr>
            </w:pPr>
            <w:r w:rsidDel="00000000" w:rsidR="00000000" w:rsidRPr="00000000">
              <w:rPr>
                <w:b w:val="1"/>
                <w:bCs w:val="1"/>
                <w:sz w:val="20"/>
                <w:szCs w:val="20"/>
                <w:rtl w:val="0"/>
              </w:rPr>
              <w:t xml:space="preserve">Catastrophe reserve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Typhoon, flood, mass-event payouts</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3">
            <w:pPr>
              <w:rPr>
                <w:b w:val="1"/>
                <w:bCs w:val="1"/>
                <w:sz w:val="20"/>
                <w:szCs w:val="20"/>
              </w:rPr>
            </w:pPr>
            <w:r w:rsidDel="00000000" w:rsidR="00000000" w:rsidRPr="00000000">
              <w:rPr>
                <w:b w:val="1"/>
                <w:bCs w:val="1"/>
                <w:sz w:val="20"/>
                <w:szCs w:val="20"/>
                <w:rtl w:val="0"/>
              </w:rPr>
              <w:t xml:space="preserve">Reinsurance premium budget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Pays external backstop (see Section 9)</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6">
            <w:pPr>
              <w:rPr>
                <w:b w:val="1"/>
                <w:bCs w:val="1"/>
                <w:sz w:val="20"/>
                <w:szCs w:val="20"/>
              </w:rPr>
            </w:pPr>
            <w:r w:rsidDel="00000000" w:rsidR="00000000" w:rsidRPr="00000000">
              <w:rPr>
                <w:b w:val="1"/>
                <w:bCs w:val="1"/>
                <w:sz w:val="20"/>
                <w:szCs w:val="20"/>
                <w:rtl w:val="0"/>
              </w:rPr>
              <w:t xml:space="preserve">Safe-rider rebates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Annual or quarterly returns to low-risk riders</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9">
            <w:pPr>
              <w:rPr>
                <w:b w:val="1"/>
                <w:bCs w:val="1"/>
                <w:sz w:val="20"/>
                <w:szCs w:val="20"/>
              </w:rPr>
            </w:pPr>
            <w:r w:rsidDel="00000000" w:rsidR="00000000" w:rsidRPr="00000000">
              <w:rPr>
                <w:b w:val="1"/>
                <w:bCs w:val="1"/>
                <w:sz w:val="20"/>
                <w:szCs w:val="20"/>
                <w:rtl w:val="0"/>
              </w:rPr>
              <w:t xml:space="preserve">Protocol fee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Operating revenue</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C">
            <w:pPr>
              <w:rPr>
                <w:b w:val="1"/>
                <w:bCs w:val="1"/>
                <w:sz w:val="20"/>
                <w:szCs w:val="20"/>
              </w:rPr>
            </w:pPr>
            <w:r w:rsidDel="00000000" w:rsidR="00000000" w:rsidRPr="00000000">
              <w:rPr>
                <w:b w:val="1"/>
                <w:bCs w:val="1"/>
                <w:sz w:val="20"/>
                <w:szCs w:val="20"/>
                <w:rtl w:val="0"/>
              </w:rPr>
              <w:t xml:space="preserve">Treasury reserve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4E">
            <w:pPr>
              <w:rPr>
                <w:sz w:val="20"/>
                <w:szCs w:val="20"/>
              </w:rPr>
            </w:pPr>
            <w:r w:rsidDel="00000000" w:rsidR="00000000" w:rsidRPr="00000000">
              <w:rPr>
                <w:sz w:val="20"/>
                <w:szCs w:val="20"/>
                <w:rtl w:val="0"/>
              </w:rPr>
              <w:t xml:space="preserve">Operational runway, governance discretion</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4F">
            <w:pPr>
              <w:rPr>
                <w:b w:val="1"/>
                <w:bCs w:val="1"/>
                <w:sz w:val="20"/>
                <w:szCs w:val="20"/>
              </w:rPr>
            </w:pPr>
            <w:r w:rsidDel="00000000" w:rsidR="00000000" w:rsidRPr="00000000">
              <w:rPr>
                <w:b w:val="1"/>
                <w:bCs w:val="1"/>
                <w:sz w:val="20"/>
                <w:szCs w:val="20"/>
                <w:rtl w:val="0"/>
              </w:rPr>
              <w:t xml:space="preserve">DeFi yield deployment cap</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50">
            <w:pPr>
              <w:rPr>
                <w:sz w:val="20"/>
                <w:szCs w:val="20"/>
              </w:rPr>
            </w:pPr>
            <w:r w:rsidDel="00000000" w:rsidR="00000000" w:rsidRPr="00000000">
              <w:rPr>
                <w:sz w:val="20"/>
                <w:szCs w:val="20"/>
                <w:rtl w:val="0"/>
              </w:rPr>
              <w:t xml:space="preserve">Up to 10% of excess reserves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Conservative deployment in Aave / Compound; supplements returns</w:t>
            </w:r>
          </w:p>
        </w:tc>
      </w:tr>
    </w:tbl>
    <w:p w:rsidR="00000000" w:rsidDel="00000000" w:rsidP="00000000" w:rsidRDefault="00000000" w:rsidRPr="00000000" w14:paraId="00000152">
      <w:pPr>
        <w:spacing w:after="200" w:lineRule="auto"/>
        <w:rPr>
          <w:i w:val="1"/>
          <w:iCs w:val="1"/>
          <w:color w:val="555555"/>
        </w:rPr>
      </w:pPr>
      <w:r w:rsidDel="00000000" w:rsidR="00000000" w:rsidRPr="00000000">
        <w:rPr>
          <w:i w:val="1"/>
          <w:iCs w:val="1"/>
          <w:color w:val="555555"/>
          <w:rtl w:val="0"/>
        </w:rPr>
        <w:t xml:space="preserve">The 'DeFi yield deployment cap' is a ceiling, not a target allocation. Insurance capital is not speculative capital; only excess reserves above the liquidity and catastrophe floors are eligible for yield deployment.</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wpo5okmrzgme" w:id="17"/>
      <w:bookmarkEnd w:id="17"/>
      <w:r w:rsidDel="00000000" w:rsidR="00000000" w:rsidRPr="00000000">
        <w:rPr>
          <w:b w:val="1"/>
          <w:bCs w:val="1"/>
          <w:color w:val="000000"/>
          <w:sz w:val="26"/>
          <w:szCs w:val="26"/>
          <w:rtl w:val="0"/>
        </w:rPr>
        <w:t xml:space="preserve">5.8 Currency &amp; FX Considerations</w:t>
      </w:r>
    </w:p>
    <w:p w:rsidR="00000000" w:rsidDel="00000000" w:rsidP="00000000" w:rsidRDefault="00000000" w:rsidRPr="00000000" w14:paraId="00000154">
      <w:pPr>
        <w:spacing w:after="200" w:lineRule="auto"/>
        <w:rPr/>
      </w:pPr>
      <w:r w:rsidDel="00000000" w:rsidR="00000000" w:rsidRPr="00000000">
        <w:rPr>
          <w:rtl w:val="0"/>
        </w:rPr>
        <w:t xml:space="preserve">Premiums are denominated in Korean won (₩) for rider-facing pricing, but pool contributions and on-chain balances are held in USDC. This creates a structural FX exposure: a KRW depreciation against USD would reduce the local purchasing power of pool reserves; an appreciation would increase liability coverage but reduce realized yield in won terms. The protocol manages this through (i) maintaining a portion of reserves in KRW-pegged stablecoins where reliably available, (ii) tracking a USD-equivalent reserve ratio in addition to the KRW-denominated ratio, and (iii) restricting yield deployment when FX volatility exceeds defined governance thresholds. Hedging strategies are not used at launch but may be reviewed once pool size warrants the operational cost.</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xx232aq6lcii" w:id="18"/>
      <w:bookmarkEnd w:id="18"/>
      <w:r w:rsidDel="00000000" w:rsidR="00000000" w:rsidRPr="00000000">
        <w:rPr>
          <w:b w:val="1"/>
          <w:bCs w:val="1"/>
          <w:color w:val="000000"/>
          <w:sz w:val="26"/>
          <w:szCs w:val="26"/>
          <w:rtl w:val="0"/>
        </w:rPr>
        <w:t xml:space="preserve">5.9 Stress-Tested Financial Model</w:t>
      </w:r>
    </w:p>
    <w:p w:rsidR="00000000" w:rsidDel="00000000" w:rsidP="00000000" w:rsidRDefault="00000000" w:rsidRPr="00000000" w14:paraId="00000156">
      <w:pPr>
        <w:spacing w:after="200" w:lineRule="auto"/>
        <w:rPr/>
      </w:pPr>
      <w:r w:rsidDel="00000000" w:rsidR="00000000" w:rsidRPr="00000000">
        <w:rPr>
          <w:rtl w:val="0"/>
        </w:rPr>
        <w:t xml:space="preserve">The model in Section 5.3 is calibrated for the protocol's expected baseline scenario. A serious investor will reasonably ask: what does the model look like under industry-realistic claim parameters, with explicit operating costs, and with an honest plan for non-premium capital? This section provides that view. The numbers below are deliberately more conservative than the baseline; they are not 'the' model — they are a stress case used to establish that the protocol remains commercially viable under unfavorable assumptions, and to expose the variables that would break the model if they moved further.</w:t>
      </w:r>
    </w:p>
    <w:p w:rsidR="00000000" w:rsidDel="00000000" w:rsidP="00000000" w:rsidRDefault="00000000" w:rsidRPr="00000000" w14:paraId="00000157">
      <w:pPr>
        <w:spacing w:after="200" w:lineRule="auto"/>
        <w:rPr>
          <w:b w:val="1"/>
          <w:bCs w:val="1"/>
        </w:rPr>
      </w:pPr>
      <w:r w:rsidDel="00000000" w:rsidR="00000000" w:rsidRPr="00000000">
        <w:rPr>
          <w:b w:val="1"/>
          <w:bCs w:val="1"/>
          <w:rtl w:val="0"/>
        </w:rPr>
        <w:t xml:space="preserve">Stressed claim parameters</w:t>
      </w:r>
    </w:p>
    <w:p w:rsidR="00000000" w:rsidDel="00000000" w:rsidP="00000000" w:rsidRDefault="00000000" w:rsidRPr="00000000" w14:paraId="00000158">
      <w:pPr>
        <w:spacing w:after="200" w:lineRule="auto"/>
        <w:rPr/>
      </w:pPr>
      <w:r w:rsidDel="00000000" w:rsidR="00000000" w:rsidRPr="00000000">
        <w:rPr>
          <w:rtl w:val="0"/>
        </w:rPr>
        <w:t xml:space="preserve">Korean motorcycle claim data, particularly for delivery-rider portfolios, suggests the Section 5.3 baseline (8% frequency, ₩1.2M severity) is materially below realistic. The stress case adopts parameters consistent with reported delivery-rider portfolios and industry severity distributions:</w:t>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865"/>
        <w:gridCol w:w="3030"/>
        <w:tblGridChange w:id="0">
          <w:tblGrid>
            <w:gridCol w:w="3225"/>
            <w:gridCol w:w="2865"/>
            <w:gridCol w:w="303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59">
            <w:pPr>
              <w:rPr>
                <w:b w:val="1"/>
                <w:bCs w:val="1"/>
                <w:sz w:val="20"/>
                <w:szCs w:val="20"/>
              </w:rPr>
            </w:pPr>
            <w:r w:rsidDel="00000000" w:rsidR="00000000" w:rsidRPr="00000000">
              <w:rPr>
                <w:b w:val="1"/>
                <w:bCs w:val="1"/>
                <w:sz w:val="20"/>
                <w:szCs w:val="20"/>
                <w:rtl w:val="0"/>
              </w:rPr>
              <w:t xml:space="preserve">Parameter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5A">
            <w:pPr>
              <w:rPr>
                <w:b w:val="1"/>
                <w:bCs w:val="1"/>
                <w:sz w:val="20"/>
                <w:szCs w:val="20"/>
              </w:rPr>
            </w:pPr>
            <w:r w:rsidDel="00000000" w:rsidR="00000000" w:rsidRPr="00000000">
              <w:rPr>
                <w:b w:val="1"/>
                <w:bCs w:val="1"/>
                <w:sz w:val="20"/>
                <w:szCs w:val="20"/>
                <w:rtl w:val="0"/>
              </w:rPr>
              <w:t xml:space="preserve">Baseline (Section 5.3)</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5B">
            <w:pPr>
              <w:rPr>
                <w:b w:val="1"/>
                <w:bCs w:val="1"/>
                <w:sz w:val="20"/>
                <w:szCs w:val="20"/>
              </w:rPr>
            </w:pPr>
            <w:r w:rsidDel="00000000" w:rsidR="00000000" w:rsidRPr="00000000">
              <w:rPr>
                <w:b w:val="1"/>
                <w:bCs w:val="1"/>
                <w:sz w:val="20"/>
                <w:szCs w:val="20"/>
                <w:rtl w:val="0"/>
              </w:rPr>
              <w:t xml:space="preserve">Stress Case</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5C">
            <w:pPr>
              <w:rPr>
                <w:b w:val="1"/>
                <w:bCs w:val="1"/>
                <w:sz w:val="20"/>
                <w:szCs w:val="20"/>
              </w:rPr>
            </w:pPr>
            <w:r w:rsidDel="00000000" w:rsidR="00000000" w:rsidRPr="00000000">
              <w:rPr>
                <w:b w:val="1"/>
                <w:bCs w:val="1"/>
                <w:sz w:val="20"/>
                <w:szCs w:val="20"/>
                <w:rtl w:val="0"/>
              </w:rPr>
              <w:t xml:space="preserve">Claim frequency (annual)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5E">
            <w:pPr>
              <w:rPr>
                <w:sz w:val="20"/>
                <w:szCs w:val="20"/>
              </w:rPr>
            </w:pPr>
            <w:r w:rsidDel="00000000" w:rsidR="00000000" w:rsidRPr="00000000">
              <w:rPr>
                <w:sz w:val="20"/>
                <w:szCs w:val="20"/>
                <w:rtl w:val="0"/>
              </w:rPr>
              <w:t xml:space="preserve">15%</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5F">
            <w:pPr>
              <w:rPr>
                <w:b w:val="1"/>
                <w:bCs w:val="1"/>
                <w:sz w:val="20"/>
                <w:szCs w:val="20"/>
              </w:rPr>
            </w:pPr>
            <w:r w:rsidDel="00000000" w:rsidR="00000000" w:rsidRPr="00000000">
              <w:rPr>
                <w:b w:val="1"/>
                <w:bCs w:val="1"/>
                <w:sz w:val="20"/>
                <w:szCs w:val="20"/>
                <w:rtl w:val="0"/>
              </w:rPr>
              <w:t xml:space="preserve">Average claim severity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0">
            <w:pPr>
              <w:rPr>
                <w:sz w:val="20"/>
                <w:szCs w:val="20"/>
              </w:rPr>
            </w:pPr>
            <w:r w:rsidDel="00000000" w:rsidR="00000000" w:rsidRPr="00000000">
              <w:rPr>
                <w:sz w:val="20"/>
                <w:szCs w:val="20"/>
                <w:rtl w:val="0"/>
              </w:rPr>
              <w:t xml:space="preserve">₩1.2M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₩2.5M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2">
            <w:pPr>
              <w:rPr>
                <w:b w:val="1"/>
                <w:bCs w:val="1"/>
                <w:sz w:val="20"/>
                <w:szCs w:val="20"/>
              </w:rPr>
            </w:pPr>
            <w:r w:rsidDel="00000000" w:rsidR="00000000" w:rsidRPr="00000000">
              <w:rPr>
                <w:b w:val="1"/>
                <w:bCs w:val="1"/>
                <w:sz w:val="20"/>
                <w:szCs w:val="20"/>
                <w:rtl w:val="0"/>
              </w:rPr>
              <w:t xml:space="preserve">Expected loss per rider</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₩96,000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₩375,000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sz w:val="20"/>
                <w:szCs w:val="20"/>
              </w:rPr>
            </w:pPr>
            <w:r w:rsidDel="00000000" w:rsidR="00000000" w:rsidRPr="00000000">
              <w:rPr>
                <w:b w:val="1"/>
                <w:bCs w:val="1"/>
                <w:sz w:val="20"/>
                <w:szCs w:val="20"/>
                <w:rtl w:val="0"/>
              </w:rPr>
              <w:t xml:space="preserve">Modeled loss ratio</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~34.7%</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8">
            <w:pPr>
              <w:rPr>
                <w:b w:val="1"/>
                <w:bCs w:val="1"/>
                <w:sz w:val="20"/>
                <w:szCs w:val="20"/>
              </w:rPr>
            </w:pPr>
            <w:r w:rsidDel="00000000" w:rsidR="00000000" w:rsidRPr="00000000">
              <w:rPr>
                <w:b w:val="1"/>
                <w:bCs w:val="1"/>
                <w:sz w:val="20"/>
                <w:szCs w:val="20"/>
                <w:rtl w:val="0"/>
              </w:rPr>
              <w:t xml:space="preserve">Premium adequacy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Very high</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Sustainable; reduced rebate</w:t>
            </w:r>
          </w:p>
        </w:tc>
      </w:tr>
    </w:tbl>
    <w:p w:rsidR="00000000" w:rsidDel="00000000" w:rsidP="00000000" w:rsidRDefault="00000000" w:rsidRPr="00000000" w14:paraId="0000016B">
      <w:pPr>
        <w:spacing w:after="200" w:lineRule="auto"/>
        <w:rPr>
          <w:i w:val="1"/>
          <w:iCs w:val="1"/>
          <w:color w:val="555555"/>
        </w:rPr>
      </w:pPr>
      <w:r w:rsidDel="00000000" w:rsidR="00000000" w:rsidRPr="00000000">
        <w:rPr>
          <w:i w:val="1"/>
          <w:iCs w:val="1"/>
          <w:color w:val="555555"/>
          <w:rtl w:val="0"/>
        </w:rPr>
        <w:t xml:space="preserve">The stressed loss ratio of ~35% remains well below industry-standard motorcycle insurance loss ratios (55–70%) and preserves meaningful pool margin. The stress case is not a worst case — it is a credible operating case.</w:t>
      </w:r>
    </w:p>
    <w:p w:rsidR="00000000" w:rsidDel="00000000" w:rsidP="00000000" w:rsidRDefault="00000000" w:rsidRPr="00000000" w14:paraId="0000016C">
      <w:pPr>
        <w:spacing w:after="200" w:lineRule="auto"/>
        <w:rPr>
          <w:b w:val="1"/>
          <w:bCs w:val="1"/>
        </w:rPr>
      </w:pPr>
      <w:r w:rsidDel="00000000" w:rsidR="00000000" w:rsidRPr="00000000">
        <w:rPr>
          <w:b w:val="1"/>
          <w:bCs w:val="1"/>
          <w:rtl w:val="0"/>
        </w:rPr>
        <w:t xml:space="preserve">Operating cost structure</w:t>
      </w:r>
    </w:p>
    <w:p w:rsidR="00000000" w:rsidDel="00000000" w:rsidP="00000000" w:rsidRDefault="00000000" w:rsidRPr="00000000" w14:paraId="0000016D">
      <w:pPr>
        <w:spacing w:after="200" w:lineRule="auto"/>
        <w:rPr/>
      </w:pPr>
      <w:r w:rsidDel="00000000" w:rsidR="00000000" w:rsidRPr="00000000">
        <w:rPr>
          <w:rtl w:val="0"/>
        </w:rPr>
        <w:t xml:space="preserve">Revenue without expenses is not a financial model. The protocol's realistic operating cost structure, separate from pool-side claim payouts, is summarized below. All figures are estimates and will be refined against actual hiring and vendor commitments.</w:t>
      </w:r>
    </w:p>
    <w:tbl>
      <w:tblPr>
        <w:tblStyle w:val="Table1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815"/>
        <w:gridCol w:w="1815"/>
        <w:gridCol w:w="1815"/>
        <w:tblGridChange w:id="0">
          <w:tblGrid>
            <w:gridCol w:w="3690"/>
            <w:gridCol w:w="1815"/>
            <w:gridCol w:w="1815"/>
            <w:gridCol w:w="1815"/>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6E">
            <w:pPr>
              <w:rPr>
                <w:b w:val="1"/>
                <w:bCs w:val="1"/>
                <w:sz w:val="20"/>
                <w:szCs w:val="20"/>
              </w:rPr>
            </w:pPr>
            <w:r w:rsidDel="00000000" w:rsidR="00000000" w:rsidRPr="00000000">
              <w:rPr>
                <w:b w:val="1"/>
                <w:bCs w:val="1"/>
                <w:sz w:val="20"/>
                <w:szCs w:val="20"/>
                <w:rtl w:val="0"/>
              </w:rPr>
              <w:t xml:space="preserve">Cost Category</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6F">
            <w:pPr>
              <w:rPr>
                <w:b w:val="1"/>
                <w:bCs w:val="1"/>
                <w:sz w:val="20"/>
                <w:szCs w:val="20"/>
              </w:rPr>
            </w:pPr>
            <w:r w:rsidDel="00000000" w:rsidR="00000000" w:rsidRPr="00000000">
              <w:rPr>
                <w:b w:val="1"/>
                <w:bCs w:val="1"/>
                <w:sz w:val="20"/>
                <w:szCs w:val="20"/>
                <w:rtl w:val="0"/>
              </w:rPr>
              <w:t xml:space="preserve">Year 1</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70">
            <w:pPr>
              <w:rPr>
                <w:b w:val="1"/>
                <w:bCs w:val="1"/>
                <w:sz w:val="20"/>
                <w:szCs w:val="20"/>
              </w:rPr>
            </w:pPr>
            <w:r w:rsidDel="00000000" w:rsidR="00000000" w:rsidRPr="00000000">
              <w:rPr>
                <w:b w:val="1"/>
                <w:bCs w:val="1"/>
                <w:sz w:val="20"/>
                <w:szCs w:val="20"/>
                <w:rtl w:val="0"/>
              </w:rPr>
              <w:t xml:space="preserve">Year 2</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71">
            <w:pPr>
              <w:rPr>
                <w:b w:val="1"/>
                <w:bCs w:val="1"/>
                <w:sz w:val="20"/>
                <w:szCs w:val="20"/>
              </w:rPr>
            </w:pPr>
            <w:r w:rsidDel="00000000" w:rsidR="00000000" w:rsidRPr="00000000">
              <w:rPr>
                <w:b w:val="1"/>
                <w:bCs w:val="1"/>
                <w:sz w:val="20"/>
                <w:szCs w:val="20"/>
                <w:rtl w:val="0"/>
              </w:rPr>
              <w:t xml:space="preserve">Year 3</w:t>
            </w:r>
          </w:p>
        </w:tc>
      </w:tr>
      <w:tr>
        <w:trPr>
          <w:cantSplit w:val="0"/>
          <w:trHeight w:val="27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2">
            <w:pPr>
              <w:rPr>
                <w:b w:val="1"/>
                <w:bCs w:val="1"/>
                <w:sz w:val="20"/>
                <w:szCs w:val="20"/>
              </w:rPr>
            </w:pPr>
            <w:r w:rsidDel="00000000" w:rsidR="00000000" w:rsidRPr="00000000">
              <w:rPr>
                <w:b w:val="1"/>
                <w:bCs w:val="1"/>
                <w:sz w:val="20"/>
                <w:szCs w:val="20"/>
                <w:rtl w:val="0"/>
              </w:rPr>
              <w:t xml:space="preserve">Engineering team (5–8 FTEs)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₩500M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₩700M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₩900M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sz w:val="20"/>
                <w:szCs w:val="20"/>
              </w:rPr>
            </w:pPr>
            <w:r w:rsidDel="00000000" w:rsidR="00000000" w:rsidRPr="00000000">
              <w:rPr>
                <w:b w:val="1"/>
                <w:bCs w:val="1"/>
                <w:sz w:val="20"/>
                <w:szCs w:val="20"/>
                <w:rtl w:val="0"/>
              </w:rPr>
              <w:t xml:space="preserve">Product &amp; design (2–3 FTEs)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₩180M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₩270M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₩360M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Business development (2–4 FTEs)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₩180M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₩360M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₩540M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sz w:val="20"/>
                <w:szCs w:val="20"/>
              </w:rPr>
            </w:pPr>
            <w:r w:rsidDel="00000000" w:rsidR="00000000" w:rsidRPr="00000000">
              <w:rPr>
                <w:b w:val="1"/>
                <w:bCs w:val="1"/>
                <w:sz w:val="20"/>
                <w:szCs w:val="20"/>
                <w:rtl w:val="0"/>
              </w:rPr>
              <w:t xml:space="preserve">Operations &amp; customer support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₩210M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0">
            <w:pPr>
              <w:rPr>
                <w:sz w:val="20"/>
                <w:szCs w:val="20"/>
              </w:rPr>
            </w:pPr>
            <w:r w:rsidDel="00000000" w:rsidR="00000000" w:rsidRPr="00000000">
              <w:rPr>
                <w:sz w:val="20"/>
                <w:szCs w:val="20"/>
                <w:rtl w:val="0"/>
              </w:rPr>
              <w:t xml:space="preserve">₩280M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1">
            <w:pPr>
              <w:rPr>
                <w:sz w:val="20"/>
                <w:szCs w:val="20"/>
              </w:rPr>
            </w:pPr>
            <w:r w:rsidDel="00000000" w:rsidR="00000000" w:rsidRPr="00000000">
              <w:rPr>
                <w:sz w:val="20"/>
                <w:szCs w:val="20"/>
                <w:rtl w:val="0"/>
              </w:rPr>
              <w:t xml:space="preserve">₩350M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2">
            <w:pPr>
              <w:rPr>
                <w:b w:val="1"/>
                <w:bCs w:val="1"/>
                <w:sz w:val="20"/>
                <w:szCs w:val="20"/>
              </w:rPr>
            </w:pPr>
            <w:r w:rsidDel="00000000" w:rsidR="00000000" w:rsidRPr="00000000">
              <w:rPr>
                <w:b w:val="1"/>
                <w:bCs w:val="1"/>
                <w:sz w:val="20"/>
                <w:szCs w:val="20"/>
                <w:rtl w:val="0"/>
              </w:rPr>
              <w:t xml:space="preserve">Smart contract audits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₩200M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5">
            <w:pPr>
              <w:rPr>
                <w:sz w:val="20"/>
                <w:szCs w:val="20"/>
              </w:rPr>
            </w:pPr>
            <w:r w:rsidDel="00000000" w:rsidR="00000000" w:rsidRPr="00000000">
              <w:rPr>
                <w:sz w:val="20"/>
                <w:szCs w:val="20"/>
                <w:rtl w:val="0"/>
              </w:rPr>
              <w:t xml:space="preserve">₩150M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sz w:val="20"/>
                <w:szCs w:val="20"/>
              </w:rPr>
            </w:pPr>
            <w:r w:rsidDel="00000000" w:rsidR="00000000" w:rsidRPr="00000000">
              <w:rPr>
                <w:b w:val="1"/>
                <w:bCs w:val="1"/>
                <w:sz w:val="20"/>
                <w:szCs w:val="20"/>
                <w:rtl w:val="0"/>
              </w:rPr>
              <w:t xml:space="preserve">Bug bounty program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8">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9">
            <w:pPr>
              <w:rPr>
                <w:sz w:val="20"/>
                <w:szCs w:val="20"/>
              </w:rPr>
            </w:pPr>
            <w:r w:rsidDel="00000000" w:rsidR="00000000" w:rsidRPr="00000000">
              <w:rPr>
                <w:sz w:val="20"/>
                <w:szCs w:val="20"/>
                <w:rtl w:val="0"/>
              </w:rPr>
              <w:t xml:space="preserve">₩150M</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A">
            <w:pPr>
              <w:rPr>
                <w:b w:val="1"/>
                <w:bCs w:val="1"/>
                <w:sz w:val="20"/>
                <w:szCs w:val="20"/>
              </w:rPr>
            </w:pPr>
            <w:r w:rsidDel="00000000" w:rsidR="00000000" w:rsidRPr="00000000">
              <w:rPr>
                <w:b w:val="1"/>
                <w:bCs w:val="1"/>
                <w:sz w:val="20"/>
                <w:szCs w:val="20"/>
                <w:rtl w:val="0"/>
              </w:rPr>
              <w:t xml:space="preserve">Infrastructure (RPC, oracles, hosting)</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₩60M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C">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₩180M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sz w:val="20"/>
                <w:szCs w:val="20"/>
              </w:rPr>
            </w:pPr>
            <w:r w:rsidDel="00000000" w:rsidR="00000000" w:rsidRPr="00000000">
              <w:rPr>
                <w:b w:val="1"/>
                <w:bCs w:val="1"/>
                <w:sz w:val="20"/>
                <w:szCs w:val="20"/>
                <w:rtl w:val="0"/>
              </w:rPr>
              <w:t xml:space="preserve">Marketing &amp; dealer partnerships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₩200M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₩300M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₩400M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2">
            <w:pPr>
              <w:rPr>
                <w:b w:val="1"/>
                <w:bCs w:val="1"/>
                <w:sz w:val="20"/>
                <w:szCs w:val="20"/>
              </w:rPr>
            </w:pPr>
            <w:r w:rsidDel="00000000" w:rsidR="00000000" w:rsidRPr="00000000">
              <w:rPr>
                <w:b w:val="1"/>
                <w:bCs w:val="1"/>
                <w:sz w:val="20"/>
                <w:szCs w:val="20"/>
                <w:rtl w:val="0"/>
              </w:rPr>
              <w:t xml:space="preserve">Legal &amp; professional services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3">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4">
            <w:pPr>
              <w:rPr>
                <w:sz w:val="20"/>
                <w:szCs w:val="20"/>
              </w:rPr>
            </w:pPr>
            <w:r w:rsidDel="00000000" w:rsidR="00000000" w:rsidRPr="00000000">
              <w:rPr>
                <w:sz w:val="20"/>
                <w:szCs w:val="20"/>
                <w:rtl w:val="0"/>
              </w:rPr>
              <w:t xml:space="preserve">₩100M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5">
            <w:pPr>
              <w:rPr>
                <w:sz w:val="20"/>
                <w:szCs w:val="20"/>
              </w:rPr>
            </w:pPr>
            <w:r w:rsidDel="00000000" w:rsidR="00000000" w:rsidRPr="00000000">
              <w:rPr>
                <w:sz w:val="20"/>
                <w:szCs w:val="20"/>
                <w:rtl w:val="0"/>
              </w:rPr>
              <w:t xml:space="preserve">₩120M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sz w:val="20"/>
                <w:szCs w:val="20"/>
              </w:rPr>
            </w:pPr>
            <w:r w:rsidDel="00000000" w:rsidR="00000000" w:rsidRPr="00000000">
              <w:rPr>
                <w:b w:val="1"/>
                <w:bCs w:val="1"/>
                <w:sz w:val="20"/>
                <w:szCs w:val="20"/>
                <w:rtl w:val="0"/>
              </w:rPr>
              <w:t xml:space="preserve">General &amp; administrative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7">
            <w:pPr>
              <w:rPr>
                <w:sz w:val="20"/>
                <w:szCs w:val="20"/>
              </w:rPr>
            </w:pPr>
            <w:r w:rsidDel="00000000" w:rsidR="00000000" w:rsidRPr="00000000">
              <w:rPr>
                <w:sz w:val="20"/>
                <w:szCs w:val="20"/>
                <w:rtl w:val="0"/>
              </w:rPr>
              <w:t xml:space="preserve">₩120M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8">
            <w:pPr>
              <w:rPr>
                <w:sz w:val="20"/>
                <w:szCs w:val="20"/>
              </w:rPr>
            </w:pPr>
            <w:r w:rsidDel="00000000" w:rsidR="00000000" w:rsidRPr="00000000">
              <w:rPr>
                <w:sz w:val="20"/>
                <w:szCs w:val="20"/>
                <w:rtl w:val="0"/>
              </w:rPr>
              <w:t xml:space="preserve">₩190M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99">
            <w:pPr>
              <w:rPr>
                <w:sz w:val="20"/>
                <w:szCs w:val="20"/>
              </w:rPr>
            </w:pPr>
            <w:r w:rsidDel="00000000" w:rsidR="00000000" w:rsidRPr="00000000">
              <w:rPr>
                <w:sz w:val="20"/>
                <w:szCs w:val="20"/>
                <w:rtl w:val="0"/>
              </w:rPr>
              <w:t xml:space="preserve">₩250M</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A">
            <w:pPr>
              <w:rPr>
                <w:b w:val="1"/>
                <w:bCs w:val="1"/>
                <w:sz w:val="20"/>
                <w:szCs w:val="20"/>
              </w:rPr>
            </w:pPr>
            <w:r w:rsidDel="00000000" w:rsidR="00000000" w:rsidRPr="00000000">
              <w:rPr>
                <w:b w:val="1"/>
                <w:bCs w:val="1"/>
                <w:sz w:val="20"/>
                <w:szCs w:val="20"/>
                <w:rtl w:val="0"/>
              </w:rPr>
              <w:t xml:space="preserve">Total Operating Expense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B">
            <w:pPr>
              <w:rPr>
                <w:sz w:val="20"/>
                <w:szCs w:val="20"/>
              </w:rPr>
            </w:pPr>
            <w:r w:rsidDel="00000000" w:rsidR="00000000" w:rsidRPr="00000000">
              <w:rPr>
                <w:sz w:val="20"/>
                <w:szCs w:val="20"/>
                <w:rtl w:val="0"/>
              </w:rPr>
              <w:t xml:space="preserve">₩1.80B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₩2.50B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₩3.40B</w:t>
            </w:r>
          </w:p>
        </w:tc>
      </w:tr>
    </w:tbl>
    <w:p w:rsidR="00000000" w:rsidDel="00000000" w:rsidP="00000000" w:rsidRDefault="00000000" w:rsidRPr="00000000" w14:paraId="0000019E">
      <w:pPr>
        <w:spacing w:after="200" w:lineRule="auto"/>
        <w:rPr>
          <w:i w:val="1"/>
          <w:iCs w:val="1"/>
          <w:color w:val="555555"/>
        </w:rPr>
      </w:pPr>
      <w:r w:rsidDel="00000000" w:rsidR="00000000" w:rsidRPr="00000000">
        <w:rPr>
          <w:i w:val="1"/>
          <w:iCs w:val="1"/>
          <w:color w:val="555555"/>
          <w:rtl w:val="0"/>
        </w:rPr>
        <w:t xml:space="preserve">Year 1 OpEx is front-loaded by initial audit costs and team build. Hardware integration costs (OBD-II adapters, paired modules) are not included above; those flow through the marketing/partnership line when subsidized at rollout, or through the pool when paid as part of Verified Rider tier pricing.</w:t>
      </w:r>
    </w:p>
    <w:p w:rsidR="00000000" w:rsidDel="00000000" w:rsidP="00000000" w:rsidRDefault="00000000" w:rsidRPr="00000000" w14:paraId="0000019F">
      <w:pPr>
        <w:spacing w:after="200" w:lineRule="auto"/>
        <w:rPr>
          <w:b w:val="1"/>
          <w:bCs w:val="1"/>
        </w:rPr>
      </w:pPr>
      <w:r w:rsidDel="00000000" w:rsidR="00000000" w:rsidRPr="00000000">
        <w:rPr>
          <w:b w:val="1"/>
          <w:bCs w:val="1"/>
          <w:rtl w:val="0"/>
        </w:rPr>
        <w:t xml:space="preserve">Liquidity provider capital plan</w:t>
      </w:r>
    </w:p>
    <w:p w:rsidR="00000000" w:rsidDel="00000000" w:rsidP="00000000" w:rsidRDefault="00000000" w:rsidRPr="00000000" w14:paraId="000001A0">
      <w:pPr>
        <w:spacing w:after="200" w:lineRule="auto"/>
        <w:rPr/>
      </w:pPr>
      <w:r w:rsidDel="00000000" w:rsidR="00000000" w:rsidRPr="00000000">
        <w:rPr>
          <w:rtl w:val="0"/>
        </w:rPr>
        <w:t xml:space="preserve">Pool solvency requires capital beyond rider premiums. Without LP capital, the pool is fully self-insured, which is acceptable only when the modeled loss ratio is in single digits — under stressed parameters it is not. The target capital structure is:</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470"/>
        <w:gridCol w:w="1485"/>
        <w:gridCol w:w="1485"/>
        <w:gridCol w:w="2100"/>
        <w:tblGridChange w:id="0">
          <w:tblGrid>
            <w:gridCol w:w="2580"/>
            <w:gridCol w:w="1470"/>
            <w:gridCol w:w="1485"/>
            <w:gridCol w:w="1485"/>
            <w:gridCol w:w="2100"/>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1">
            <w:pPr>
              <w:rPr>
                <w:b w:val="1"/>
                <w:bCs w:val="1"/>
                <w:sz w:val="20"/>
                <w:szCs w:val="20"/>
              </w:rPr>
            </w:pPr>
            <w:r w:rsidDel="00000000" w:rsidR="00000000" w:rsidRPr="00000000">
              <w:rPr>
                <w:b w:val="1"/>
                <w:bCs w:val="1"/>
                <w:sz w:val="20"/>
                <w:szCs w:val="20"/>
                <w:rtl w:val="0"/>
              </w:rPr>
              <w:t xml:space="preserve">LP Source</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2">
            <w:pPr>
              <w:rPr>
                <w:b w:val="1"/>
                <w:bCs w:val="1"/>
                <w:sz w:val="20"/>
                <w:szCs w:val="20"/>
              </w:rPr>
            </w:pPr>
            <w:r w:rsidDel="00000000" w:rsidR="00000000" w:rsidRPr="00000000">
              <w:rPr>
                <w:b w:val="1"/>
                <w:bCs w:val="1"/>
                <w:sz w:val="20"/>
                <w:szCs w:val="20"/>
                <w:rtl w:val="0"/>
              </w:rPr>
              <w:t xml:space="preserve">Year 1 Target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3">
            <w:pPr>
              <w:rPr>
                <w:b w:val="1"/>
                <w:bCs w:val="1"/>
                <w:sz w:val="20"/>
                <w:szCs w:val="20"/>
              </w:rPr>
            </w:pPr>
            <w:r w:rsidDel="00000000" w:rsidR="00000000" w:rsidRPr="00000000">
              <w:rPr>
                <w:b w:val="1"/>
                <w:bCs w:val="1"/>
                <w:sz w:val="20"/>
                <w:szCs w:val="20"/>
                <w:rtl w:val="0"/>
              </w:rPr>
              <w:t xml:space="preserve">Year 2 Target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4">
            <w:pPr>
              <w:rPr>
                <w:b w:val="1"/>
                <w:bCs w:val="1"/>
                <w:sz w:val="20"/>
                <w:szCs w:val="20"/>
              </w:rPr>
            </w:pPr>
            <w:r w:rsidDel="00000000" w:rsidR="00000000" w:rsidRPr="00000000">
              <w:rPr>
                <w:b w:val="1"/>
                <w:bCs w:val="1"/>
                <w:sz w:val="20"/>
                <w:szCs w:val="20"/>
                <w:rtl w:val="0"/>
              </w:rPr>
              <w:t xml:space="preserve">Year 3 Target</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A5">
            <w:pPr>
              <w:rPr>
                <w:b w:val="1"/>
                <w:bCs w:val="1"/>
                <w:sz w:val="20"/>
                <w:szCs w:val="20"/>
              </w:rPr>
            </w:pPr>
            <w:r w:rsidDel="00000000" w:rsidR="00000000" w:rsidRPr="00000000">
              <w:rPr>
                <w:b w:val="1"/>
                <w:bCs w:val="1"/>
                <w:sz w:val="20"/>
                <w:szCs w:val="20"/>
                <w:rtl w:val="0"/>
              </w:rPr>
              <w:t xml:space="preserve">Return Profile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6">
            <w:pPr>
              <w:rPr>
                <w:b w:val="1"/>
                <w:bCs w:val="1"/>
                <w:sz w:val="20"/>
                <w:szCs w:val="20"/>
              </w:rPr>
            </w:pPr>
            <w:r w:rsidDel="00000000" w:rsidR="00000000" w:rsidRPr="00000000">
              <w:rPr>
                <w:b w:val="1"/>
                <w:bCs w:val="1"/>
                <w:sz w:val="20"/>
                <w:szCs w:val="20"/>
                <w:rtl w:val="0"/>
              </w:rPr>
              <w:t xml:space="preserve">Foundation seed capital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7">
            <w:pPr>
              <w:rPr>
                <w:sz w:val="20"/>
                <w:szCs w:val="20"/>
              </w:rPr>
            </w:pPr>
            <w:r w:rsidDel="00000000" w:rsidR="00000000" w:rsidRPr="00000000">
              <w:rPr>
                <w:sz w:val="20"/>
                <w:szCs w:val="20"/>
                <w:rtl w:val="0"/>
              </w:rPr>
              <w:t xml:space="preserve">₩1.5B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₩1.5B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₩1.5B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Subordinated; long lock</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sz w:val="20"/>
                <w:szCs w:val="20"/>
              </w:rPr>
            </w:pPr>
            <w:r w:rsidDel="00000000" w:rsidR="00000000" w:rsidRPr="00000000">
              <w:rPr>
                <w:b w:val="1"/>
                <w:bCs w:val="1"/>
                <w:sz w:val="20"/>
                <w:szCs w:val="20"/>
                <w:rtl w:val="0"/>
              </w:rPr>
              <w:t xml:space="preserve">DeFi yield-seeking LPs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₩750M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D">
            <w:pPr>
              <w:rPr>
                <w:sz w:val="20"/>
                <w:szCs w:val="20"/>
              </w:rPr>
            </w:pPr>
            <w:r w:rsidDel="00000000" w:rsidR="00000000" w:rsidRPr="00000000">
              <w:rPr>
                <w:sz w:val="20"/>
                <w:szCs w:val="20"/>
                <w:rtl w:val="0"/>
              </w:rPr>
              <w:t xml:space="preserve">₩4.0B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₩15.0B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AF">
            <w:pPr>
              <w:rPr>
                <w:sz w:val="20"/>
                <w:szCs w:val="20"/>
              </w:rPr>
            </w:pPr>
            <w:r w:rsidDel="00000000" w:rsidR="00000000" w:rsidRPr="00000000">
              <w:rPr>
                <w:sz w:val="20"/>
                <w:szCs w:val="20"/>
                <w:rtl w:val="0"/>
              </w:rPr>
              <w:t xml:space="preserve">8–12% APY stablecoin</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0">
            <w:pPr>
              <w:rPr>
                <w:b w:val="1"/>
                <w:bCs w:val="1"/>
                <w:sz w:val="20"/>
                <w:szCs w:val="20"/>
              </w:rPr>
            </w:pPr>
            <w:r w:rsidDel="00000000" w:rsidR="00000000" w:rsidRPr="00000000">
              <w:rPr>
                <w:b w:val="1"/>
                <w:bCs w:val="1"/>
                <w:sz w:val="20"/>
                <w:szCs w:val="20"/>
                <w:rtl w:val="0"/>
              </w:rPr>
              <w:t xml:space="preserve">Institutional / family office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₩500M</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₩3.0B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3">
            <w:pPr>
              <w:rPr>
                <w:sz w:val="20"/>
                <w:szCs w:val="20"/>
              </w:rPr>
            </w:pPr>
            <w:r w:rsidDel="00000000" w:rsidR="00000000" w:rsidRPr="00000000">
              <w:rPr>
                <w:sz w:val="20"/>
                <w:szCs w:val="20"/>
                <w:rtl w:val="0"/>
              </w:rPr>
              <w:t xml:space="preserve">₩12.0B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4">
            <w:pPr>
              <w:rPr>
                <w:sz w:val="20"/>
                <w:szCs w:val="20"/>
              </w:rPr>
            </w:pPr>
            <w:r w:rsidDel="00000000" w:rsidR="00000000" w:rsidRPr="00000000">
              <w:rPr>
                <w:sz w:val="20"/>
                <w:szCs w:val="20"/>
                <w:rtl w:val="0"/>
              </w:rPr>
              <w:t xml:space="preserve">10–15% APY blended</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5">
            <w:pPr>
              <w:rPr>
                <w:b w:val="1"/>
                <w:bCs w:val="1"/>
                <w:sz w:val="20"/>
                <w:szCs w:val="20"/>
              </w:rPr>
            </w:pPr>
            <w:r w:rsidDel="00000000" w:rsidR="00000000" w:rsidRPr="00000000">
              <w:rPr>
                <w:b w:val="1"/>
                <w:bCs w:val="1"/>
                <w:sz w:val="20"/>
                <w:szCs w:val="20"/>
                <w:rtl w:val="0"/>
              </w:rPr>
              <w:t xml:space="preserve">Strategic insurance partners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₩250M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7">
            <w:pPr>
              <w:rPr>
                <w:sz w:val="20"/>
                <w:szCs w:val="20"/>
              </w:rPr>
            </w:pPr>
            <w:r w:rsidDel="00000000" w:rsidR="00000000" w:rsidRPr="00000000">
              <w:rPr>
                <w:sz w:val="20"/>
                <w:szCs w:val="20"/>
                <w:rtl w:val="0"/>
              </w:rPr>
              <w:t xml:space="preserve">₩2.0B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₩8.0B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9">
            <w:pPr>
              <w:rPr>
                <w:sz w:val="20"/>
                <w:szCs w:val="20"/>
              </w:rPr>
            </w:pPr>
            <w:r w:rsidDel="00000000" w:rsidR="00000000" w:rsidRPr="00000000">
              <w:rPr>
                <w:sz w:val="20"/>
                <w:szCs w:val="20"/>
                <w:rtl w:val="0"/>
              </w:rPr>
              <w:t xml:space="preserve">Strategic + data access</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A">
            <w:pPr>
              <w:rPr>
                <w:b w:val="1"/>
                <w:bCs w:val="1"/>
                <w:sz w:val="20"/>
                <w:szCs w:val="20"/>
              </w:rPr>
            </w:pPr>
            <w:r w:rsidDel="00000000" w:rsidR="00000000" w:rsidRPr="00000000">
              <w:rPr>
                <w:b w:val="1"/>
                <w:bCs w:val="1"/>
                <w:sz w:val="20"/>
                <w:szCs w:val="20"/>
                <w:rtl w:val="0"/>
              </w:rPr>
              <w:t xml:space="preserve">Total LP Capital</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B">
            <w:pPr>
              <w:rPr>
                <w:sz w:val="20"/>
                <w:szCs w:val="20"/>
              </w:rPr>
            </w:pPr>
            <w:r w:rsidDel="00000000" w:rsidR="00000000" w:rsidRPr="00000000">
              <w:rPr>
                <w:sz w:val="20"/>
                <w:szCs w:val="20"/>
                <w:rtl w:val="0"/>
              </w:rPr>
              <w:t xml:space="preserve">₩3.0B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C">
            <w:pPr>
              <w:rPr>
                <w:sz w:val="20"/>
                <w:szCs w:val="20"/>
              </w:rPr>
            </w:pPr>
            <w:r w:rsidDel="00000000" w:rsidR="00000000" w:rsidRPr="00000000">
              <w:rPr>
                <w:sz w:val="20"/>
                <w:szCs w:val="20"/>
                <w:rtl w:val="0"/>
              </w:rPr>
              <w:t xml:space="preserve">₩10.5B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₩36.5B</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BF">
            <w:pPr>
              <w:rPr>
                <w:b w:val="1"/>
                <w:bCs w:val="1"/>
                <w:sz w:val="20"/>
                <w:szCs w:val="20"/>
              </w:rPr>
            </w:pPr>
            <w:r w:rsidDel="00000000" w:rsidR="00000000" w:rsidRPr="00000000">
              <w:rPr>
                <w:b w:val="1"/>
                <w:bCs w:val="1"/>
                <w:sz w:val="20"/>
                <w:szCs w:val="20"/>
                <w:rtl w:val="0"/>
              </w:rPr>
              <w:t xml:space="preserve">Pool solvency ratio (LP / annual premium)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0">
            <w:pPr>
              <w:rPr>
                <w:sz w:val="20"/>
                <w:szCs w:val="20"/>
              </w:rPr>
            </w:pPr>
            <w:r w:rsidDel="00000000" w:rsidR="00000000" w:rsidRPr="00000000">
              <w:rPr>
                <w:sz w:val="20"/>
                <w:szCs w:val="20"/>
                <w:rtl w:val="0"/>
              </w:rPr>
              <w:t xml:space="preserve">1.39×</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1">
            <w:pPr>
              <w:rPr>
                <w:sz w:val="20"/>
                <w:szCs w:val="20"/>
              </w:rPr>
            </w:pPr>
            <w:r w:rsidDel="00000000" w:rsidR="00000000" w:rsidRPr="00000000">
              <w:rPr>
                <w:sz w:val="20"/>
                <w:szCs w:val="20"/>
                <w:rtl w:val="0"/>
              </w:rPr>
              <w:t xml:space="preserve">0.81×</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0.68×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3">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C4">
      <w:pPr>
        <w:spacing w:after="200" w:lineRule="auto"/>
        <w:rPr>
          <w:i w:val="1"/>
          <w:iCs w:val="1"/>
          <w:color w:val="555555"/>
        </w:rPr>
      </w:pPr>
      <w:r w:rsidDel="00000000" w:rsidR="00000000" w:rsidRPr="00000000">
        <w:rPr>
          <w:i w:val="1"/>
          <w:iCs w:val="1"/>
          <w:color w:val="555555"/>
          <w:rtl w:val="0"/>
        </w:rPr>
        <w:t xml:space="preserve">LP capital is the single most fragile assumption in the model. If only foundation seed materializes, pool solvency falls to ~0.7× in Year 1 and below 0.2× by Year 3, which is insufficient against any meaningful catastrophe. Explicit capital partnerships should be confirmed or in advanced negotiation prior to public launch. The solvency ratio decline across years reflects premium volume scaling faster than capital recruitment; sustained capital expansion through Year 2 is required.</w:t>
      </w:r>
    </w:p>
    <w:p w:rsidR="00000000" w:rsidDel="00000000" w:rsidP="00000000" w:rsidRDefault="00000000" w:rsidRPr="00000000" w14:paraId="000001C5">
      <w:pPr>
        <w:spacing w:after="200" w:lineRule="auto"/>
        <w:rPr>
          <w:b w:val="1"/>
          <w:bCs w:val="1"/>
        </w:rPr>
      </w:pPr>
      <w:r w:rsidDel="00000000" w:rsidR="00000000" w:rsidRPr="00000000">
        <w:rPr>
          <w:b w:val="1"/>
          <w:bCs w:val="1"/>
          <w:rtl w:val="0"/>
        </w:rPr>
        <w:t xml:space="preserve">Three-year stressed P&amp;L</w:t>
      </w:r>
    </w:p>
    <w:p w:rsidR="00000000" w:rsidDel="00000000" w:rsidP="00000000" w:rsidRDefault="00000000" w:rsidRPr="00000000" w14:paraId="000001C6">
      <w:pPr>
        <w:spacing w:after="200" w:lineRule="auto"/>
        <w:rPr/>
      </w:pPr>
      <w:r w:rsidDel="00000000" w:rsidR="00000000" w:rsidRPr="00000000">
        <w:rPr>
          <w:rtl w:val="0"/>
        </w:rPr>
        <w:t xml:space="preserve">The protocol's P&amp;L is distinct from the insurance pool's reserves. Claim payouts, reserves, and reinsurance premiums flow through the pool, not through the operating P&amp;L. Protocol revenue is what is captured for operations and governance.</w:t>
      </w:r>
    </w:p>
    <w:tbl>
      <w:tblPr>
        <w:tblStyle w:val="Table15"/>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1695"/>
        <w:gridCol w:w="1740"/>
        <w:gridCol w:w="1740"/>
        <w:tblGridChange w:id="0">
          <w:tblGrid>
            <w:gridCol w:w="3960"/>
            <w:gridCol w:w="1695"/>
            <w:gridCol w:w="1740"/>
            <w:gridCol w:w="1740"/>
          </w:tblGrid>
        </w:tblGridChange>
      </w:tblGrid>
      <w:tr>
        <w:trPr>
          <w:cantSplit w:val="0"/>
          <w:trHeight w:val="270"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C7">
            <w:pPr>
              <w:rPr>
                <w:b w:val="1"/>
                <w:bCs w:val="1"/>
                <w:sz w:val="20"/>
                <w:szCs w:val="20"/>
              </w:rPr>
            </w:pPr>
            <w:r w:rsidDel="00000000" w:rsidR="00000000" w:rsidRPr="00000000">
              <w:rPr>
                <w:b w:val="1"/>
                <w:bCs w:val="1"/>
                <w:sz w:val="20"/>
                <w:szCs w:val="20"/>
                <w:rtl w:val="0"/>
              </w:rPr>
              <w:t xml:space="preserve">Item (₩ millions)</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C8">
            <w:pPr>
              <w:rPr>
                <w:b w:val="1"/>
                <w:bCs w:val="1"/>
                <w:sz w:val="20"/>
                <w:szCs w:val="20"/>
              </w:rPr>
            </w:pPr>
            <w:r w:rsidDel="00000000" w:rsidR="00000000" w:rsidRPr="00000000">
              <w:rPr>
                <w:b w:val="1"/>
                <w:bCs w:val="1"/>
                <w:sz w:val="20"/>
                <w:szCs w:val="20"/>
                <w:rtl w:val="0"/>
              </w:rPr>
              <w:t xml:space="preserve">Year 1</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C9">
            <w:pPr>
              <w:rPr>
                <w:b w:val="1"/>
                <w:bCs w:val="1"/>
                <w:sz w:val="20"/>
                <w:szCs w:val="20"/>
              </w:rPr>
            </w:pPr>
            <w:r w:rsidDel="00000000" w:rsidR="00000000" w:rsidRPr="00000000">
              <w:rPr>
                <w:b w:val="1"/>
                <w:bCs w:val="1"/>
                <w:sz w:val="20"/>
                <w:szCs w:val="20"/>
                <w:rtl w:val="0"/>
              </w:rPr>
              <w:t xml:space="preserve">Year 2</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1CA">
            <w:pPr>
              <w:rPr>
                <w:b w:val="1"/>
                <w:bCs w:val="1"/>
                <w:sz w:val="20"/>
                <w:szCs w:val="20"/>
              </w:rPr>
            </w:pPr>
            <w:r w:rsidDel="00000000" w:rsidR="00000000" w:rsidRPr="00000000">
              <w:rPr>
                <w:b w:val="1"/>
                <w:bCs w:val="1"/>
                <w:sz w:val="20"/>
                <w:szCs w:val="20"/>
                <w:rtl w:val="0"/>
              </w:rPr>
              <w:t xml:space="preserve">Year 3</w:t>
            </w:r>
          </w:p>
        </w:tc>
      </w:tr>
      <w:tr>
        <w:trPr>
          <w:cantSplit w:val="0"/>
          <w:trHeight w:val="30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CB">
            <w:pPr>
              <w:rPr>
                <w:b w:val="1"/>
                <w:bCs w:val="1"/>
                <w:sz w:val="20"/>
                <w:szCs w:val="20"/>
              </w:rPr>
            </w:pPr>
            <w:r w:rsidDel="00000000" w:rsidR="00000000" w:rsidRPr="00000000">
              <w:rPr>
                <w:b w:val="1"/>
                <w:bCs w:val="1"/>
                <w:sz w:val="20"/>
                <w:szCs w:val="20"/>
                <w:rtl w:val="0"/>
              </w:rPr>
              <w:t xml:space="preserve">Pool side (illustrative)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CC">
            <w:pPr>
              <w:rPr/>
            </w:pPr>
            <w:r w:rsidDel="00000000" w:rsidR="00000000" w:rsidRPr="00000000">
              <w:rPr>
                <w:rtl w:val="0"/>
              </w:rPr>
              <w:t xml:space="preserve">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CD">
            <w:pPr>
              <w:rPr/>
            </w:pPr>
            <w:r w:rsidDel="00000000" w:rsidR="00000000" w:rsidRPr="00000000">
              <w:rPr>
                <w:rtl w:val="0"/>
              </w:rPr>
              <w:t xml:space="preserve">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CE">
            <w:pPr>
              <w:rPr/>
            </w:pPr>
            <w:r w:rsidDel="00000000" w:rsidR="00000000" w:rsidRPr="00000000">
              <w:rPr>
                <w:rtl w:val="0"/>
              </w:rPr>
              <w:t xml:space="preserve"> </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CF">
            <w:pPr>
              <w:rPr>
                <w:b w:val="1"/>
                <w:bCs w:val="1"/>
                <w:sz w:val="20"/>
                <w:szCs w:val="20"/>
              </w:rPr>
            </w:pPr>
            <w:r w:rsidDel="00000000" w:rsidR="00000000" w:rsidRPr="00000000">
              <w:rPr>
                <w:b w:val="1"/>
                <w:bCs w:val="1"/>
                <w:sz w:val="20"/>
                <w:szCs w:val="20"/>
                <w:rtl w:val="0"/>
              </w:rPr>
              <w:t xml:space="preserve">  Rider premium contributions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+2,160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1">
            <w:pPr>
              <w:rPr>
                <w:sz w:val="20"/>
                <w:szCs w:val="20"/>
              </w:rPr>
            </w:pPr>
            <w:r w:rsidDel="00000000" w:rsidR="00000000" w:rsidRPr="00000000">
              <w:rPr>
                <w:sz w:val="20"/>
                <w:szCs w:val="20"/>
                <w:rtl w:val="0"/>
              </w:rPr>
              <w:t xml:space="preserve">+12,960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2">
            <w:pPr>
              <w:rPr>
                <w:sz w:val="20"/>
                <w:szCs w:val="20"/>
              </w:rPr>
            </w:pPr>
            <w:r w:rsidDel="00000000" w:rsidR="00000000" w:rsidRPr="00000000">
              <w:rPr>
                <w:sz w:val="20"/>
                <w:szCs w:val="20"/>
                <w:rtl w:val="0"/>
              </w:rPr>
              <w:t xml:space="preserve">+54,000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3">
            <w:pPr>
              <w:rPr>
                <w:b w:val="1"/>
                <w:bCs w:val="1"/>
                <w:sz w:val="20"/>
                <w:szCs w:val="20"/>
              </w:rPr>
            </w:pPr>
            <w:r w:rsidDel="00000000" w:rsidR="00000000" w:rsidRPr="00000000">
              <w:rPr>
                <w:b w:val="1"/>
                <w:bCs w:val="1"/>
                <w:sz w:val="20"/>
                <w:szCs w:val="20"/>
                <w:rtl w:val="0"/>
              </w:rPr>
              <w:t xml:space="preserve">  Stressed claim payouts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4">
            <w:pPr>
              <w:rPr>
                <w:sz w:val="20"/>
                <w:szCs w:val="20"/>
              </w:rPr>
            </w:pPr>
            <w:r w:rsidDel="00000000" w:rsidR="00000000" w:rsidRPr="00000000">
              <w:rPr>
                <w:rFonts w:ascii="Arial Unicode MS" w:cs="Arial Unicode MS" w:eastAsia="Arial Unicode MS" w:hAnsi="Arial Unicode MS"/>
                <w:sz w:val="20"/>
                <w:szCs w:val="20"/>
                <w:rtl w:val="0"/>
              </w:rPr>
              <w:t xml:space="preserve">−750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5">
            <w:pPr>
              <w:rPr>
                <w:sz w:val="20"/>
                <w:szCs w:val="20"/>
              </w:rPr>
            </w:pPr>
            <w:r w:rsidDel="00000000" w:rsidR="00000000" w:rsidRPr="00000000">
              <w:rPr>
                <w:rFonts w:ascii="Arial Unicode MS" w:cs="Arial Unicode MS" w:eastAsia="Arial Unicode MS" w:hAnsi="Arial Unicode MS"/>
                <w:sz w:val="20"/>
                <w:szCs w:val="20"/>
                <w:rtl w:val="0"/>
              </w:rPr>
              <w:t xml:space="preserve">−4,500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6">
            <w:pPr>
              <w:rPr>
                <w:sz w:val="20"/>
                <w:szCs w:val="20"/>
              </w:rPr>
            </w:pPr>
            <w:r w:rsidDel="00000000" w:rsidR="00000000" w:rsidRPr="00000000">
              <w:rPr>
                <w:rFonts w:ascii="Arial Unicode MS" w:cs="Arial Unicode MS" w:eastAsia="Arial Unicode MS" w:hAnsi="Arial Unicode MS"/>
                <w:sz w:val="20"/>
                <w:szCs w:val="20"/>
                <w:rtl w:val="0"/>
              </w:rPr>
              <w:t xml:space="preserve">−18,750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7">
            <w:pPr>
              <w:rPr>
                <w:b w:val="1"/>
                <w:bCs w:val="1"/>
                <w:sz w:val="20"/>
                <w:szCs w:val="20"/>
              </w:rPr>
            </w:pPr>
            <w:r w:rsidDel="00000000" w:rsidR="00000000" w:rsidRPr="00000000">
              <w:rPr>
                <w:b w:val="1"/>
                <w:bCs w:val="1"/>
                <w:sz w:val="20"/>
                <w:szCs w:val="20"/>
                <w:rtl w:val="0"/>
              </w:rPr>
              <w:t xml:space="preserve">  Reinsurance premium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8">
            <w:pPr>
              <w:rPr>
                <w:sz w:val="20"/>
                <w:szCs w:val="20"/>
              </w:rPr>
            </w:pPr>
            <w:r w:rsidDel="00000000" w:rsidR="00000000" w:rsidRPr="00000000">
              <w:rPr>
                <w:rFonts w:ascii="Arial Unicode MS" w:cs="Arial Unicode MS" w:eastAsia="Arial Unicode MS" w:hAnsi="Arial Unicode MS"/>
                <w:sz w:val="20"/>
                <w:szCs w:val="20"/>
                <w:rtl w:val="0"/>
              </w:rPr>
              <w:t xml:space="preserve">−216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9">
            <w:pPr>
              <w:rPr>
                <w:sz w:val="20"/>
                <w:szCs w:val="20"/>
              </w:rPr>
            </w:pPr>
            <w:r w:rsidDel="00000000" w:rsidR="00000000" w:rsidRPr="00000000">
              <w:rPr>
                <w:rFonts w:ascii="Arial Unicode MS" w:cs="Arial Unicode MS" w:eastAsia="Arial Unicode MS" w:hAnsi="Arial Unicode MS"/>
                <w:sz w:val="20"/>
                <w:szCs w:val="20"/>
                <w:rtl w:val="0"/>
              </w:rPr>
              <w:t xml:space="preserve">−1,296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A">
            <w:pPr>
              <w:rPr>
                <w:sz w:val="20"/>
                <w:szCs w:val="20"/>
              </w:rPr>
            </w:pPr>
            <w:r w:rsidDel="00000000" w:rsidR="00000000" w:rsidRPr="00000000">
              <w:rPr>
                <w:rFonts w:ascii="Arial Unicode MS" w:cs="Arial Unicode MS" w:eastAsia="Arial Unicode MS" w:hAnsi="Arial Unicode MS"/>
                <w:sz w:val="20"/>
                <w:szCs w:val="20"/>
                <w:rtl w:val="0"/>
              </w:rPr>
              <w:t xml:space="preserve">−5,400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B">
            <w:pPr>
              <w:rPr>
                <w:b w:val="1"/>
                <w:bCs w:val="1"/>
                <w:sz w:val="20"/>
                <w:szCs w:val="20"/>
              </w:rPr>
            </w:pPr>
            <w:r w:rsidDel="00000000" w:rsidR="00000000" w:rsidRPr="00000000">
              <w:rPr>
                <w:b w:val="1"/>
                <w:bCs w:val="1"/>
                <w:sz w:val="20"/>
                <w:szCs w:val="20"/>
                <w:rtl w:val="0"/>
              </w:rPr>
              <w:t xml:space="preserve">  Safe-rider rebates (10% under stress)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C">
            <w:pPr>
              <w:rPr>
                <w:sz w:val="20"/>
                <w:szCs w:val="20"/>
              </w:rPr>
            </w:pPr>
            <w:r w:rsidDel="00000000" w:rsidR="00000000" w:rsidRPr="00000000">
              <w:rPr>
                <w:rFonts w:ascii="Arial Unicode MS" w:cs="Arial Unicode MS" w:eastAsia="Arial Unicode MS" w:hAnsi="Arial Unicode MS"/>
                <w:sz w:val="20"/>
                <w:szCs w:val="20"/>
                <w:rtl w:val="0"/>
              </w:rPr>
              <w:t xml:space="preserve">−216</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D">
            <w:pPr>
              <w:rPr>
                <w:sz w:val="20"/>
                <w:szCs w:val="20"/>
              </w:rPr>
            </w:pPr>
            <w:r w:rsidDel="00000000" w:rsidR="00000000" w:rsidRPr="00000000">
              <w:rPr>
                <w:rFonts w:ascii="Arial Unicode MS" w:cs="Arial Unicode MS" w:eastAsia="Arial Unicode MS" w:hAnsi="Arial Unicode MS"/>
                <w:sz w:val="20"/>
                <w:szCs w:val="20"/>
                <w:rtl w:val="0"/>
              </w:rPr>
              <w:t xml:space="preserve">−1,296</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DE">
            <w:pPr>
              <w:rPr>
                <w:sz w:val="20"/>
                <w:szCs w:val="20"/>
              </w:rPr>
            </w:pPr>
            <w:r w:rsidDel="00000000" w:rsidR="00000000" w:rsidRPr="00000000">
              <w:rPr>
                <w:rFonts w:ascii="Arial Unicode MS" w:cs="Arial Unicode MS" w:eastAsia="Arial Unicode MS" w:hAnsi="Arial Unicode MS"/>
                <w:sz w:val="20"/>
                <w:szCs w:val="20"/>
                <w:rtl w:val="0"/>
              </w:rPr>
              <w:t xml:space="preserve">−5,400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DF">
            <w:pPr>
              <w:rPr>
                <w:b w:val="1"/>
                <w:bCs w:val="1"/>
                <w:sz w:val="20"/>
                <w:szCs w:val="20"/>
              </w:rPr>
            </w:pPr>
            <w:r w:rsidDel="00000000" w:rsidR="00000000" w:rsidRPr="00000000">
              <w:rPr>
                <w:b w:val="1"/>
                <w:bCs w:val="1"/>
                <w:sz w:val="20"/>
                <w:szCs w:val="20"/>
                <w:rtl w:val="0"/>
              </w:rPr>
              <w:t xml:space="preserve">  Catastrophe reserve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0">
            <w:pPr>
              <w:rPr>
                <w:sz w:val="20"/>
                <w:szCs w:val="20"/>
              </w:rPr>
            </w:pPr>
            <w:r w:rsidDel="00000000" w:rsidR="00000000" w:rsidRPr="00000000">
              <w:rPr>
                <w:rFonts w:ascii="Arial Unicode MS" w:cs="Arial Unicode MS" w:eastAsia="Arial Unicode MS" w:hAnsi="Arial Unicode MS"/>
                <w:sz w:val="20"/>
                <w:szCs w:val="20"/>
                <w:rtl w:val="0"/>
              </w:rPr>
              <w:t xml:space="preserve">−432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1">
            <w:pPr>
              <w:rPr>
                <w:sz w:val="20"/>
                <w:szCs w:val="20"/>
              </w:rPr>
            </w:pPr>
            <w:r w:rsidDel="00000000" w:rsidR="00000000" w:rsidRPr="00000000">
              <w:rPr>
                <w:rFonts w:ascii="Arial Unicode MS" w:cs="Arial Unicode MS" w:eastAsia="Arial Unicode MS" w:hAnsi="Arial Unicode MS"/>
                <w:sz w:val="20"/>
                <w:szCs w:val="20"/>
                <w:rtl w:val="0"/>
              </w:rPr>
              <w:t xml:space="preserve">−2,592</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2">
            <w:pPr>
              <w:rPr>
                <w:sz w:val="20"/>
                <w:szCs w:val="20"/>
              </w:rPr>
            </w:pPr>
            <w:r w:rsidDel="00000000" w:rsidR="00000000" w:rsidRPr="00000000">
              <w:rPr>
                <w:rFonts w:ascii="Arial Unicode MS" w:cs="Arial Unicode MS" w:eastAsia="Arial Unicode MS" w:hAnsi="Arial Unicode MS"/>
                <w:sz w:val="20"/>
                <w:szCs w:val="20"/>
                <w:rtl w:val="0"/>
              </w:rPr>
              <w:t xml:space="preserve">−10,800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3">
            <w:pPr>
              <w:rPr>
                <w:b w:val="1"/>
                <w:bCs w:val="1"/>
                <w:sz w:val="20"/>
                <w:szCs w:val="20"/>
              </w:rPr>
            </w:pPr>
            <w:r w:rsidDel="00000000" w:rsidR="00000000" w:rsidRPr="00000000">
              <w:rPr>
                <w:b w:val="1"/>
                <w:bCs w:val="1"/>
                <w:sz w:val="20"/>
                <w:szCs w:val="20"/>
                <w:rtl w:val="0"/>
              </w:rPr>
              <w:t xml:space="preserve">  Liquidity reserve build</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4">
            <w:pPr>
              <w:rPr>
                <w:sz w:val="20"/>
                <w:szCs w:val="20"/>
              </w:rPr>
            </w:pPr>
            <w:r w:rsidDel="00000000" w:rsidR="00000000" w:rsidRPr="00000000">
              <w:rPr>
                <w:rFonts w:ascii="Arial Unicode MS" w:cs="Arial Unicode MS" w:eastAsia="Arial Unicode MS" w:hAnsi="Arial Unicode MS"/>
                <w:sz w:val="20"/>
                <w:szCs w:val="20"/>
                <w:rtl w:val="0"/>
              </w:rPr>
              <w:t xml:space="preserve">−540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5">
            <w:pPr>
              <w:rPr>
                <w:sz w:val="20"/>
                <w:szCs w:val="20"/>
              </w:rPr>
            </w:pPr>
            <w:r w:rsidDel="00000000" w:rsidR="00000000" w:rsidRPr="00000000">
              <w:rPr>
                <w:rFonts w:ascii="Arial Unicode MS" w:cs="Arial Unicode MS" w:eastAsia="Arial Unicode MS" w:hAnsi="Arial Unicode MS"/>
                <w:sz w:val="20"/>
                <w:szCs w:val="20"/>
                <w:rtl w:val="0"/>
              </w:rPr>
              <w:t xml:space="preserve">−3,240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6">
            <w:pPr>
              <w:rPr>
                <w:sz w:val="20"/>
                <w:szCs w:val="20"/>
              </w:rPr>
            </w:pPr>
            <w:r w:rsidDel="00000000" w:rsidR="00000000" w:rsidRPr="00000000">
              <w:rPr>
                <w:rFonts w:ascii="Arial Unicode MS" w:cs="Arial Unicode MS" w:eastAsia="Arial Unicode MS" w:hAnsi="Arial Unicode MS"/>
                <w:sz w:val="20"/>
                <w:szCs w:val="20"/>
                <w:rtl w:val="0"/>
              </w:rPr>
              <w:t xml:space="preserve">−13,500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7">
            <w:pPr>
              <w:rPr>
                <w:b w:val="1"/>
                <w:bCs w:val="1"/>
                <w:sz w:val="20"/>
                <w:szCs w:val="20"/>
              </w:rPr>
            </w:pPr>
            <w:r w:rsidDel="00000000" w:rsidR="00000000" w:rsidRPr="00000000">
              <w:rPr>
                <w:b w:val="1"/>
                <w:bCs w:val="1"/>
                <w:sz w:val="20"/>
                <w:szCs w:val="20"/>
                <w:rtl w:val="0"/>
              </w:rPr>
              <w:t xml:space="preserve">  Treasury reserve build</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8">
            <w:pPr>
              <w:rPr>
                <w:sz w:val="20"/>
                <w:szCs w:val="20"/>
              </w:rPr>
            </w:pPr>
            <w:r w:rsidDel="00000000" w:rsidR="00000000" w:rsidRPr="00000000">
              <w:rPr>
                <w:rFonts w:ascii="Arial Unicode MS" w:cs="Arial Unicode MS" w:eastAsia="Arial Unicode MS" w:hAnsi="Arial Unicode MS"/>
                <w:sz w:val="20"/>
                <w:szCs w:val="20"/>
                <w:rtl w:val="0"/>
              </w:rPr>
              <w:t xml:space="preserve">−6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9">
            <w:pPr>
              <w:rPr>
                <w:sz w:val="20"/>
                <w:szCs w:val="20"/>
              </w:rPr>
            </w:pPr>
            <w:r w:rsidDel="00000000" w:rsidR="00000000" w:rsidRPr="00000000">
              <w:rPr>
                <w:rFonts w:ascii="Arial Unicode MS" w:cs="Arial Unicode MS" w:eastAsia="Arial Unicode MS" w:hAnsi="Arial Unicode MS"/>
                <w:sz w:val="20"/>
                <w:szCs w:val="20"/>
                <w:rtl w:val="0"/>
              </w:rPr>
              <w:t xml:space="preserve">−36</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A">
            <w:pPr>
              <w:rPr>
                <w:sz w:val="20"/>
                <w:szCs w:val="20"/>
              </w:rPr>
            </w:pPr>
            <w:r w:rsidDel="00000000" w:rsidR="00000000" w:rsidRPr="00000000">
              <w:rPr>
                <w:rFonts w:ascii="Arial Unicode MS" w:cs="Arial Unicode MS" w:eastAsia="Arial Unicode MS" w:hAnsi="Arial Unicode MS"/>
                <w:sz w:val="20"/>
                <w:szCs w:val="20"/>
                <w:rtl w:val="0"/>
              </w:rPr>
              <w:t xml:space="preserve">−150</w:t>
            </w:r>
          </w:p>
        </w:tc>
      </w:tr>
      <w:tr>
        <w:trPr>
          <w:cantSplit w:val="0"/>
          <w:trHeight w:val="28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B">
            <w:pPr>
              <w:rPr>
                <w:b w:val="1"/>
                <w:bCs w:val="1"/>
                <w:sz w:val="20"/>
                <w:szCs w:val="20"/>
              </w:rPr>
            </w:pPr>
            <w:r w:rsidDel="00000000" w:rsidR="00000000" w:rsidRPr="00000000">
              <w:rPr>
                <w:b w:val="1"/>
                <w:bCs w:val="1"/>
                <w:sz w:val="20"/>
                <w:szCs w:val="20"/>
                <w:rtl w:val="0"/>
              </w:rPr>
              <w:t xml:space="preserve">Protocol revenue (operating)</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C">
            <w:pPr>
              <w:rPr/>
            </w:pPr>
            <w:r w:rsidDel="00000000" w:rsidR="00000000" w:rsidRPr="00000000">
              <w:rPr>
                <w:rtl w:val="0"/>
              </w:rPr>
              <w:t xml:space="preserve">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D">
            <w:pPr>
              <w:rPr/>
            </w:pPr>
            <w:r w:rsidDel="00000000" w:rsidR="00000000" w:rsidRPr="00000000">
              <w:rPr>
                <w:rtl w:val="0"/>
              </w:rPr>
              <w:t xml:space="preserve"> </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 </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EF">
            <w:pPr>
              <w:rPr>
                <w:b w:val="1"/>
                <w:bCs w:val="1"/>
                <w:sz w:val="20"/>
                <w:szCs w:val="20"/>
              </w:rPr>
            </w:pPr>
            <w:r w:rsidDel="00000000" w:rsidR="00000000" w:rsidRPr="00000000">
              <w:rPr>
                <w:b w:val="1"/>
                <w:bCs w:val="1"/>
                <w:sz w:val="20"/>
                <w:szCs w:val="20"/>
                <w:rtl w:val="0"/>
              </w:rPr>
              <w:t xml:space="preserve">  RideTrue protocol fee (5%)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0">
            <w:pPr>
              <w:rPr>
                <w:sz w:val="20"/>
                <w:szCs w:val="20"/>
              </w:rPr>
            </w:pPr>
            <w:r w:rsidDel="00000000" w:rsidR="00000000" w:rsidRPr="00000000">
              <w:rPr>
                <w:sz w:val="20"/>
                <w:szCs w:val="20"/>
                <w:rtl w:val="0"/>
              </w:rPr>
              <w:t xml:space="preserve">+108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+648</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2">
            <w:pPr>
              <w:rPr>
                <w:sz w:val="20"/>
                <w:szCs w:val="20"/>
              </w:rPr>
            </w:pPr>
            <w:r w:rsidDel="00000000" w:rsidR="00000000" w:rsidRPr="00000000">
              <w:rPr>
                <w:sz w:val="20"/>
                <w:szCs w:val="20"/>
                <w:rtl w:val="0"/>
              </w:rPr>
              <w:t xml:space="preserve">+2,700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3">
            <w:pPr>
              <w:rPr>
                <w:b w:val="1"/>
                <w:bCs w:val="1"/>
                <w:sz w:val="20"/>
                <w:szCs w:val="20"/>
              </w:rPr>
            </w:pPr>
            <w:r w:rsidDel="00000000" w:rsidR="00000000" w:rsidRPr="00000000">
              <w:rPr>
                <w:b w:val="1"/>
                <w:bCs w:val="1"/>
                <w:sz w:val="20"/>
                <w:szCs w:val="20"/>
                <w:rtl w:val="0"/>
              </w:rPr>
              <w:t xml:space="preserve">  Claim processing margin</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+11.5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6">
            <w:pPr>
              <w:rPr>
                <w:sz w:val="20"/>
                <w:szCs w:val="20"/>
              </w:rPr>
            </w:pPr>
            <w:r w:rsidDel="00000000" w:rsidR="00000000" w:rsidRPr="00000000">
              <w:rPr>
                <w:sz w:val="20"/>
                <w:szCs w:val="20"/>
                <w:rtl w:val="0"/>
              </w:rPr>
              <w:t xml:space="preserve">+48</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7">
            <w:pPr>
              <w:rPr>
                <w:b w:val="1"/>
                <w:bCs w:val="1"/>
                <w:sz w:val="20"/>
                <w:szCs w:val="20"/>
              </w:rPr>
            </w:pPr>
            <w:r w:rsidDel="00000000" w:rsidR="00000000" w:rsidRPr="00000000">
              <w:rPr>
                <w:b w:val="1"/>
                <w:bCs w:val="1"/>
                <w:sz w:val="20"/>
                <w:szCs w:val="20"/>
                <w:rtl w:val="0"/>
              </w:rPr>
              <w:t xml:space="preserve">  MotoChain VIN + transfer fees</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8">
            <w:pPr>
              <w:rPr>
                <w:sz w:val="20"/>
                <w:szCs w:val="20"/>
              </w:rPr>
            </w:pPr>
            <w:r w:rsidDel="00000000" w:rsidR="00000000" w:rsidRPr="00000000">
              <w:rPr>
                <w:sz w:val="20"/>
                <w:szCs w:val="20"/>
                <w:rtl w:val="0"/>
              </w:rPr>
              <w:t xml:space="preserve">+65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9">
            <w:pPr>
              <w:rPr>
                <w:sz w:val="20"/>
                <w:szCs w:val="20"/>
              </w:rPr>
            </w:pPr>
            <w:r w:rsidDel="00000000" w:rsidR="00000000" w:rsidRPr="00000000">
              <w:rPr>
                <w:sz w:val="20"/>
                <w:szCs w:val="20"/>
                <w:rtl w:val="0"/>
              </w:rPr>
              <w:t xml:space="preserve">+325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+1,300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B">
            <w:pPr>
              <w:rPr>
                <w:b w:val="1"/>
                <w:bCs w:val="1"/>
                <w:sz w:val="20"/>
                <w:szCs w:val="20"/>
              </w:rPr>
            </w:pPr>
            <w:r w:rsidDel="00000000" w:rsidR="00000000" w:rsidRPr="00000000">
              <w:rPr>
                <w:b w:val="1"/>
                <w:bCs w:val="1"/>
                <w:sz w:val="20"/>
                <w:szCs w:val="20"/>
                <w:rtl w:val="0"/>
              </w:rPr>
              <w:t xml:space="preserve">  Service-entry protocol share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1FE">
            <w:pPr>
              <w:rPr>
                <w:sz w:val="20"/>
                <w:szCs w:val="20"/>
              </w:rPr>
            </w:pPr>
            <w:r w:rsidDel="00000000" w:rsidR="00000000" w:rsidRPr="00000000">
              <w:rPr>
                <w:sz w:val="20"/>
                <w:szCs w:val="20"/>
                <w:rtl w:val="0"/>
              </w:rPr>
              <w:t xml:space="preserve">+200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1FF">
            <w:pPr>
              <w:rPr>
                <w:b w:val="1"/>
                <w:bCs w:val="1"/>
                <w:sz w:val="20"/>
                <w:szCs w:val="20"/>
              </w:rPr>
            </w:pPr>
            <w:r w:rsidDel="00000000" w:rsidR="00000000" w:rsidRPr="00000000">
              <w:rPr>
                <w:b w:val="1"/>
                <w:bCs w:val="1"/>
                <w:sz w:val="20"/>
                <w:szCs w:val="20"/>
                <w:rtl w:val="0"/>
              </w:rPr>
              <w:t xml:space="preserve">  B2B API (realistic ramp)</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+360</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+1,800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3">
            <w:pPr>
              <w:rPr>
                <w:b w:val="1"/>
                <w:bCs w:val="1"/>
                <w:sz w:val="20"/>
                <w:szCs w:val="20"/>
              </w:rPr>
            </w:pPr>
            <w:r w:rsidDel="00000000" w:rsidR="00000000" w:rsidRPr="00000000">
              <w:rPr>
                <w:b w:val="1"/>
                <w:bCs w:val="1"/>
                <w:sz w:val="20"/>
                <w:szCs w:val="20"/>
                <w:rtl w:val="0"/>
              </w:rPr>
              <w:t xml:space="preserve">  DeFi yield on treasury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+120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+400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7">
            <w:pPr>
              <w:rPr>
                <w:b w:val="1"/>
                <w:bCs w:val="1"/>
                <w:sz w:val="20"/>
                <w:szCs w:val="20"/>
              </w:rPr>
            </w:pPr>
            <w:r w:rsidDel="00000000" w:rsidR="00000000" w:rsidRPr="00000000">
              <w:rPr>
                <w:b w:val="1"/>
                <w:bCs w:val="1"/>
                <w:sz w:val="20"/>
                <w:szCs w:val="20"/>
                <w:rtl w:val="0"/>
              </w:rPr>
              <w:t xml:space="preserve">  Total Protocol Revenue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+275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+1,515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+6,448</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B">
            <w:pPr>
              <w:rPr>
                <w:b w:val="1"/>
                <w:bCs w:val="1"/>
                <w:sz w:val="20"/>
                <w:szCs w:val="20"/>
              </w:rPr>
            </w:pPr>
            <w:r w:rsidDel="00000000" w:rsidR="00000000" w:rsidRPr="00000000">
              <w:rPr>
                <w:b w:val="1"/>
                <w:bCs w:val="1"/>
                <w:sz w:val="20"/>
                <w:szCs w:val="20"/>
                <w:rtl w:val="0"/>
              </w:rPr>
              <w:t xml:space="preserve">Total Operating Expense</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C">
            <w:pPr>
              <w:rPr>
                <w:sz w:val="20"/>
                <w:szCs w:val="20"/>
              </w:rPr>
            </w:pPr>
            <w:r w:rsidDel="00000000" w:rsidR="00000000" w:rsidRPr="00000000">
              <w:rPr>
                <w:rFonts w:ascii="Arial Unicode MS" w:cs="Arial Unicode MS" w:eastAsia="Arial Unicode MS" w:hAnsi="Arial Unicode MS"/>
                <w:sz w:val="20"/>
                <w:szCs w:val="20"/>
                <w:rtl w:val="0"/>
              </w:rPr>
              <w:t xml:space="preserve">−1,800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D">
            <w:pPr>
              <w:rPr>
                <w:sz w:val="20"/>
                <w:szCs w:val="20"/>
              </w:rPr>
            </w:pPr>
            <w:r w:rsidDel="00000000" w:rsidR="00000000" w:rsidRPr="00000000">
              <w:rPr>
                <w:rFonts w:ascii="Arial Unicode MS" w:cs="Arial Unicode MS" w:eastAsia="Arial Unicode MS" w:hAnsi="Arial Unicode MS"/>
                <w:sz w:val="20"/>
                <w:szCs w:val="20"/>
                <w:rtl w:val="0"/>
              </w:rPr>
              <w:t xml:space="preserve">−2,500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0E">
            <w:pPr>
              <w:rPr>
                <w:sz w:val="20"/>
                <w:szCs w:val="20"/>
              </w:rPr>
            </w:pPr>
            <w:r w:rsidDel="00000000" w:rsidR="00000000" w:rsidRPr="00000000">
              <w:rPr>
                <w:rFonts w:ascii="Arial Unicode MS" w:cs="Arial Unicode MS" w:eastAsia="Arial Unicode MS" w:hAnsi="Arial Unicode MS"/>
                <w:sz w:val="20"/>
                <w:szCs w:val="20"/>
                <w:rtl w:val="0"/>
              </w:rPr>
              <w:t xml:space="preserve">−3,400</w:t>
            </w:r>
          </w:p>
        </w:tc>
      </w:tr>
      <w:tr>
        <w:trPr>
          <w:cantSplit w:val="0"/>
          <w:trHeight w:val="255"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0F">
            <w:pPr>
              <w:rPr>
                <w:b w:val="1"/>
                <w:bCs w:val="1"/>
                <w:sz w:val="20"/>
                <w:szCs w:val="20"/>
              </w:rPr>
            </w:pPr>
            <w:r w:rsidDel="00000000" w:rsidR="00000000" w:rsidRPr="00000000">
              <w:rPr>
                <w:b w:val="1"/>
                <w:bCs w:val="1"/>
                <w:sz w:val="20"/>
                <w:szCs w:val="20"/>
                <w:rtl w:val="0"/>
              </w:rPr>
              <w:t xml:space="preserve">Net Operating Income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0">
            <w:pPr>
              <w:rPr>
                <w:sz w:val="20"/>
                <w:szCs w:val="20"/>
              </w:rPr>
            </w:pPr>
            <w:r w:rsidDel="00000000" w:rsidR="00000000" w:rsidRPr="00000000">
              <w:rPr>
                <w:rFonts w:ascii="Arial Unicode MS" w:cs="Arial Unicode MS" w:eastAsia="Arial Unicode MS" w:hAnsi="Arial Unicode MS"/>
                <w:sz w:val="20"/>
                <w:szCs w:val="20"/>
                <w:rtl w:val="0"/>
              </w:rPr>
              <w:t xml:space="preserve">−1,525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1">
            <w:pPr>
              <w:rPr>
                <w:sz w:val="20"/>
                <w:szCs w:val="20"/>
              </w:rPr>
            </w:pPr>
            <w:r w:rsidDel="00000000" w:rsidR="00000000" w:rsidRPr="00000000">
              <w:rPr>
                <w:rFonts w:ascii="Arial Unicode MS" w:cs="Arial Unicode MS" w:eastAsia="Arial Unicode MS" w:hAnsi="Arial Unicode MS"/>
                <w:sz w:val="20"/>
                <w:szCs w:val="20"/>
                <w:rtl w:val="0"/>
              </w:rPr>
              <w:t xml:space="preserve">−985</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2">
            <w:pPr>
              <w:rPr>
                <w:sz w:val="20"/>
                <w:szCs w:val="20"/>
              </w:rPr>
            </w:pPr>
            <w:r w:rsidDel="00000000" w:rsidR="00000000" w:rsidRPr="00000000">
              <w:rPr>
                <w:sz w:val="20"/>
                <w:szCs w:val="20"/>
                <w:rtl w:val="0"/>
              </w:rPr>
              <w:t xml:space="preserve">+3,048</w:t>
            </w:r>
          </w:p>
        </w:tc>
      </w:tr>
    </w:tbl>
    <w:p w:rsidR="00000000" w:rsidDel="00000000" w:rsidP="00000000" w:rsidRDefault="00000000" w:rsidRPr="00000000" w14:paraId="00000213">
      <w:pPr>
        <w:spacing w:after="200" w:lineRule="auto"/>
        <w:rPr>
          <w:i w:val="1"/>
          <w:iCs w:val="1"/>
          <w:color w:val="555555"/>
        </w:rPr>
      </w:pPr>
      <w:r w:rsidDel="00000000" w:rsidR="00000000" w:rsidRPr="00000000">
        <w:rPr>
          <w:i w:val="1"/>
          <w:iCs w:val="1"/>
          <w:color w:val="555555"/>
          <w:rtl w:val="0"/>
        </w:rPr>
        <w:t xml:space="preserve">B2B API revenue is shown at one-third of the baseline figures from Section 5.4 to reflect realistic data network bootstrapping: a 0.2% market coverage in Year 1 does not yet justify the optimistic per-partner subscription fees, but the trajectory is preserved. Year 3 marks first sustained protocol-level profitability under stress assumptions.</w:t>
      </w:r>
    </w:p>
    <w:p w:rsidR="00000000" w:rsidDel="00000000" w:rsidP="00000000" w:rsidRDefault="00000000" w:rsidRPr="00000000" w14:paraId="00000214">
      <w:pPr>
        <w:spacing w:after="200" w:lineRule="auto"/>
        <w:rPr>
          <w:b w:val="1"/>
          <w:bCs w:val="1"/>
        </w:rPr>
      </w:pPr>
      <w:r w:rsidDel="00000000" w:rsidR="00000000" w:rsidRPr="00000000">
        <w:rPr>
          <w:b w:val="1"/>
          <w:bCs w:val="1"/>
          <w:rtl w:val="0"/>
        </w:rPr>
        <w:t xml:space="preserve">Total funding requirement</w:t>
      </w:r>
    </w:p>
    <w:p w:rsidR="00000000" w:rsidDel="00000000" w:rsidP="00000000" w:rsidRDefault="00000000" w:rsidRPr="00000000" w14:paraId="00000215">
      <w:pPr>
        <w:spacing w:after="200" w:lineRule="auto"/>
        <w:rPr/>
      </w:pPr>
      <w:r w:rsidDel="00000000" w:rsidR="00000000" w:rsidRPr="00000000">
        <w:rPr>
          <w:rtl w:val="0"/>
        </w:rPr>
        <w:t xml:space="preserve">Cumulative operating loss across Years 1–2 is ~₩2.5B. With a 12-month operating runway buffer beyond breakeven (₩2B), the protocol requires approximately ₩4.5B (~$3.3M USD) of seed and Series A capital to reach sustained profitability — separately from the LP capital required for pool underwriting. Combined with the LP capital targets above, total external capital required to launch and operate to Year 3 is in the ₩7.5–10.0B range (~$5.5–7.5M USD).</w:t>
      </w:r>
    </w:p>
    <w:p w:rsidR="00000000" w:rsidDel="00000000" w:rsidP="00000000" w:rsidRDefault="00000000" w:rsidRPr="00000000" w14:paraId="00000216">
      <w:pPr>
        <w:spacing w:after="200" w:lineRule="auto"/>
        <w:rPr>
          <w:b w:val="1"/>
          <w:bCs w:val="1"/>
        </w:rPr>
      </w:pPr>
      <w:r w:rsidDel="00000000" w:rsidR="00000000" w:rsidRPr="00000000">
        <w:rPr>
          <w:b w:val="1"/>
          <w:bCs w:val="1"/>
          <w:rtl w:val="0"/>
        </w:rPr>
        <w:t xml:space="preserve">Sensitivity analysis: what breaks the model</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070"/>
        <w:gridCol w:w="4395"/>
        <w:tblGridChange w:id="0">
          <w:tblGrid>
            <w:gridCol w:w="2655"/>
            <w:gridCol w:w="2070"/>
            <w:gridCol w:w="4395"/>
          </w:tblGrid>
        </w:tblGridChange>
      </w:tblGrid>
      <w:tr>
        <w:trPr>
          <w:cantSplit w:val="0"/>
          <w:trHeight w:val="495" w:hRule="atLeast"/>
          <w:tblHeader w:val="0"/>
        </w:trPr>
        <w:tc>
          <w:tcPr>
            <w:tcBorders>
              <w:top w:color="4f81bd" w:space="0" w:sz="6" w:val="single"/>
              <w:left w:color="4f81bd" w:space="0" w:sz="6" w:val="single"/>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217">
            <w:pPr>
              <w:rPr>
                <w:b w:val="1"/>
                <w:bCs w:val="1"/>
                <w:sz w:val="20"/>
                <w:szCs w:val="20"/>
              </w:rPr>
            </w:pPr>
            <w:r w:rsidDel="00000000" w:rsidR="00000000" w:rsidRPr="00000000">
              <w:rPr>
                <w:b w:val="1"/>
                <w:bCs w:val="1"/>
                <w:sz w:val="20"/>
                <w:szCs w:val="20"/>
                <w:rtl w:val="0"/>
              </w:rPr>
              <w:t xml:space="preserve">Stress Factor</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218">
            <w:pPr>
              <w:rPr>
                <w:b w:val="1"/>
                <w:bCs w:val="1"/>
                <w:sz w:val="20"/>
                <w:szCs w:val="20"/>
              </w:rPr>
            </w:pPr>
            <w:r w:rsidDel="00000000" w:rsidR="00000000" w:rsidRPr="00000000">
              <w:rPr>
                <w:b w:val="1"/>
                <w:bCs w:val="1"/>
                <w:sz w:val="20"/>
                <w:szCs w:val="20"/>
                <w:rtl w:val="0"/>
              </w:rPr>
              <w:t xml:space="preserve">Breaking Threshold</w:t>
            </w:r>
          </w:p>
        </w:tc>
        <w:tc>
          <w:tcPr>
            <w:tcBorders>
              <w:top w:color="4f81bd" w:space="0" w:sz="6" w:val="single"/>
              <w:left w:color="000000" w:space="0" w:sz="0" w:val="nil"/>
              <w:bottom w:color="4f81bd" w:space="0" w:sz="18" w:val="single"/>
              <w:right w:color="4f81bd" w:space="0" w:sz="6" w:val="single"/>
            </w:tcBorders>
            <w:shd w:fill="d5e8f0" w:val="clear"/>
            <w:tcMar>
              <w:top w:w="0.0" w:type="dxa"/>
              <w:left w:w="100.0" w:type="dxa"/>
              <w:bottom w:w="0.0" w:type="dxa"/>
              <w:right w:w="100.0" w:type="dxa"/>
            </w:tcMar>
            <w:vAlign w:val="top"/>
          </w:tcPr>
          <w:p w:rsidR="00000000" w:rsidDel="00000000" w:rsidP="00000000" w:rsidRDefault="00000000" w:rsidRPr="00000000" w14:paraId="00000219">
            <w:pPr>
              <w:rPr>
                <w:b w:val="1"/>
                <w:bCs w:val="1"/>
                <w:sz w:val="20"/>
                <w:szCs w:val="20"/>
              </w:rPr>
            </w:pPr>
            <w:r w:rsidDel="00000000" w:rsidR="00000000" w:rsidRPr="00000000">
              <w:rPr>
                <w:b w:val="1"/>
                <w:bCs w:val="1"/>
                <w:sz w:val="20"/>
                <w:szCs w:val="20"/>
                <w:rtl w:val="0"/>
              </w:rPr>
              <w:t xml:space="preserve">Consequence</w:t>
            </w:r>
          </w:p>
        </w:tc>
      </w:tr>
      <w:tr>
        <w:trPr>
          <w:cantSplit w:val="0"/>
          <w:trHeight w:val="495"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1A">
            <w:pPr>
              <w:rPr>
                <w:b w:val="1"/>
                <w:bCs w:val="1"/>
                <w:sz w:val="20"/>
                <w:szCs w:val="20"/>
              </w:rPr>
            </w:pPr>
            <w:r w:rsidDel="00000000" w:rsidR="00000000" w:rsidRPr="00000000">
              <w:rPr>
                <w:b w:val="1"/>
                <w:bCs w:val="1"/>
                <w:sz w:val="20"/>
                <w:szCs w:val="20"/>
                <w:rtl w:val="0"/>
              </w:rPr>
              <w:t xml:space="preserve">Claim frequency</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1B">
            <w:pPr>
              <w:rPr>
                <w:sz w:val="20"/>
                <w:szCs w:val="20"/>
              </w:rPr>
            </w:pPr>
            <w:r w:rsidDel="00000000" w:rsidR="00000000" w:rsidRPr="00000000">
              <w:rPr>
                <w:sz w:val="20"/>
                <w:szCs w:val="20"/>
                <w:rtl w:val="0"/>
              </w:rPr>
              <w:t xml:space="preserve">&gt; 25%</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Loss ratio &gt; 60%; rebates eliminated; mandatory premium increase</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D">
            <w:pPr>
              <w:rPr>
                <w:b w:val="1"/>
                <w:bCs w:val="1"/>
                <w:sz w:val="20"/>
                <w:szCs w:val="20"/>
              </w:rPr>
            </w:pPr>
            <w:r w:rsidDel="00000000" w:rsidR="00000000" w:rsidRPr="00000000">
              <w:rPr>
                <w:b w:val="1"/>
                <w:bCs w:val="1"/>
                <w:sz w:val="20"/>
                <w:szCs w:val="20"/>
                <w:rtl w:val="0"/>
              </w:rPr>
              <w:t xml:space="preserve">Average claim severity</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E">
            <w:pPr>
              <w:rPr>
                <w:sz w:val="20"/>
                <w:szCs w:val="20"/>
              </w:rPr>
            </w:pPr>
            <w:r w:rsidDel="00000000" w:rsidR="00000000" w:rsidRPr="00000000">
              <w:rPr>
                <w:sz w:val="20"/>
                <w:szCs w:val="20"/>
                <w:rtl w:val="0"/>
              </w:rPr>
              <w:t xml:space="preserve">&gt; ₩4M</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Loss ratio approaches 75%; pool requires LP backstop activation</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0">
            <w:pPr>
              <w:rPr>
                <w:b w:val="1"/>
                <w:bCs w:val="1"/>
                <w:sz w:val="20"/>
                <w:szCs w:val="20"/>
              </w:rPr>
            </w:pPr>
            <w:r w:rsidDel="00000000" w:rsidR="00000000" w:rsidRPr="00000000">
              <w:rPr>
                <w:b w:val="1"/>
                <w:bCs w:val="1"/>
                <w:sz w:val="20"/>
                <w:szCs w:val="20"/>
                <w:rtl w:val="0"/>
              </w:rPr>
              <w:t xml:space="preserve">Rider acquisition (Year 1)</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1">
            <w:pPr>
              <w:rPr>
                <w:sz w:val="20"/>
                <w:szCs w:val="20"/>
              </w:rPr>
            </w:pPr>
            <w:r w:rsidDel="00000000" w:rsidR="00000000" w:rsidRPr="00000000">
              <w:rPr>
                <w:sz w:val="20"/>
                <w:szCs w:val="20"/>
                <w:rtl w:val="0"/>
              </w:rPr>
              <w:t xml:space="preserve">&lt; 1,500</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Revenue insufficient to cover OpEx; runway shortens to ~6 months</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3">
            <w:pPr>
              <w:rPr>
                <w:b w:val="1"/>
                <w:bCs w:val="1"/>
                <w:sz w:val="20"/>
                <w:szCs w:val="20"/>
              </w:rPr>
            </w:pPr>
            <w:r w:rsidDel="00000000" w:rsidR="00000000" w:rsidRPr="00000000">
              <w:rPr>
                <w:b w:val="1"/>
                <w:bCs w:val="1"/>
                <w:sz w:val="20"/>
                <w:szCs w:val="20"/>
                <w:rtl w:val="0"/>
              </w:rPr>
              <w:t xml:space="preserve">LP capital recruitment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4">
            <w:pPr>
              <w:rPr>
                <w:sz w:val="20"/>
                <w:szCs w:val="20"/>
              </w:rPr>
            </w:pPr>
            <w:r w:rsidDel="00000000" w:rsidR="00000000" w:rsidRPr="00000000">
              <w:rPr>
                <w:sz w:val="20"/>
                <w:szCs w:val="20"/>
                <w:rtl w:val="0"/>
              </w:rPr>
              <w:t xml:space="preserve">&lt; 50% of target</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Pool undercollateralized; coverage caps reduced or intake throttled</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6">
            <w:pPr>
              <w:rPr>
                <w:b w:val="1"/>
                <w:bCs w:val="1"/>
                <w:sz w:val="20"/>
                <w:szCs w:val="20"/>
              </w:rPr>
            </w:pPr>
            <w:r w:rsidDel="00000000" w:rsidR="00000000" w:rsidRPr="00000000">
              <w:rPr>
                <w:b w:val="1"/>
                <w:bCs w:val="1"/>
                <w:sz w:val="20"/>
                <w:szCs w:val="20"/>
                <w:rtl w:val="0"/>
              </w:rPr>
              <w:t xml:space="preserve">B2B API partners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7">
            <w:pPr>
              <w:rPr>
                <w:sz w:val="20"/>
                <w:szCs w:val="20"/>
              </w:rPr>
            </w:pPr>
            <w:r w:rsidDel="00000000" w:rsidR="00000000" w:rsidRPr="00000000">
              <w:rPr>
                <w:sz w:val="20"/>
                <w:szCs w:val="20"/>
                <w:rtl w:val="0"/>
              </w:rPr>
              <w:t xml:space="preserve">&lt; 2 by Year 2</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API revenue collapses; profitability deferred to Year 4</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9">
            <w:pPr>
              <w:rPr>
                <w:b w:val="1"/>
                <w:bCs w:val="1"/>
                <w:sz w:val="20"/>
                <w:szCs w:val="20"/>
              </w:rPr>
            </w:pPr>
            <w:r w:rsidDel="00000000" w:rsidR="00000000" w:rsidRPr="00000000">
              <w:rPr>
                <w:b w:val="1"/>
                <w:bCs w:val="1"/>
                <w:sz w:val="20"/>
                <w:szCs w:val="20"/>
                <w:rtl w:val="0"/>
              </w:rPr>
              <w:t xml:space="preserve">Seed/Series A raise</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A">
            <w:pPr>
              <w:rPr>
                <w:sz w:val="20"/>
                <w:szCs w:val="20"/>
              </w:rPr>
            </w:pPr>
            <w:r w:rsidDel="00000000" w:rsidR="00000000" w:rsidRPr="00000000">
              <w:rPr>
                <w:sz w:val="20"/>
                <w:szCs w:val="20"/>
                <w:rtl w:val="0"/>
              </w:rPr>
              <w:t xml:space="preserve">&lt; ₩4B</w:t>
            </w:r>
          </w:p>
        </w:tc>
        <w:tc>
          <w:tcPr>
            <w:tcBorders>
              <w:top w:color="000000" w:space="0" w:sz="0" w:val="nil"/>
              <w:left w:color="000000" w:space="0" w:sz="0" w:val="nil"/>
              <w:bottom w:color="4f81bd" w:space="0" w:sz="6" w:val="single"/>
              <w:right w:color="4f81bd" w:space="0" w:sz="6" w:val="single"/>
            </w:tcBorders>
            <w:tcMar>
              <w:top w:w="0.0" w:type="dxa"/>
              <w:left w:w="100.0" w:type="dxa"/>
              <w:bottom w:w="0.0" w:type="dxa"/>
              <w:right w:w="10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Year 2 operations require bridge funding or scope reduction</w:t>
            </w:r>
          </w:p>
        </w:tc>
      </w:tr>
      <w:tr>
        <w:trPr>
          <w:cantSplit w:val="0"/>
          <w:trHeight w:val="480" w:hRule="atLeast"/>
          <w:tblHeader w:val="0"/>
        </w:trPr>
        <w:tc>
          <w:tcPr>
            <w:tcBorders>
              <w:top w:color="000000" w:space="0" w:sz="0" w:val="nil"/>
              <w:left w:color="4f81bd" w:space="0" w:sz="6" w:val="single"/>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C">
            <w:pPr>
              <w:rPr>
                <w:b w:val="1"/>
                <w:bCs w:val="1"/>
                <w:sz w:val="20"/>
                <w:szCs w:val="20"/>
              </w:rPr>
            </w:pPr>
            <w:r w:rsidDel="00000000" w:rsidR="00000000" w:rsidRPr="00000000">
              <w:rPr>
                <w:b w:val="1"/>
                <w:bCs w:val="1"/>
                <w:sz w:val="20"/>
                <w:szCs w:val="20"/>
                <w:rtl w:val="0"/>
              </w:rPr>
              <w:t xml:space="preserve">Single catastrophic event</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D">
            <w:pPr>
              <w:rPr>
                <w:sz w:val="20"/>
                <w:szCs w:val="20"/>
              </w:rPr>
            </w:pPr>
            <w:r w:rsidDel="00000000" w:rsidR="00000000" w:rsidRPr="00000000">
              <w:rPr>
                <w:sz w:val="20"/>
                <w:szCs w:val="20"/>
                <w:rtl w:val="0"/>
              </w:rPr>
              <w:t xml:space="preserve">&gt; ₩1B claims in 7 days</w:t>
            </w:r>
          </w:p>
        </w:tc>
        <w:tc>
          <w:tcPr>
            <w:tcBorders>
              <w:top w:color="000000" w:space="0" w:sz="0" w:val="nil"/>
              <w:left w:color="000000" w:space="0" w:sz="0" w:val="nil"/>
              <w:bottom w:color="4f81bd" w:space="0" w:sz="6" w:val="single"/>
              <w:right w:color="4f81bd" w:space="0" w:sz="6" w:val="single"/>
            </w:tcBorders>
            <w:shd w:fill="d3dfee" w:val="clear"/>
            <w:tcMar>
              <w:top w:w="0.0" w:type="dxa"/>
              <w:left w:w="100.0" w:type="dxa"/>
              <w:bottom w:w="0.0" w:type="dxa"/>
              <w:right w:w="100.0" w:type="dxa"/>
            </w:tcMar>
            <w:vAlign w:val="top"/>
          </w:tcPr>
          <w:p w:rsidR="00000000" w:rsidDel="00000000" w:rsidP="00000000" w:rsidRDefault="00000000" w:rsidRPr="00000000" w14:paraId="0000022E">
            <w:pPr>
              <w:rPr>
                <w:sz w:val="20"/>
                <w:szCs w:val="20"/>
              </w:rPr>
            </w:pPr>
            <w:r w:rsidDel="00000000" w:rsidR="00000000" w:rsidRPr="00000000">
              <w:rPr>
                <w:sz w:val="20"/>
                <w:szCs w:val="20"/>
                <w:rtl w:val="0"/>
              </w:rPr>
              <w:t xml:space="preserve">Catastrophe reserve invoked; emergency mode triggered; reinsurance tested</w:t>
            </w:r>
          </w:p>
        </w:tc>
      </w:tr>
    </w:tbl>
    <w:p w:rsidR="00000000" w:rsidDel="00000000" w:rsidP="00000000" w:rsidRDefault="00000000" w:rsidRPr="00000000" w14:paraId="0000022F">
      <w:pPr>
        <w:spacing w:after="200" w:lineRule="auto"/>
        <w:rPr>
          <w:b w:val="1"/>
          <w:bCs w:val="1"/>
        </w:rPr>
      </w:pPr>
      <w:r w:rsidDel="00000000" w:rsidR="00000000" w:rsidRPr="00000000">
        <w:rPr>
          <w:b w:val="1"/>
          <w:bCs w:val="1"/>
          <w:rtl w:val="0"/>
        </w:rPr>
        <w:t xml:space="preserve">What the model demonstrates</w:t>
      </w:r>
    </w:p>
    <w:p w:rsidR="00000000" w:rsidDel="00000000" w:rsidP="00000000" w:rsidRDefault="00000000" w:rsidRPr="00000000" w14:paraId="00000230">
      <w:pPr>
        <w:spacing w:after="200" w:lineRule="auto"/>
        <w:rPr/>
      </w:pPr>
      <w:r w:rsidDel="00000000" w:rsidR="00000000" w:rsidRPr="00000000">
        <w:rPr>
          <w:rtl w:val="0"/>
        </w:rPr>
        <w:t xml:space="preserve">Under realistic claim parameters (15% frequency, ₩2.5M severity), the protocol remains commercially viable but is meaningfully tighter than the optimistic baseline. Six implications follow. First, the protocol requires ~₩4.5B of operating capital to reach profitability, in addition to LP capital for pool underwriting. Second, LP capital recruitment is the single most fragile assumption and should be confirmed before public launch. Third, safe-rider rebate allocation drops from 18% to ~10% of premium under stressed claim conditions, shifting the marketing story from 'much cheaper' to 'fairer pricing plus portable score.' Fourth, B2B API revenue is highly sensitive to network coverage and ramps slower than the optimistic baseline. Fifth, coverage caps (₩2M maximum normal payout) are insufficient for a credible motorcycle insurance product; the stressed model assumes caps rise to ₩5M for normal claims and ₩3M for catastrophe staged payouts. Sixth, Year 3 profitability under stress depends on retention of Year 1–2 cohorts, institutional LP capital scaling with premium volume, and at least 10 B2B partnerships by Year 2.</w:t>
      </w:r>
    </w:p>
    <w:p w:rsidR="00000000" w:rsidDel="00000000" w:rsidP="00000000" w:rsidRDefault="00000000" w:rsidRPr="00000000" w14:paraId="00000231">
      <w:pPr>
        <w:spacing w:after="200" w:lineRule="auto"/>
        <w:rPr/>
      </w:pPr>
      <w:r w:rsidDel="00000000" w:rsidR="00000000" w:rsidRPr="00000000">
        <w:rPr>
          <w:rtl w:val="0"/>
        </w:rPr>
        <w:t xml:space="preserve">Internal planning, capital strategy, and investor communication should be calibrated against the stress case shown here. The optimistic baseline in Section 5.3 is best read as a marketing-friendly upside scenario rather than a planning model.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00" w:lineRule="auto"/>
        <w:rPr/>
      </w:pPr>
      <w:r w:rsidDel="00000000" w:rsidR="00000000" w:rsidRPr="00000000">
        <w:rPr>
          <w:rtl w:val="0"/>
        </w:rPr>
        <w:t xml:space="preserve"> </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x2yivfwqs59f" w:id="19"/>
      <w:bookmarkEnd w:id="19"/>
      <w:r w:rsidDel="00000000" w:rsidR="00000000" w:rsidRPr="00000000">
        <w:rPr>
          <w:b w:val="1"/>
          <w:bCs w:val="1"/>
          <w:sz w:val="34"/>
          <w:szCs w:val="34"/>
          <w:rtl w:val="0"/>
        </w:rPr>
        <w:t xml:space="preserve">6. Defensive Strategy &amp; Risk Mitigation</w:t>
      </w:r>
    </w:p>
    <w:p w:rsidR="00000000" w:rsidDel="00000000" w:rsidP="00000000" w:rsidRDefault="00000000" w:rsidRPr="00000000" w14:paraId="00000235">
      <w:pPr>
        <w:spacing w:after="200" w:lineRule="auto"/>
        <w:rPr/>
      </w:pPr>
      <w:r w:rsidDel="00000000" w:rsidR="00000000" w:rsidRPr="00000000">
        <w:rPr>
          <w:rtl w:val="0"/>
        </w:rPr>
        <w:t xml:space="preserve">MotoChain and RideTrue face three categories of risk: competitive risk, technical security risk, and systemic insurance-pool risk. A skeptical investor's main concern is not whether the idea is interesting, but whether the protocol can survive fraud, hacks, bad data, and extreme claim events. The defensive strategy is therefore designed around redundancy, conservative capital management, and incentive-compatible security.</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mtlylu131q7" w:id="20"/>
      <w:bookmarkEnd w:id="20"/>
      <w:r w:rsidDel="00000000" w:rsidR="00000000" w:rsidRPr="00000000">
        <w:rPr>
          <w:b w:val="1"/>
          <w:bCs w:val="1"/>
          <w:color w:val="000000"/>
          <w:sz w:val="26"/>
          <w:szCs w:val="26"/>
          <w:rtl w:val="0"/>
        </w:rPr>
        <w:t xml:space="preserve">6.1 Competitive Analysis &amp; Moat</w:t>
      </w:r>
    </w:p>
    <w:p w:rsidR="00000000" w:rsidDel="00000000" w:rsidP="00000000" w:rsidRDefault="00000000" w:rsidRPr="00000000" w14:paraId="00000237">
      <w:pPr>
        <w:spacing w:after="200" w:lineRule="auto"/>
        <w:rPr/>
      </w:pPr>
      <w:r w:rsidDel="00000000" w:rsidR="00000000" w:rsidRPr="00000000">
        <w:rPr>
          <w:rtl w:val="0"/>
        </w:rPr>
        <w:t xml:space="preserve">The protocol operates against three categories of competitor, each with distinct strengths and structural weaknesses.</w:t>
      </w:r>
    </w:p>
    <w:p w:rsidR="00000000" w:rsidDel="00000000" w:rsidP="00000000" w:rsidRDefault="00000000" w:rsidRPr="00000000" w14:paraId="00000238">
      <w:pPr>
        <w:spacing w:after="200" w:lineRule="auto"/>
        <w:rPr>
          <w:b w:val="1"/>
          <w:bCs w:val="1"/>
        </w:rPr>
      </w:pPr>
      <w:r w:rsidDel="00000000" w:rsidR="00000000" w:rsidRPr="00000000">
        <w:rPr>
          <w:b w:val="1"/>
          <w:bCs w:val="1"/>
          <w:rtl w:val="0"/>
        </w:rPr>
        <w:t xml:space="preserve">Centralized vehicle history providers (CARFAX, Korea Auto Inspection, OEM histories).</w:t>
      </w:r>
    </w:p>
    <w:p w:rsidR="00000000" w:rsidDel="00000000" w:rsidP="00000000" w:rsidRDefault="00000000" w:rsidRPr="00000000" w14:paraId="00000239">
      <w:pPr>
        <w:spacing w:after="200" w:lineRule="auto"/>
        <w:rPr/>
      </w:pPr>
      <w:r w:rsidDel="00000000" w:rsidR="00000000" w:rsidRPr="00000000">
        <w:rPr>
          <w:rtl w:val="0"/>
        </w:rPr>
        <w:t xml:space="preserve">Strengths: established brand trust with dealers, regulatory recognition, large existing data sets. Weaknesses: centralized data ownership eliminates user portability, no economic enforcement against fabricated entries (data providers have no skin in record accuracy), poor standardization across providers, no native integration with insurance or financing. MotoChain's edge is user-owned identity, signed-and-staked entries with slashing, programmable trust-minimization, and native downstream integration with insurance and lending.</w:t>
      </w:r>
    </w:p>
    <w:p w:rsidR="00000000" w:rsidDel="00000000" w:rsidP="00000000" w:rsidRDefault="00000000" w:rsidRPr="00000000" w14:paraId="0000023A">
      <w:pPr>
        <w:spacing w:after="200" w:lineRule="auto"/>
        <w:rPr>
          <w:b w:val="1"/>
          <w:bCs w:val="1"/>
        </w:rPr>
      </w:pPr>
      <w:r w:rsidDel="00000000" w:rsidR="00000000" w:rsidRPr="00000000">
        <w:rPr>
          <w:b w:val="1"/>
          <w:bCs w:val="1"/>
          <w:rtl w:val="0"/>
        </w:rPr>
        <w:t xml:space="preserve">Traditional motorcycle insurers with telematics products (Samsung F&amp;M, Hyundai M&amp;F, DB Insurance, Tokio Marine, and emerging usage-based products).</w:t>
      </w:r>
    </w:p>
    <w:p w:rsidR="00000000" w:rsidDel="00000000" w:rsidP="00000000" w:rsidRDefault="00000000" w:rsidRPr="00000000" w14:paraId="0000023B">
      <w:pPr>
        <w:spacing w:after="200" w:lineRule="auto"/>
        <w:rPr/>
      </w:pPr>
      <w:r w:rsidDel="00000000" w:rsidR="00000000" w:rsidRPr="00000000">
        <w:rPr>
          <w:rtl w:val="0"/>
        </w:rPr>
        <w:t xml:space="preserve">Strengths: capital base, regulatory standing, established distribution, existing customer relationships. Weaknesses: behavioral data is insurer-owned and non-portable, demographic-proxy pricing still dominates underwriting, no integration with vehicle history layer, slow product innovation due to legacy systems. RideTrue's edge is portable behavioral reputation that follows the rider across insurers and products, transparent on-chain pricing, and faster claim settlement via smart contracts.</w:t>
      </w:r>
    </w:p>
    <w:p w:rsidR="00000000" w:rsidDel="00000000" w:rsidP="00000000" w:rsidRDefault="00000000" w:rsidRPr="00000000" w14:paraId="0000023C">
      <w:pPr>
        <w:spacing w:after="200" w:lineRule="auto"/>
        <w:rPr>
          <w:b w:val="1"/>
          <w:bCs w:val="1"/>
        </w:rPr>
      </w:pPr>
      <w:r w:rsidDel="00000000" w:rsidR="00000000" w:rsidRPr="00000000">
        <w:rPr>
          <w:b w:val="1"/>
          <w:bCs w:val="1"/>
          <w:rtl w:val="0"/>
        </w:rPr>
        <w:t xml:space="preserve">DeFi insurance and mutual protocols (Nexus Mutual, InsurAce, Cover, etc.).</w:t>
      </w:r>
    </w:p>
    <w:p w:rsidR="00000000" w:rsidDel="00000000" w:rsidP="00000000" w:rsidRDefault="00000000" w:rsidRPr="00000000" w14:paraId="0000023D">
      <w:pPr>
        <w:spacing w:after="200" w:lineRule="auto"/>
        <w:rPr/>
      </w:pPr>
      <w:r w:rsidDel="00000000" w:rsidR="00000000" w:rsidRPr="00000000">
        <w:rPr>
          <w:rtl w:val="0"/>
        </w:rPr>
        <w:t xml:space="preserve">Strengths: on-chain capital pooling, smart-contract claim processing, demonstrated viability of the mechanism. Weaknesses: focused on crypto-native risks (smart contract failure, custodian risk) rather than real-world risk; limited real-world data integration; consumer reach is essentially zero outside of crypto natives; no vertical specialization. MotoChain/RideTrue's edge is real-world asset and behavior data, dual-protocol composability where one protocol's data enriches the other, and consumer-grade UX targeting non-crypto-native users via account abstraction.</w:t>
      </w:r>
    </w:p>
    <w:p w:rsidR="00000000" w:rsidDel="00000000" w:rsidP="00000000" w:rsidRDefault="00000000" w:rsidRPr="00000000" w14:paraId="0000023E">
      <w:pPr>
        <w:spacing w:after="200" w:lineRule="auto"/>
        <w:rPr>
          <w:b w:val="1"/>
          <w:bCs w:val="1"/>
        </w:rPr>
      </w:pPr>
      <w:r w:rsidDel="00000000" w:rsidR="00000000" w:rsidRPr="00000000">
        <w:rPr>
          <w:b w:val="1"/>
          <w:bCs w:val="1"/>
          <w:rtl w:val="0"/>
        </w:rPr>
        <w:t xml:space="preserve">Unfair advantage / moat.</w:t>
      </w:r>
    </w:p>
    <w:p w:rsidR="00000000" w:rsidDel="00000000" w:rsidP="00000000" w:rsidRDefault="00000000" w:rsidRPr="00000000" w14:paraId="0000023F">
      <w:pPr>
        <w:spacing w:after="200" w:lineRule="auto"/>
        <w:rPr/>
      </w:pPr>
      <w:r w:rsidDel="00000000" w:rsidR="00000000" w:rsidRPr="00000000">
        <w:rPr>
          <w:rtl w:val="0"/>
        </w:rPr>
        <w:t xml:space="preserve">Vertical data network effect: as more motorcycles, riders, mechanics, dealers, and partners join, the dataset's value compounds for every other participant. A motorcycle is worth more if its history is on MotoChain; a rider gets better pricing if their score is on RideTrue; an insurer makes better underwriting decisions if they consume both. This compounds non-linearly and is structurally hard for a new entrant to replicate from a standing start. The combination of vertical specialization (two-wheelers), dual-protocol design (identity + behavior), the layered trust architecture in Section 5.6, and a Korea-first wedge with realistic expansion to Vietnam, Indonesia, and Thailand together constitute the protocol's defensible position.</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xpkbh3nwt5ss" w:id="21"/>
      <w:bookmarkEnd w:id="21"/>
      <w:r w:rsidDel="00000000" w:rsidR="00000000" w:rsidRPr="00000000">
        <w:rPr>
          <w:b w:val="1"/>
          <w:bCs w:val="1"/>
          <w:color w:val="000000"/>
          <w:sz w:val="26"/>
          <w:szCs w:val="26"/>
          <w:rtl w:val="0"/>
        </w:rPr>
        <w:t xml:space="preserve">6.2 Security Roadmap</w:t>
      </w:r>
    </w:p>
    <w:p w:rsidR="00000000" w:rsidDel="00000000" w:rsidP="00000000" w:rsidRDefault="00000000" w:rsidRPr="00000000" w14:paraId="00000241">
      <w:pPr>
        <w:spacing w:after="200" w:lineRule="auto"/>
        <w:rPr/>
      </w:pPr>
      <w:r w:rsidDel="00000000" w:rsidR="00000000" w:rsidRPr="00000000">
        <w:rPr>
          <w:rtl w:val="0"/>
        </w:rPr>
        <w:t xml:space="preserve">Because RideTrue handles user funds and the protocol's smart contracts hold insurance reserves, security is treated as a launch-gating requirement rather than a post-launch concern. The plan below defines the minimum standard.</w:t>
      </w:r>
    </w:p>
    <w:p w:rsidR="00000000" w:rsidDel="00000000" w:rsidP="00000000" w:rsidRDefault="00000000" w:rsidRPr="00000000" w14:paraId="00000242">
      <w:pPr>
        <w:spacing w:after="200" w:lineRule="auto"/>
        <w:rPr>
          <w:b w:val="1"/>
          <w:bCs w:val="1"/>
        </w:rPr>
      </w:pPr>
      <w:r w:rsidDel="00000000" w:rsidR="00000000" w:rsidRPr="00000000">
        <w:rPr>
          <w:b w:val="1"/>
          <w:bCs w:val="1"/>
          <w:rtl w:val="0"/>
        </w:rPr>
        <w:t xml:space="preserve">Pre-launch engineering gate.</w:t>
      </w:r>
    </w:p>
    <w:p w:rsidR="00000000" w:rsidDel="00000000" w:rsidP="00000000" w:rsidRDefault="00000000" w:rsidRPr="00000000" w14:paraId="0000024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Comprehensive unit and integration test coverage (≥90% for fund-handling contracts).</w:t>
      </w:r>
    </w:p>
    <w:p w:rsidR="00000000" w:rsidDel="00000000" w:rsidP="00000000" w:rsidRDefault="00000000" w:rsidRPr="00000000" w14:paraId="0000024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Property-based and invariant testing for accounting, staking, slashing, and payout flows.</w:t>
      </w:r>
    </w:p>
    <w:p w:rsidR="00000000" w:rsidDel="00000000" w:rsidP="00000000" w:rsidRDefault="00000000" w:rsidRPr="00000000" w14:paraId="0000024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Fuzz testing via Echidna or Foundry invariant fuzzing.</w:t>
      </w:r>
    </w:p>
    <w:p w:rsidR="00000000" w:rsidDel="00000000" w:rsidP="00000000" w:rsidRDefault="00000000" w:rsidRPr="00000000" w14:paraId="0000024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Static analysis via Slither and equivalent tooling, with zero unresolved high-severity findings prior to audit handoff.</w:t>
      </w:r>
    </w:p>
    <w:p w:rsidR="00000000" w:rsidDel="00000000" w:rsidP="00000000" w:rsidRDefault="00000000" w:rsidRPr="00000000" w14:paraId="00000247">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Internal threat modeling reviewed by the core team plus at least one external security advisor.</w:t>
      </w:r>
    </w:p>
    <w:p w:rsidR="00000000" w:rsidDel="00000000" w:rsidP="00000000" w:rsidRDefault="00000000" w:rsidRPr="00000000" w14:paraId="00000248">
      <w:pPr>
        <w:spacing w:after="200" w:lineRule="auto"/>
        <w:rPr>
          <w:b w:val="1"/>
          <w:bCs w:val="1"/>
        </w:rPr>
      </w:pPr>
      <w:r w:rsidDel="00000000" w:rsidR="00000000" w:rsidRPr="00000000">
        <w:rPr>
          <w:b w:val="1"/>
          <w:bCs w:val="1"/>
          <w:rtl w:val="0"/>
        </w:rPr>
        <w:t xml:space="preserve">External audits.</w:t>
      </w:r>
    </w:p>
    <w:p w:rsidR="00000000" w:rsidDel="00000000" w:rsidP="00000000" w:rsidRDefault="00000000" w:rsidRPr="00000000" w14:paraId="00000249">
      <w:pPr>
        <w:spacing w:after="200" w:lineRule="auto"/>
        <w:rPr/>
      </w:pPr>
      <w:r w:rsidDel="00000000" w:rsidR="00000000" w:rsidRPr="00000000">
        <w:rPr>
          <w:rtl w:val="0"/>
        </w:rPr>
        <w:t xml:space="preserve">A minimum of two independent smart-contract audits is required before mainnet deployment of fund-handling contracts. Target firms (final selection TBD): OpenZeppelin, Trail of Bits, ChainSecurity, Quantstamp, Spearbit, Code4rena competitive audit. At least one audit must include formal verification of the accounting, escrow, and slashing logic. Audit reports are published in full, including unresolved findings and the team's response.</w:t>
      </w:r>
    </w:p>
    <w:p w:rsidR="00000000" w:rsidDel="00000000" w:rsidP="00000000" w:rsidRDefault="00000000" w:rsidRPr="00000000" w14:paraId="0000024A">
      <w:pPr>
        <w:spacing w:after="200" w:lineRule="auto"/>
        <w:rPr>
          <w:b w:val="1"/>
          <w:bCs w:val="1"/>
        </w:rPr>
      </w:pPr>
      <w:r w:rsidDel="00000000" w:rsidR="00000000" w:rsidRPr="00000000">
        <w:rPr>
          <w:b w:val="1"/>
          <w:bCs w:val="1"/>
          <w:rtl w:val="0"/>
        </w:rPr>
        <w:t xml:space="preserve">Continuous bug bounty.</w:t>
      </w:r>
    </w:p>
    <w:p w:rsidR="00000000" w:rsidDel="00000000" w:rsidP="00000000" w:rsidRDefault="00000000" w:rsidRPr="00000000" w14:paraId="0000024B">
      <w:pPr>
        <w:spacing w:after="200" w:lineRule="auto"/>
        <w:rPr/>
      </w:pPr>
      <w:r w:rsidDel="00000000" w:rsidR="00000000" w:rsidRPr="00000000">
        <w:rPr>
          <w:rtl w:val="0"/>
        </w:rPr>
        <w:t xml:space="preserve">Hosted on Immunefi or equivalent from mainnet launch. Indicative reward bands: critical severity up to USD 250,000, high up to USD 75,000, medium up to USD 15,000, low up to USD 2,500. Annual program budget funded from the treasury allocation.</w:t>
      </w:r>
    </w:p>
    <w:p w:rsidR="00000000" w:rsidDel="00000000" w:rsidP="00000000" w:rsidRDefault="00000000" w:rsidRPr="00000000" w14:paraId="0000024C">
      <w:pPr>
        <w:spacing w:after="200" w:lineRule="auto"/>
        <w:rPr>
          <w:b w:val="1"/>
          <w:bCs w:val="1"/>
        </w:rPr>
      </w:pPr>
      <w:r w:rsidDel="00000000" w:rsidR="00000000" w:rsidRPr="00000000">
        <w:rPr>
          <w:b w:val="1"/>
          <w:bCs w:val="1"/>
          <w:rtl w:val="0"/>
        </w:rPr>
        <w:t xml:space="preserve">Operational security.</w:t>
      </w:r>
    </w:p>
    <w:p w:rsidR="00000000" w:rsidDel="00000000" w:rsidP="00000000" w:rsidRDefault="00000000" w:rsidRPr="00000000" w14:paraId="0000024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Treasury and admin functions controlled by a multi-signature wallet with geographically distributed signers (target 5-of-9).</w:t>
      </w:r>
    </w:p>
    <w:p w:rsidR="00000000" w:rsidDel="00000000" w:rsidP="00000000" w:rsidRDefault="00000000" w:rsidRPr="00000000" w14:paraId="0000024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Time-locked upgrades for any non-emergency parameter change (48-hour minimum).</w:t>
      </w:r>
    </w:p>
    <w:p w:rsidR="00000000" w:rsidDel="00000000" w:rsidP="00000000" w:rsidRDefault="00000000" w:rsidRPr="00000000" w14:paraId="0000024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Emergency pause restricted to a narrow scope, governed by a security council with documented invocation criteria.</w:t>
      </w:r>
    </w:p>
    <w:p w:rsidR="00000000" w:rsidDel="00000000" w:rsidP="00000000" w:rsidRDefault="00000000" w:rsidRPr="00000000" w14:paraId="0000025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 incident response runbook with quarterly drills.</w:t>
      </w:r>
    </w:p>
    <w:p w:rsidR="00000000" w:rsidDel="00000000" w:rsidP="00000000" w:rsidRDefault="00000000" w:rsidRPr="00000000" w14:paraId="00000251">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Annual third-party penetration testing for mobile and back-end systems handling telematics ingestion.</w:t>
      </w:r>
    </w:p>
    <w:p w:rsidR="00000000" w:rsidDel="00000000" w:rsidP="00000000" w:rsidRDefault="00000000" w:rsidRPr="00000000" w14:paraId="00000252">
      <w:pPr>
        <w:spacing w:after="200" w:lineRule="auto"/>
        <w:rPr>
          <w:b w:val="1"/>
          <w:bCs w:val="1"/>
        </w:rPr>
      </w:pPr>
      <w:r w:rsidDel="00000000" w:rsidR="00000000" w:rsidRPr="00000000">
        <w:rPr>
          <w:b w:val="1"/>
          <w:bCs w:val="1"/>
          <w:rtl w:val="0"/>
        </w:rPr>
        <w:t xml:space="preserve">Ongoing posture.</w:t>
      </w:r>
    </w:p>
    <w:p w:rsidR="00000000" w:rsidDel="00000000" w:rsidP="00000000" w:rsidRDefault="00000000" w:rsidRPr="00000000" w14:paraId="00000253">
      <w:pPr>
        <w:spacing w:after="200" w:lineRule="auto"/>
        <w:rPr/>
      </w:pPr>
      <w:r w:rsidDel="00000000" w:rsidR="00000000" w:rsidRPr="00000000">
        <w:rPr>
          <w:rtl w:val="0"/>
        </w:rPr>
        <w:t xml:space="preserve">Each material protocol upgrade is preceded by an incremental audit. The bug bounty remains live for the lifetime of the protocol. Audit and bounty results feed back into the threat model on a continuous basis.</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sqvbaswhw85y" w:id="22"/>
      <w:bookmarkEnd w:id="22"/>
      <w:r w:rsidDel="00000000" w:rsidR="00000000" w:rsidRPr="00000000">
        <w:rPr>
          <w:b w:val="1"/>
          <w:bCs w:val="1"/>
          <w:color w:val="000000"/>
          <w:sz w:val="26"/>
          <w:szCs w:val="26"/>
          <w:rtl w:val="0"/>
        </w:rPr>
        <w:t xml:space="preserve">6.3 Economic Stress Testing &amp; Black Swan Plan</w:t>
      </w:r>
    </w:p>
    <w:p w:rsidR="00000000" w:rsidDel="00000000" w:rsidP="00000000" w:rsidRDefault="00000000" w:rsidRPr="00000000" w14:paraId="00000255">
      <w:pPr>
        <w:spacing w:after="200" w:lineRule="auto"/>
        <w:rPr/>
      </w:pPr>
      <w:r w:rsidDel="00000000" w:rsidR="00000000" w:rsidRPr="00000000">
        <w:rPr>
          <w:rtl w:val="0"/>
        </w:rPr>
        <w:t xml:space="preserve">The largest systemic risk is a concentrated-claim event such as a flood, typhoon, mass theft event, or major infrastructure failure. Korea experiences typhoons annually; these are base-case events for the protocol's risk model, not tail events. The defensive structure below is designed to absorb concentrated claim periods without pool collapse.</w:t>
      </w:r>
    </w:p>
    <w:p w:rsidR="00000000" w:rsidDel="00000000" w:rsidP="00000000" w:rsidRDefault="00000000" w:rsidRPr="00000000" w14:paraId="00000256">
      <w:pPr>
        <w:spacing w:after="200" w:lineRule="auto"/>
        <w:rPr>
          <w:b w:val="1"/>
          <w:bCs w:val="1"/>
        </w:rPr>
      </w:pPr>
      <w:r w:rsidDel="00000000" w:rsidR="00000000" w:rsidRPr="00000000">
        <w:rPr>
          <w:b w:val="1"/>
          <w:bCs w:val="1"/>
          <w:rtl w:val="0"/>
        </w:rPr>
        <w:t xml:space="preserve">1. Mandatory liquid reserve.</w:t>
      </w:r>
    </w:p>
    <w:p w:rsidR="00000000" w:rsidDel="00000000" w:rsidP="00000000" w:rsidRDefault="00000000" w:rsidRPr="00000000" w14:paraId="00000257">
      <w:pPr>
        <w:spacing w:after="200" w:lineRule="auto"/>
        <w:rPr/>
      </w:pPr>
      <w:r w:rsidDel="00000000" w:rsidR="00000000" w:rsidRPr="00000000">
        <w:rPr>
          <w:rtl w:val="0"/>
        </w:rPr>
        <w:t xml:space="preserve">At least 25% of pool capital remains in liquid form at all times. This capital is ineligible for DeFi yield deployment.</w:t>
      </w:r>
    </w:p>
    <w:p w:rsidR="00000000" w:rsidDel="00000000" w:rsidP="00000000" w:rsidRDefault="00000000" w:rsidRPr="00000000" w14:paraId="00000258">
      <w:pPr>
        <w:spacing w:after="200" w:lineRule="auto"/>
        <w:rPr>
          <w:b w:val="1"/>
          <w:bCs w:val="1"/>
        </w:rPr>
      </w:pPr>
      <w:r w:rsidDel="00000000" w:rsidR="00000000" w:rsidRPr="00000000">
        <w:rPr>
          <w:b w:val="1"/>
          <w:bCs w:val="1"/>
          <w:rtl w:val="0"/>
        </w:rPr>
        <w:t xml:space="preserve">2. Catastrophe reserve fund.</w:t>
      </w:r>
    </w:p>
    <w:p w:rsidR="00000000" w:rsidDel="00000000" w:rsidP="00000000" w:rsidRDefault="00000000" w:rsidRPr="00000000" w14:paraId="00000259">
      <w:pPr>
        <w:spacing w:after="200" w:lineRule="auto"/>
        <w:rPr/>
      </w:pPr>
      <w:r w:rsidDel="00000000" w:rsidR="00000000" w:rsidRPr="00000000">
        <w:rPr>
          <w:rtl w:val="0"/>
        </w:rPr>
        <w:t xml:space="preserve">20% of every premium is routed to a dedicated catastrophe reserve, used only during designated extreme events. Calibrated to Korean weather patterns where typhoon-related claim spikes are a recurring base-case risk.</w:t>
      </w:r>
    </w:p>
    <w:p w:rsidR="00000000" w:rsidDel="00000000" w:rsidP="00000000" w:rsidRDefault="00000000" w:rsidRPr="00000000" w14:paraId="0000025A">
      <w:pPr>
        <w:spacing w:after="200" w:lineRule="auto"/>
        <w:rPr>
          <w:b w:val="1"/>
          <w:bCs w:val="1"/>
        </w:rPr>
      </w:pPr>
      <w:r w:rsidDel="00000000" w:rsidR="00000000" w:rsidRPr="00000000">
        <w:rPr>
          <w:b w:val="1"/>
          <w:bCs w:val="1"/>
          <w:rtl w:val="0"/>
        </w:rPr>
        <w:t xml:space="preserve">3. Reinsurance / backstop partner.</w:t>
      </w:r>
    </w:p>
    <w:p w:rsidR="00000000" w:rsidDel="00000000" w:rsidP="00000000" w:rsidRDefault="00000000" w:rsidRPr="00000000" w14:paraId="0000025B">
      <w:pPr>
        <w:spacing w:after="200" w:lineRule="auto"/>
        <w:rPr/>
      </w:pPr>
      <w:r w:rsidDel="00000000" w:rsidR="00000000" w:rsidRPr="00000000">
        <w:rPr>
          <w:rtl w:val="0"/>
        </w:rPr>
        <w:t xml:space="preserve">RideTrue does not carry all catastrophic risk alone. The intended structure is a reinsurance or backstop arrangement with [counterparty TBD]. Candidates include traditional reinsurers, Lloyd's syndicates, parametric reinsurance providers, and DeFi backstop capital pools. Discussions with at least one named counterparty must be in advanced stages prior to launch; the protocol will not market unlimited coverage without a confirmed backstop in place. The 10% reinsurance premium budget in Section 5.7 is the budget allocated to acquire this protection.</w:t>
      </w:r>
    </w:p>
    <w:p w:rsidR="00000000" w:rsidDel="00000000" w:rsidP="00000000" w:rsidRDefault="00000000" w:rsidRPr="00000000" w14:paraId="0000025C">
      <w:pPr>
        <w:spacing w:after="200" w:lineRule="auto"/>
        <w:rPr>
          <w:b w:val="1"/>
          <w:bCs w:val="1"/>
        </w:rPr>
      </w:pPr>
      <w:r w:rsidDel="00000000" w:rsidR="00000000" w:rsidRPr="00000000">
        <w:rPr>
          <w:b w:val="1"/>
          <w:bCs w:val="1"/>
          <w:rtl w:val="0"/>
        </w:rPr>
        <w:t xml:space="preserve">4. Emergency payout limits.</w:t>
      </w:r>
    </w:p>
    <w:p w:rsidR="00000000" w:rsidDel="00000000" w:rsidP="00000000" w:rsidRDefault="00000000" w:rsidRPr="00000000" w14:paraId="0000025D">
      <w:pPr>
        <w:spacing w:after="200" w:lineRule="auto"/>
        <w:rPr/>
      </w:pPr>
      <w:r w:rsidDel="00000000" w:rsidR="00000000" w:rsidRPr="00000000">
        <w:rPr>
          <w:rtl w:val="0"/>
        </w:rPr>
        <w:t xml:space="preserve">Smart contracts include limits for extreme claim periods. Under normal conditions, 100% of approved claims are paid immediately. In emergency conditions, payouts shift to staged distribution (e.g., 50% immediate, 50% over 3–6 months as liquidity replenishes). This prevents a bank-run dynamic in which the first claimants drain the pool.</w:t>
      </w:r>
    </w:p>
    <w:p w:rsidR="00000000" w:rsidDel="00000000" w:rsidP="00000000" w:rsidRDefault="00000000" w:rsidRPr="00000000" w14:paraId="0000025E">
      <w:pPr>
        <w:spacing w:after="200" w:lineRule="auto"/>
        <w:rPr>
          <w:b w:val="1"/>
          <w:bCs w:val="1"/>
        </w:rPr>
      </w:pPr>
      <w:r w:rsidDel="00000000" w:rsidR="00000000" w:rsidRPr="00000000">
        <w:rPr>
          <w:b w:val="1"/>
          <w:bCs w:val="1"/>
          <w:rtl w:val="0"/>
        </w:rPr>
        <w:t xml:space="preserve">5. Pro-rata claim distribution.</w:t>
      </w:r>
    </w:p>
    <w:p w:rsidR="00000000" w:rsidDel="00000000" w:rsidP="00000000" w:rsidRDefault="00000000" w:rsidRPr="00000000" w14:paraId="0000025F">
      <w:pPr>
        <w:spacing w:after="200" w:lineRule="auto"/>
        <w:rPr/>
      </w:pPr>
      <w:r w:rsidDel="00000000" w:rsidR="00000000" w:rsidRPr="00000000">
        <w:rPr>
          <w:rtl w:val="0"/>
        </w:rPr>
        <w:t xml:space="preserve">If the pool becomes undercollateralized, claims are paid proportionally. Against ₩5B of verified claims with ₩3B of available emergency liquidity, each claimant receives 60% immediately, with the remaining 40% becoming a pending claim obligation. Pro-rata payout is communicated transparently at onboarding to ensure expectation alignment.</w:t>
      </w:r>
    </w:p>
    <w:p w:rsidR="00000000" w:rsidDel="00000000" w:rsidP="00000000" w:rsidRDefault="00000000" w:rsidRPr="00000000" w14:paraId="00000260">
      <w:pPr>
        <w:spacing w:after="200" w:lineRule="auto"/>
        <w:rPr>
          <w:b w:val="1"/>
          <w:bCs w:val="1"/>
        </w:rPr>
      </w:pPr>
      <w:r w:rsidDel="00000000" w:rsidR="00000000" w:rsidRPr="00000000">
        <w:rPr>
          <w:b w:val="1"/>
          <w:bCs w:val="1"/>
          <w:rtl w:val="0"/>
        </w:rPr>
        <w:t xml:space="preserve">6. Catastrophe trigger / circuit breaker.</w:t>
      </w:r>
    </w:p>
    <w:p w:rsidR="00000000" w:rsidDel="00000000" w:rsidP="00000000" w:rsidRDefault="00000000" w:rsidRPr="00000000" w14:paraId="00000261">
      <w:pPr>
        <w:spacing w:after="200" w:lineRule="auto"/>
        <w:rPr/>
      </w:pPr>
      <w:r w:rsidDel="00000000" w:rsidR="00000000" w:rsidRPr="00000000">
        <w:rPr>
          <w:rtl w:val="0"/>
        </w:rPr>
        <w:t xml:space="preserve">Emergency mode activates when (i) claims in 7 days exceed 20% of pool liquidity, (ii) reserve ratio falls below 15%, (iii) oracle detects a certified natural disaster zone, or (iv) claim volume exceeds 3× normal baseline. In emergency mode: new high-risk coverage is paused, claim review tightens, payouts stage, DeFi-deployed funds are recalled, safe-rider rebates are temporarily suspended, and reinsurance/backstop capital is triggered.</w:t>
      </w:r>
    </w:p>
    <w:p w:rsidR="00000000" w:rsidDel="00000000" w:rsidP="00000000" w:rsidRDefault="00000000" w:rsidRPr="00000000" w14:paraId="00000262">
      <w:pPr>
        <w:spacing w:after="200" w:lineRule="auto"/>
        <w:rPr>
          <w:b w:val="1"/>
          <w:bCs w:val="1"/>
        </w:rPr>
      </w:pPr>
      <w:r w:rsidDel="00000000" w:rsidR="00000000" w:rsidRPr="00000000">
        <w:rPr>
          <w:b w:val="1"/>
          <w:bCs w:val="1"/>
          <w:rtl w:val="0"/>
        </w:rPr>
        <w:t xml:space="preserve">7. Conservative DeFi yield rules.</w:t>
      </w:r>
    </w:p>
    <w:p w:rsidR="00000000" w:rsidDel="00000000" w:rsidP="00000000" w:rsidRDefault="00000000" w:rsidRPr="00000000" w14:paraId="00000263">
      <w:pPr>
        <w:spacing w:after="200" w:lineRule="auto"/>
        <w:rPr/>
      </w:pPr>
      <w:r w:rsidDel="00000000" w:rsidR="00000000" w:rsidRPr="00000000">
        <w:rPr>
          <w:rtl w:val="0"/>
        </w:rPr>
        <w:t xml:space="preserve">Only excess reserves can be deployed, capped at 10–15% of total pool, and only into low-risk audited protocols (e.g., blue-chip lending markets). Withdrawable liquidity must remain available at all times.</w:t>
      </w:r>
    </w:p>
    <w:p w:rsidR="00000000" w:rsidDel="00000000" w:rsidP="00000000" w:rsidRDefault="00000000" w:rsidRPr="00000000" w14:paraId="00000264">
      <w:pPr>
        <w:spacing w:after="200" w:lineRule="auto"/>
        <w:rPr>
          <w:b w:val="1"/>
          <w:bCs w:val="1"/>
        </w:rPr>
      </w:pPr>
      <w:r w:rsidDel="00000000" w:rsidR="00000000" w:rsidRPr="00000000">
        <w:rPr>
          <w:b w:val="1"/>
          <w:bCs w:val="1"/>
          <w:rtl w:val="0"/>
        </w:rPr>
        <w:t xml:space="preserve">8. Dynamic premium adjustment after shock.</w:t>
      </w:r>
    </w:p>
    <w:p w:rsidR="00000000" w:rsidDel="00000000" w:rsidP="00000000" w:rsidRDefault="00000000" w:rsidRPr="00000000" w14:paraId="00000265">
      <w:pPr>
        <w:spacing w:after="200" w:lineRule="auto"/>
        <w:rPr/>
      </w:pPr>
      <w:r w:rsidDel="00000000" w:rsidR="00000000" w:rsidRPr="00000000">
        <w:rPr>
          <w:rtl w:val="0"/>
        </w:rPr>
        <w:t xml:space="preserve">After a catastrophic event, premiums adjust upward (typically 10–20% temporary increase) and safe-rider rebates pause to rebuild the pool. Premium adjustments are capped by governance to prevent abrupt rider hardship.</w:t>
      </w:r>
    </w:p>
    <w:p w:rsidR="00000000" w:rsidDel="00000000" w:rsidP="00000000" w:rsidRDefault="00000000" w:rsidRPr="00000000" w14:paraId="00000266">
      <w:pPr>
        <w:spacing w:after="200" w:lineRule="auto"/>
        <w:rPr>
          <w:b w:val="1"/>
          <w:bCs w:val="1"/>
        </w:rPr>
      </w:pPr>
      <w:r w:rsidDel="00000000" w:rsidR="00000000" w:rsidRPr="00000000">
        <w:rPr>
          <w:b w:val="1"/>
          <w:bCs w:val="1"/>
          <w:rtl w:val="0"/>
        </w:rPr>
        <w:t xml:space="preserve">9. Coverage exclusions and caps.</w:t>
      </w:r>
    </w:p>
    <w:p w:rsidR="00000000" w:rsidDel="00000000" w:rsidP="00000000" w:rsidRDefault="00000000" w:rsidRPr="00000000" w14:paraId="00000267">
      <w:pPr>
        <w:spacing w:after="200" w:lineRule="auto"/>
        <w:rPr/>
      </w:pPr>
      <w:r w:rsidDel="00000000" w:rsidR="00000000" w:rsidRPr="00000000">
        <w:rPr>
          <w:rtl w:val="0"/>
        </w:rPr>
        <w:t xml:space="preserve">Covered: normal accidents, theft, verified repair claims, minor weather-related damage. Limited or capped: mass natural disasters, war or civil unrest, government seizure, extreme flood zones, force majeure. Coverage caps under stressed assumptions (Section 5.9): maximum normal claim payout ₩5M; maximum catastrophe payout ₩3M immediate plus staged remainder.</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maypscz17lg4" w:id="23"/>
      <w:bookmarkEnd w:id="23"/>
      <w:r w:rsidDel="00000000" w:rsidR="00000000" w:rsidRPr="00000000">
        <w:rPr>
          <w:b w:val="1"/>
          <w:bCs w:val="1"/>
          <w:color w:val="000000"/>
          <w:sz w:val="26"/>
          <w:szCs w:val="26"/>
          <w:rtl w:val="0"/>
        </w:rPr>
        <w:t xml:space="preserve">6.4 Liquidity Safeguards</w:t>
      </w:r>
    </w:p>
    <w:p w:rsidR="00000000" w:rsidDel="00000000" w:rsidP="00000000" w:rsidRDefault="00000000" w:rsidRPr="00000000" w14:paraId="00000269">
      <w:pPr>
        <w:spacing w:after="200" w:lineRule="auto"/>
        <w:rPr/>
      </w:pPr>
      <w:r w:rsidDel="00000000" w:rsidR="00000000" w:rsidRPr="00000000">
        <w:rPr>
          <w:rtl w:val="0"/>
        </w:rPr>
        <w:t xml:space="preserve">The protocol must ensure withdrawal liquidity for both riders (claim payouts) and LP capital providers (yield distributions and exits). The mechanisms below maintain liquidity even under stress.</w:t>
      </w:r>
    </w:p>
    <w:p w:rsidR="00000000" w:rsidDel="00000000" w:rsidP="00000000" w:rsidRDefault="00000000" w:rsidRPr="00000000" w14:paraId="0000026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25% mandatory liquid reserve floor — pool capital held in immediately accessible USDC, ineligible for DeFi deployment.</w:t>
      </w:r>
    </w:p>
    <w:p w:rsidR="00000000" w:rsidDel="00000000" w:rsidP="00000000" w:rsidRDefault="00000000" w:rsidRPr="00000000" w14:paraId="0000026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Capped DeFi deployment (10–15% of pool) — only into protocols with high-utilization withdrawability and short notice periods.</w:t>
      </w:r>
    </w:p>
    <w:p w:rsidR="00000000" w:rsidDel="00000000" w:rsidP="00000000" w:rsidRDefault="00000000" w:rsidRPr="00000000" w14:paraId="0000026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LP withdrawal notice periods — large LP redemptions (&gt;5% of LP pool in a single redemption) require 30-day advance notice, preventing bank-run dynamics during stress.</w:t>
      </w:r>
    </w:p>
    <w:p w:rsidR="00000000" w:rsidDel="00000000" w:rsidP="00000000" w:rsidRDefault="00000000" w:rsidRPr="00000000" w14:paraId="0000026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Pool exit queue mechanism — during emergency mode, LP and rider withdrawals enter a timed pro-rata queue rather than first-come-first-served.</w:t>
      </w:r>
    </w:p>
    <w:p w:rsidR="00000000" w:rsidDel="00000000" w:rsidP="00000000" w:rsidRDefault="00000000" w:rsidRPr="00000000" w14:paraId="0000026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Reinsurance backstop — once secured, provides catastrophic liquidity above normal pool capacity for designated extreme events.</w:t>
      </w:r>
    </w:p>
    <w:p w:rsidR="00000000" w:rsidDel="00000000" w:rsidP="00000000" w:rsidRDefault="00000000" w:rsidRPr="00000000" w14:paraId="0000026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Stablecoin diversification — pool capital held across at least two regulated stablecoin issuers (e.g., USDC plus a Korean won-pegged stablecoin where reliably available) to reduce single-issuer dependency.</w:t>
      </w:r>
    </w:p>
    <w:p w:rsidR="00000000" w:rsidDel="00000000" w:rsidP="00000000" w:rsidRDefault="00000000" w:rsidRPr="00000000" w14:paraId="0000027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liquidity dashboard — pool reserves, deployment ratios, claim queue, and exit queue depth published on-chain and via a public dashboard, supporting market discipline.</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jy6848bguqr0" w:id="24"/>
      <w:bookmarkEnd w:id="24"/>
      <w:r w:rsidDel="00000000" w:rsidR="00000000" w:rsidRPr="00000000">
        <w:rPr>
          <w:b w:val="1"/>
          <w:bCs w:val="1"/>
          <w:color w:val="000000"/>
          <w:sz w:val="26"/>
          <w:szCs w:val="26"/>
          <w:rtl w:val="0"/>
        </w:rPr>
        <w:t xml:space="preserve">6.5 Oracle Risk &amp; Data Integrity</w:t>
      </w:r>
    </w:p>
    <w:p w:rsidR="00000000" w:rsidDel="00000000" w:rsidP="00000000" w:rsidRDefault="00000000" w:rsidRPr="00000000" w14:paraId="00000272">
      <w:pPr>
        <w:spacing w:after="200" w:lineRule="auto"/>
        <w:rPr/>
      </w:pPr>
      <w:r w:rsidDel="00000000" w:rsidR="00000000" w:rsidRPr="00000000">
        <w:rPr>
          <w:rtl w:val="0"/>
        </w:rPr>
        <w:t xml:space="preserve">Oracle risk is a major concern because RideTrue depends on real-world information such as repair confirmation, theft reports, accident data, and inspection results. To avoid trusting a single data provider, claims require multi-source verification. A theft claim might require confirmation from a police report, vehicle status registry, and insurer or dealer record. A repair claim might require mechanic submission, invoice evidence, and validator confirmation. The key design principle is not 'use Chainlink' — it is to avoid single-source truth by combining multiple independent data feeds, staking, dispute windows, and stale-data safeguards.</w:t>
      </w:r>
    </w:p>
    <w:p w:rsidR="00000000" w:rsidDel="00000000" w:rsidP="00000000" w:rsidRDefault="00000000" w:rsidRPr="00000000" w14:paraId="00000273">
      <w:pPr>
        <w:spacing w:after="200" w:lineRule="auto"/>
        <w:rPr/>
      </w:pPr>
      <w:r w:rsidDel="00000000" w:rsidR="00000000" w:rsidRPr="00000000">
        <w:rPr>
          <w:rtl w:val="0"/>
        </w:rPr>
        <w:t xml:space="preserve">If oracle data becomes stale or contradictory, smart contracts do not execute automatically. Instead, the protocol enters a verification-pending state: funds remain locked, payouts are delayed, and the claim is escalated to additional validators or decentralized arbitration. For high-value claims, the system requires higher consensus thresholds and longer review periods than low-value claims.</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h7mii8ib3rmn" w:id="25"/>
      <w:bookmarkEnd w:id="25"/>
      <w:r w:rsidDel="00000000" w:rsidR="00000000" w:rsidRPr="00000000">
        <w:rPr>
          <w:b w:val="1"/>
          <w:bCs w:val="1"/>
          <w:color w:val="000000"/>
          <w:sz w:val="26"/>
          <w:szCs w:val="26"/>
          <w:rtl w:val="0"/>
        </w:rPr>
        <w:t xml:space="preserve">6.6 Mechanic &amp; Validator Fraud</w:t>
      </w:r>
    </w:p>
    <w:p w:rsidR="00000000" w:rsidDel="00000000" w:rsidP="00000000" w:rsidRDefault="00000000" w:rsidRPr="00000000" w14:paraId="00000275">
      <w:pPr>
        <w:spacing w:after="200" w:lineRule="auto"/>
        <w:rPr/>
      </w:pPr>
      <w:r w:rsidDel="00000000" w:rsidR="00000000" w:rsidRPr="00000000">
        <w:rPr>
          <w:rtl w:val="0"/>
        </w:rPr>
        <w:t xml:space="preserve">Mechanic fraud is mitigated through the layered trust architecture detailed in Section 5.6. Prevention mechanisms (multi-party signing on every entry, hardware-captured telemetry for mileage and other tamper-prone data) eliminate categories of unilateral fraud at the source. Detection mechanisms (a bounty market that rewards third parties for surfacing fraudulent entries, plus trigger-on-monetization re-verification at resale, trade-in, underwriting, and financing) extend fraud discovery beyond the colluding parties and beyond the escrow window. Enforcement mechanisms (tiered staking that scales accountability with influence, risk-tiered escrow with 30–90 day windows, and per-entry stake-at-risk that prevents disposable-account attacks) make detected fraud economically irrational.</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00" w:lineRule="auto"/>
        <w:rPr/>
      </w:pPr>
      <w:r w:rsidDel="00000000" w:rsidR="00000000" w:rsidRPr="00000000">
        <w:rPr>
          <w:rtl w:val="0"/>
        </w:rPr>
        <w:t xml:space="preserve"> </w:t>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yfe7bs41l57m" w:id="26"/>
      <w:bookmarkEnd w:id="26"/>
      <w:r w:rsidDel="00000000" w:rsidR="00000000" w:rsidRPr="00000000">
        <w:rPr>
          <w:b w:val="1"/>
          <w:bCs w:val="1"/>
          <w:sz w:val="46"/>
          <w:szCs w:val="46"/>
          <w:rtl w:val="0"/>
        </w:rPr>
        <w:t xml:space="preserve">References</w:t>
      </w:r>
    </w:p>
    <w:p w:rsidR="00000000" w:rsidDel="00000000" w:rsidP="00000000" w:rsidRDefault="00000000" w:rsidRPr="00000000" w14:paraId="00000279">
      <w:pPr>
        <w:spacing w:after="80" w:lineRule="auto"/>
        <w:rPr/>
      </w:pPr>
      <w:r w:rsidDel="00000000" w:rsidR="00000000" w:rsidRPr="00000000">
        <w:rPr>
          <w:rtl w:val="0"/>
        </w:rPr>
        <w:t xml:space="preserve">Akerlof, G. A. (1970). The market for “lemons”: Quality uncertainty and the market mechanism. The Quarterly Journal of Economics, 84(3), 488–500.</w:t>
      </w:r>
    </w:p>
    <w:p w:rsidR="00000000" w:rsidDel="00000000" w:rsidP="00000000" w:rsidRDefault="00000000" w:rsidRPr="00000000" w14:paraId="0000027A">
      <w:pPr>
        <w:spacing w:after="80" w:lineRule="auto"/>
        <w:rPr/>
      </w:pPr>
      <w:r w:rsidDel="00000000" w:rsidR="00000000" w:rsidRPr="00000000">
        <w:rPr>
          <w:rtl w:val="0"/>
        </w:rPr>
        <w:t xml:space="preserve">Organisation for Economic Co-operation and Development. (2018). The use of big data analytics in insurance. OECD Publishing.</w:t>
      </w:r>
    </w:p>
    <w:p w:rsidR="00000000" w:rsidDel="00000000" w:rsidP="00000000" w:rsidRDefault="00000000" w:rsidRPr="00000000" w14:paraId="0000027B">
      <w:pPr>
        <w:spacing w:after="80" w:lineRule="auto"/>
        <w:rPr/>
      </w:pPr>
      <w:r w:rsidDel="00000000" w:rsidR="00000000" w:rsidRPr="00000000">
        <w:rPr>
          <w:rtl w:val="0"/>
        </w:rPr>
        <w:t xml:space="preserve">McKinsey &amp; Company. (2021). Insurance 2030 — The impact of AI on the future of insurance.</w:t>
      </w:r>
    </w:p>
    <w:p w:rsidR="00000000" w:rsidDel="00000000" w:rsidP="00000000" w:rsidRDefault="00000000" w:rsidRPr="00000000" w14:paraId="0000027C">
      <w:pPr>
        <w:spacing w:after="80" w:lineRule="auto"/>
        <w:rPr/>
      </w:pPr>
      <w:r w:rsidDel="00000000" w:rsidR="00000000" w:rsidRPr="00000000">
        <w:rPr>
          <w:rtl w:val="0"/>
        </w:rPr>
        <w:t xml:space="preserve">Statista. (2024). Global motorcycle market size, 2020–2028.</w:t>
      </w:r>
    </w:p>
    <w:p w:rsidR="00000000" w:rsidDel="00000000" w:rsidP="00000000" w:rsidRDefault="00000000" w:rsidRPr="00000000" w14:paraId="0000027D">
      <w:pPr>
        <w:spacing w:after="80" w:lineRule="auto"/>
        <w:rPr/>
      </w:pPr>
      <w:r w:rsidDel="00000000" w:rsidR="00000000" w:rsidRPr="00000000">
        <w:rPr>
          <w:rtl w:val="0"/>
        </w:rPr>
        <w:t xml:space="preserve">Statista. (2024). Global insurance industry market value.</w:t>
      </w:r>
    </w:p>
    <w:p w:rsidR="00000000" w:rsidDel="00000000" w:rsidP="00000000" w:rsidRDefault="00000000" w:rsidRPr="00000000" w14:paraId="0000027E">
      <w:pPr>
        <w:spacing w:after="80" w:lineRule="auto"/>
        <w:rPr/>
      </w:pPr>
      <w:r w:rsidDel="00000000" w:rsidR="00000000" w:rsidRPr="00000000">
        <w:rPr>
          <w:rtl w:val="0"/>
        </w:rPr>
        <w:t xml:space="preserve">Nakamoto, S. (2008). Bitcoin: A peer-to-peer electronic cash system.</w:t>
      </w:r>
    </w:p>
    <w:p w:rsidR="00000000" w:rsidDel="00000000" w:rsidP="00000000" w:rsidRDefault="00000000" w:rsidRPr="00000000" w14:paraId="0000027F">
      <w:pPr>
        <w:spacing w:after="80" w:lineRule="auto"/>
        <w:rPr/>
      </w:pPr>
      <w:r w:rsidDel="00000000" w:rsidR="00000000" w:rsidRPr="00000000">
        <w:rPr>
          <w:rtl w:val="0"/>
        </w:rPr>
        <w:t xml:space="preserve">Buterin, V. (2014). A next-generation smart contract and decentralized application platform.</w:t>
      </w:r>
    </w:p>
    <w:p w:rsidR="00000000" w:rsidDel="00000000" w:rsidP="00000000" w:rsidRDefault="00000000" w:rsidRPr="00000000" w14:paraId="00000280">
      <w:pPr>
        <w:spacing w:after="80" w:lineRule="auto"/>
        <w:rPr/>
      </w:pPr>
      <w:r w:rsidDel="00000000" w:rsidR="00000000" w:rsidRPr="00000000">
        <w:rPr>
          <w:rtl w:val="0"/>
        </w:rPr>
        <w:t xml:space="preserve">Deloitte. (2020). Blockchain and the five vectors of progress.</w:t>
      </w:r>
    </w:p>
    <w:p w:rsidR="00000000" w:rsidDel="00000000" w:rsidP="00000000" w:rsidRDefault="00000000" w:rsidRPr="00000000" w14:paraId="00000281">
      <w:pPr>
        <w:spacing w:after="80" w:lineRule="auto"/>
        <w:rPr/>
      </w:pPr>
      <w:r w:rsidDel="00000000" w:rsidR="00000000" w:rsidRPr="00000000">
        <w:rPr>
          <w:rtl w:val="0"/>
        </w:rPr>
        <w:t xml:space="preserve">Rochet, J.-C., &amp; Tirole, J. (2003). Platform competition in two-sided markets. Journal of the European Economic Association, 1(4), 990–1029.</w:t>
      </w:r>
    </w:p>
    <w:p w:rsidR="00000000" w:rsidDel="00000000" w:rsidP="00000000" w:rsidRDefault="00000000" w:rsidRPr="00000000" w14:paraId="00000282">
      <w:pPr>
        <w:spacing w:after="80" w:lineRule="auto"/>
        <w:rPr/>
      </w:pPr>
      <w:r w:rsidDel="00000000" w:rsidR="00000000" w:rsidRPr="00000000">
        <w:rPr>
          <w:rtl w:val="0"/>
        </w:rPr>
        <w:t xml:space="preserve">Eisenmann, T., Parker, G., &amp; Van Alstyne, M. W. (2006). Strategies for two-sided markets. Harvard Business Review, 84(10), 92–101.</w:t>
      </w:r>
    </w:p>
    <w:p w:rsidR="00000000" w:rsidDel="00000000" w:rsidP="00000000" w:rsidRDefault="00000000" w:rsidRPr="00000000" w14:paraId="00000283">
      <w:pPr>
        <w:spacing w:after="80" w:lineRule="auto"/>
        <w:rPr/>
      </w:pPr>
      <w:r w:rsidDel="00000000" w:rsidR="00000000" w:rsidRPr="00000000">
        <w:rPr>
          <w:rtl w:val="0"/>
        </w:rPr>
        <w:t xml:space="preserve">He, Y., Liu, Y., Li, X., &amp; Wang, X. (2025). Detecting Sybil addresses in blockchain airdrops. arXiv:2505.09313.</w:t>
      </w:r>
    </w:p>
    <w:p w:rsidR="00000000" w:rsidDel="00000000" w:rsidP="00000000" w:rsidRDefault="00000000" w:rsidRPr="00000000" w14:paraId="00000284">
      <w:pPr>
        <w:spacing w:after="80" w:lineRule="auto"/>
        <w:rPr/>
      </w:pPr>
      <w:r w:rsidDel="00000000" w:rsidR="00000000" w:rsidRPr="00000000">
        <w:rPr>
          <w:rtl w:val="0"/>
        </w:rPr>
        <w:t xml:space="preserve">World Economic Forum. (2021). Decentralized finance (DeFi) policy-maker toolkit.</w:t>
      </w:r>
    </w:p>
    <w:p w:rsidR="00000000" w:rsidDel="00000000" w:rsidP="00000000" w:rsidRDefault="00000000" w:rsidRPr="00000000" w14:paraId="00000285">
      <w:pPr>
        <w:spacing w:after="80" w:lineRule="auto"/>
        <w:rPr/>
      </w:pPr>
      <w:r w:rsidDel="00000000" w:rsidR="00000000" w:rsidRPr="00000000">
        <w:rPr>
          <w:rtl w:val="0"/>
        </w:rPr>
        <w:t xml:space="preserve">OpenZeppelin. The security standard for on-chain finance. https://www.openzeppelin.com/</w:t>
      </w:r>
    </w:p>
    <w:p w:rsidR="00000000" w:rsidDel="00000000" w:rsidP="00000000" w:rsidRDefault="00000000" w:rsidRPr="00000000" w14:paraId="00000286">
      <w:pPr>
        <w:spacing w:after="80" w:lineRule="auto"/>
        <w:rPr/>
      </w:pPr>
      <w:r w:rsidDel="00000000" w:rsidR="00000000" w:rsidRPr="00000000">
        <w:rPr>
          <w:rtl w:val="0"/>
        </w:rPr>
        <w:t xml:space="preserve">Chainlink. Data feeds. https://docs.chain.link/data-feeds</w:t>
      </w:r>
    </w:p>
    <w:p w:rsidR="00000000" w:rsidDel="00000000" w:rsidP="00000000" w:rsidRDefault="00000000" w:rsidRPr="00000000" w14:paraId="00000287">
      <w:pPr>
        <w:spacing w:after="80" w:lineRule="auto"/>
        <w:rPr/>
      </w:pPr>
      <w:r w:rsidDel="00000000" w:rsidR="00000000" w:rsidRPr="00000000">
        <w:rPr>
          <w:rtl w:val="0"/>
        </w:rPr>
        <w:t xml:space="preserve">Financial Services Commission, Republic of Korea. Virtual Asset User Protection Act (effective July 2024).</w:t>
      </w:r>
    </w:p>
    <w:p w:rsidR="00000000" w:rsidDel="00000000" w:rsidP="00000000" w:rsidRDefault="00000000" w:rsidRPr="00000000" w14:paraId="00000288">
      <w:pPr>
        <w:spacing w:after="80" w:lineRule="auto"/>
        <w:rPr/>
      </w:pPr>
      <w:r w:rsidDel="00000000" w:rsidR="00000000" w:rsidRPr="00000000">
        <w:rPr>
          <w:rtl w:val="0"/>
        </w:rPr>
        <w:t xml:space="preserve">Financial Supervisory Service, Republic of Korea. Insurance Business Act guidance materials.</w:t>
      </w:r>
    </w:p>
    <w:p w:rsidR="00000000" w:rsidDel="00000000" w:rsidP="00000000" w:rsidRDefault="00000000" w:rsidRPr="00000000" w14:paraId="00000289">
      <w:pPr>
        <w:spacing w:after="80" w:lineRule="auto"/>
        <w:rPr/>
      </w:pPr>
      <w:r w:rsidDel="00000000" w:rsidR="00000000" w:rsidRPr="00000000">
        <w:rPr>
          <w:rtl w:val="0"/>
        </w:rPr>
        <w:t xml:space="preserve">Personal Information Protection Commission, Republic of Korea. Personal Information Protection Act.</w:t>
      </w:r>
    </w:p>
    <w:p w:rsidR="00000000" w:rsidDel="00000000" w:rsidP="00000000" w:rsidRDefault="00000000" w:rsidRPr="00000000" w14:paraId="000002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