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3A97" w14:textId="77777777" w:rsidR="003234E9" w:rsidRPr="00426121" w:rsidRDefault="003234E9" w:rsidP="003234E9">
      <w:pPr>
        <w:wordWrap/>
        <w:adjustRightInd w:val="0"/>
        <w:spacing w:after="0"/>
        <w:rPr>
          <w:rFonts w:ascii="Times New Roman" w:hAnsi="Times New Roman" w:cs="Times New Roman"/>
          <w:b/>
          <w:bCs/>
          <w:kern w:val="0"/>
          <w:sz w:val="40"/>
          <w:szCs w:val="40"/>
        </w:rPr>
      </w:pPr>
      <w:r w:rsidRPr="00426121">
        <w:rPr>
          <w:rFonts w:ascii="Times New Roman" w:hAnsi="Times New Roman" w:cs="Times New Roman"/>
          <w:b/>
          <w:bCs/>
          <w:kern w:val="0"/>
          <w:sz w:val="40"/>
          <w:szCs w:val="40"/>
        </w:rPr>
        <w:t>Presentation Script</w:t>
      </w:r>
    </w:p>
    <w:p w14:paraId="5CBB9E9A"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Stablecoins and the Exorbitant Privilege</w:t>
      </w:r>
    </w:p>
    <w:p w14:paraId="24C05B6E"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0616 Deck — Speaker Notes &amp; Symbol Guide</w:t>
      </w:r>
    </w:p>
    <w:p w14:paraId="02804A81" w14:textId="77777777" w:rsidR="003234E9" w:rsidRPr="00426121" w:rsidRDefault="003234E9" w:rsidP="003234E9">
      <w:pPr>
        <w:wordWrap/>
        <w:adjustRightInd w:val="0"/>
        <w:spacing w:after="0"/>
        <w:rPr>
          <w:rFonts w:ascii="Times New Roman" w:hAnsi="Times New Roman" w:cs="Times New Roman"/>
          <w:kern w:val="0"/>
          <w:sz w:val="26"/>
          <w:szCs w:val="26"/>
        </w:rPr>
      </w:pPr>
    </w:p>
    <w:p w14:paraId="0EB6EB8B"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1 — Title</w:t>
      </w:r>
    </w:p>
    <w:p w14:paraId="1A76DB37"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5CC47B6F"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"Good afternoon. Our paper asks a simple question: stablecoin issuers like Tether hold over a hundred billion dollars in US Treasury bills. Does that </w:t>
      </w:r>
      <w:proofErr w:type="gramStart"/>
      <w:r w:rsidRPr="00426121">
        <w:rPr>
          <w:rFonts w:ascii="Times New Roman" w:hAnsi="Times New Roman" w:cs="Times New Roman"/>
          <w:kern w:val="0"/>
          <w:sz w:val="26"/>
          <w:szCs w:val="26"/>
        </w:rPr>
        <w:t>actually show</w:t>
      </w:r>
      <w:proofErr w:type="gramEnd"/>
      <w:r w:rsidRPr="00426121">
        <w:rPr>
          <w:rFonts w:ascii="Times New Roman" w:hAnsi="Times New Roman" w:cs="Times New Roman"/>
          <w:kern w:val="0"/>
          <w:sz w:val="26"/>
          <w:szCs w:val="26"/>
        </w:rPr>
        <w:t xml:space="preserve"> up in the Treasury market? We test it, and the short answer is yes — but only after we threw out our first attempt entirely. That story of what went wrong, how we diagnosed it, and what survived is what this presentation is about."</w:t>
      </w:r>
    </w:p>
    <w:p w14:paraId="78C042D6"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02D11311" w14:textId="77777777" w:rsidR="003234E9" w:rsidRPr="00426121" w:rsidRDefault="003234E9" w:rsidP="003234E9">
      <w:pPr>
        <w:numPr>
          <w:ilvl w:val="0"/>
          <w:numId w:val="3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kern w:val="0"/>
          <w:sz w:val="26"/>
          <w:szCs w:val="26"/>
        </w:rPr>
        <w:t>The three callouts on the title slide — </w:t>
      </w:r>
      <w:r w:rsidRPr="00426121">
        <w:rPr>
          <w:rFonts w:ascii="Times New Roman" w:hAnsi="Times New Roman" w:cs="Times New Roman"/>
          <w:i/>
          <w:iCs/>
          <w:kern w:val="0"/>
          <w:sz w:val="26"/>
          <w:szCs w:val="26"/>
        </w:rPr>
        <w:t>Bid-cover ↓</w:t>
      </w:r>
      <w:r w:rsidRPr="00426121">
        <w:rPr>
          <w:rFonts w:ascii="Times New Roman" w:hAnsi="Times New Roman" w:cs="Times New Roman"/>
          <w:kern w:val="0"/>
          <w:sz w:val="26"/>
          <w:szCs w:val="26"/>
        </w:rPr>
        <w:t>, </w:t>
      </w:r>
      <w:r w:rsidRPr="00426121">
        <w:rPr>
          <w:rFonts w:ascii="Times New Roman" w:hAnsi="Times New Roman" w:cs="Times New Roman"/>
          <w:i/>
          <w:iCs/>
          <w:kern w:val="0"/>
          <w:sz w:val="26"/>
          <w:szCs w:val="26"/>
        </w:rPr>
        <w:t>USDT ≠ USDC</w:t>
      </w:r>
      <w:r w:rsidRPr="00426121">
        <w:rPr>
          <w:rFonts w:ascii="Times New Roman" w:hAnsi="Times New Roman" w:cs="Times New Roman"/>
          <w:kern w:val="0"/>
          <w:sz w:val="26"/>
          <w:szCs w:val="26"/>
        </w:rPr>
        <w:t>, </w:t>
      </w:r>
      <w:r w:rsidRPr="00426121">
        <w:rPr>
          <w:rFonts w:ascii="Times New Roman" w:hAnsi="Times New Roman" w:cs="Times New Roman"/>
          <w:i/>
          <w:iCs/>
          <w:kern w:val="0"/>
          <w:sz w:val="26"/>
          <w:szCs w:val="26"/>
        </w:rPr>
        <w:t>Robust</w:t>
      </w:r>
      <w:r w:rsidRPr="00426121">
        <w:rPr>
          <w:rFonts w:ascii="Times New Roman" w:hAnsi="Times New Roman" w:cs="Times New Roman"/>
          <w:kern w:val="0"/>
          <w:sz w:val="26"/>
          <w:szCs w:val="26"/>
        </w:rPr>
        <w:t> — are the three things we want the professor to remember. Everything else in the deck supports one of those three.</w:t>
      </w:r>
    </w:p>
    <w:p w14:paraId="29D5284D" w14:textId="77777777" w:rsidR="003234E9" w:rsidRPr="00426121" w:rsidRDefault="003234E9" w:rsidP="003234E9">
      <w:pPr>
        <w:numPr>
          <w:ilvl w:val="0"/>
          <w:numId w:val="3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kern w:val="0"/>
          <w:sz w:val="26"/>
          <w:szCs w:val="26"/>
        </w:rPr>
        <w:t>"Bid-cover" = the ratio of total bids submitted to the amount the Treasury offered at auction. It measures how competitive demand was at each auction.</w:t>
      </w:r>
    </w:p>
    <w:p w14:paraId="7177E37F" w14:textId="77777777" w:rsidR="003234E9" w:rsidRPr="00426121" w:rsidRDefault="003234E9" w:rsidP="003234E9">
      <w:pPr>
        <w:numPr>
          <w:ilvl w:val="0"/>
          <w:numId w:val="3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kern w:val="0"/>
          <w:sz w:val="26"/>
          <w:szCs w:val="26"/>
        </w:rPr>
        <w:t>"USDT ≠ USDC" = our central identification claim. The two issuers behave differently because they back their tokens with different amounts of T-bills.</w:t>
      </w:r>
    </w:p>
    <w:p w14:paraId="1F5F6198" w14:textId="77777777" w:rsidR="003234E9" w:rsidRPr="00426121" w:rsidRDefault="003234E9" w:rsidP="003234E9">
      <w:pPr>
        <w:wordWrap/>
        <w:adjustRightInd w:val="0"/>
        <w:spacing w:after="0"/>
        <w:rPr>
          <w:rFonts w:ascii="Times New Roman" w:hAnsi="Times New Roman" w:cs="Times New Roman"/>
          <w:kern w:val="0"/>
          <w:sz w:val="26"/>
          <w:szCs w:val="26"/>
        </w:rPr>
      </w:pPr>
    </w:p>
    <w:p w14:paraId="292FD19F"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2 — Motivation</w:t>
      </w:r>
    </w:p>
    <w:p w14:paraId="2A898C97"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79E34FCC"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"Let us start with a structural fact. Tether, the issuer of USDT, is now one of the largest single holders of US Treasury bills in the world — not because it chose to be, but because it </w:t>
      </w:r>
      <w:proofErr w:type="gramStart"/>
      <w:r w:rsidRPr="00426121">
        <w:rPr>
          <w:rFonts w:ascii="Times New Roman" w:hAnsi="Times New Roman" w:cs="Times New Roman"/>
          <w:kern w:val="0"/>
          <w:sz w:val="26"/>
          <w:szCs w:val="26"/>
        </w:rPr>
        <w:t>has to</w:t>
      </w:r>
      <w:proofErr w:type="gramEnd"/>
      <w:r w:rsidRPr="00426121">
        <w:rPr>
          <w:rFonts w:ascii="Times New Roman" w:hAnsi="Times New Roman" w:cs="Times New Roman"/>
          <w:kern w:val="0"/>
          <w:sz w:val="26"/>
          <w:szCs w:val="26"/>
        </w:rPr>
        <w:t xml:space="preserve"> be. Every dollar of USDT in circulation must be backed by a reserve asset, and Tether has chosen T-bills as the primary reserve. This makes it a mechanical, rule-bound buyer: when USDT supply grows, Tether must purchase more T-bills. This is not discretionary investing. It is programmatic, algorithmic demand for US government debt.</w:t>
      </w:r>
    </w:p>
    <w:p w14:paraId="2079483C"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The question is whether demand at this scale — over a hundred billion dollars — is large enough to register in the primary Treasury market. We test it using T-bill auction bid-cover ratios, and we stress-test every result."</w:t>
      </w:r>
    </w:p>
    <w:p w14:paraId="67D4FAB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70A22A6B" w14:textId="77777777" w:rsidR="003234E9" w:rsidRPr="00426121" w:rsidRDefault="003234E9" w:rsidP="003234E9">
      <w:pPr>
        <w:numPr>
          <w:ilvl w:val="0"/>
          <w:numId w:val="34"/>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"Exorbitant privilege"</w:t>
      </w:r>
      <w:r w:rsidRPr="00426121">
        <w:rPr>
          <w:rFonts w:ascii="Times New Roman" w:hAnsi="Times New Roman" w:cs="Times New Roman"/>
          <w:kern w:val="0"/>
          <w:sz w:val="26"/>
          <w:szCs w:val="26"/>
        </w:rPr>
        <w:t> — a term coined by French Finance Minister Valéry Giscard d'Estaing in the 1960s, referring to the US advantage of being able to borrow cheaply from the rest of the world because the dollar is the global reserve currency. We are asking whether stablecoins are a new private-sector channel for the same dynamic.</w:t>
      </w:r>
    </w:p>
    <w:p w14:paraId="18424E13" w14:textId="77777777" w:rsidR="003234E9" w:rsidRPr="00426121" w:rsidRDefault="003234E9" w:rsidP="003234E9">
      <w:pPr>
        <w:numPr>
          <w:ilvl w:val="0"/>
          <w:numId w:val="34"/>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"Mechanical buyer"</w:t>
      </w:r>
      <w:r w:rsidRPr="00426121">
        <w:rPr>
          <w:rFonts w:ascii="Times New Roman" w:hAnsi="Times New Roman" w:cs="Times New Roman"/>
          <w:kern w:val="0"/>
          <w:sz w:val="26"/>
          <w:szCs w:val="26"/>
        </w:rPr>
        <w:t> — Tether's purchase of T-bills is not a discretionary investment decision. It is triggered automatically by issuance. This price-inelasticity is what makes stablecoin issuers useful for identification — they buy regardless of yield.</w:t>
      </w:r>
    </w:p>
    <w:p w14:paraId="42B9E47A" w14:textId="77777777" w:rsidR="003234E9" w:rsidRPr="00426121" w:rsidRDefault="003234E9" w:rsidP="003234E9">
      <w:pPr>
        <w:numPr>
          <w:ilvl w:val="0"/>
          <w:numId w:val="34"/>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"Primary Treasury market"</w:t>
      </w:r>
      <w:r w:rsidRPr="00426121">
        <w:rPr>
          <w:rFonts w:ascii="Times New Roman" w:hAnsi="Times New Roman" w:cs="Times New Roman"/>
          <w:kern w:val="0"/>
          <w:sz w:val="26"/>
          <w:szCs w:val="26"/>
        </w:rPr>
        <w:t xml:space="preserve"> — the auction market where the US Treasury sells new bills directly to dealers and institutions, as opposed to the secondary market </w:t>
      </w:r>
      <w:r w:rsidRPr="00426121">
        <w:rPr>
          <w:rFonts w:ascii="Times New Roman" w:hAnsi="Times New Roman" w:cs="Times New Roman"/>
          <w:kern w:val="0"/>
          <w:sz w:val="26"/>
          <w:szCs w:val="26"/>
        </w:rPr>
        <w:lastRenderedPageBreak/>
        <w:t>where previously issued bills trade. We study the auction market because that is where new demand directly meets new supply.</w:t>
      </w:r>
    </w:p>
    <w:p w14:paraId="707EF149" w14:textId="77777777" w:rsidR="003234E9" w:rsidRPr="00426121" w:rsidRDefault="003234E9" w:rsidP="003234E9">
      <w:pPr>
        <w:wordWrap/>
        <w:adjustRightInd w:val="0"/>
        <w:spacing w:after="0"/>
        <w:rPr>
          <w:rFonts w:ascii="Times New Roman" w:hAnsi="Times New Roman" w:cs="Times New Roman"/>
          <w:kern w:val="0"/>
          <w:sz w:val="26"/>
          <w:szCs w:val="26"/>
        </w:rPr>
      </w:pPr>
    </w:p>
    <w:p w14:paraId="50FB7CF9"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3 — What We Changed</w:t>
      </w:r>
    </w:p>
    <w:p w14:paraId="5AF6353F"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3265951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"Before we get to the results, we need to explain what the professor's feedback changed, because it changed almost everything.</w:t>
      </w:r>
    </w:p>
    <w:p w14:paraId="7E158013"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Four corrections. First, specification: we were combining USDT and USDC into a single aggregate, which threw away the cross-issuer variation that is </w:t>
      </w:r>
      <w:proofErr w:type="gramStart"/>
      <w:r w:rsidRPr="00426121">
        <w:rPr>
          <w:rFonts w:ascii="Times New Roman" w:hAnsi="Times New Roman" w:cs="Times New Roman"/>
          <w:kern w:val="0"/>
          <w:sz w:val="26"/>
          <w:szCs w:val="26"/>
        </w:rPr>
        <w:t>actually the</w:t>
      </w:r>
      <w:proofErr w:type="gramEnd"/>
      <w:r w:rsidRPr="00426121">
        <w:rPr>
          <w:rFonts w:ascii="Times New Roman" w:hAnsi="Times New Roman" w:cs="Times New Roman"/>
          <w:kern w:val="0"/>
          <w:sz w:val="26"/>
          <w:szCs w:val="26"/>
        </w:rPr>
        <w:t xml:space="preserve"> basis of our identification. The corrected approach treats each issuer as a separate observation within each month.</w:t>
      </w:r>
    </w:p>
    <w:p w14:paraId="19DF484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Second, data construction: we were forward-filling Tether's quarterly reserve attestations — carrying the same number forward for three months — which introduced measurement error correlated with time. We replaced that with time-weighted linear interpolation between actual reporting dates.</w:t>
      </w:r>
    </w:p>
    <w:p w14:paraId="25E36F95"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Third, the event study: we now study four events — LUNA, Celsius, FTX, and BUSD — and we drop SVB because the Silicon Valley Bank crisis hit T-bill prices through a banking channel simultaneously, making it impossible to isolate any stablecoin effect.</w:t>
      </w:r>
    </w:p>
    <w:p w14:paraId="213C60AD"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Fourth, focus: we moved away from the reserve buffer interaction and re-</w:t>
      </w:r>
      <w:proofErr w:type="spellStart"/>
      <w:r w:rsidRPr="00426121">
        <w:rPr>
          <w:rFonts w:ascii="Times New Roman" w:hAnsi="Times New Roman" w:cs="Times New Roman"/>
          <w:kern w:val="0"/>
          <w:sz w:val="26"/>
          <w:szCs w:val="26"/>
        </w:rPr>
        <w:t>centred</w:t>
      </w:r>
      <w:proofErr w:type="spellEnd"/>
      <w:r w:rsidRPr="00426121">
        <w:rPr>
          <w:rFonts w:ascii="Times New Roman" w:hAnsi="Times New Roman" w:cs="Times New Roman"/>
          <w:kern w:val="0"/>
          <w:sz w:val="26"/>
          <w:szCs w:val="26"/>
        </w:rPr>
        <w:t xml:space="preserve"> the analysis on a new dependent variable, which I will explain on the next slide."</w:t>
      </w:r>
    </w:p>
    <w:p w14:paraId="24559382"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0208A0B9" w14:textId="77777777" w:rsidR="003234E9" w:rsidRPr="00426121" w:rsidRDefault="003234E9" w:rsidP="003234E9">
      <w:pPr>
        <w:numPr>
          <w:ilvl w:val="0"/>
          <w:numId w:val="35"/>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"Reserve attestations"</w:t>
      </w:r>
      <w:r w:rsidRPr="00426121">
        <w:rPr>
          <w:rFonts w:ascii="Times New Roman" w:hAnsi="Times New Roman" w:cs="Times New Roman"/>
          <w:kern w:val="0"/>
          <w:sz w:val="26"/>
          <w:szCs w:val="26"/>
        </w:rPr>
        <w:t> — quarterly reports published by Tether (audited by BDO Cayman) and monthly reports by Circle (Grant Thornton / Deloitte) that disclose exactly what assets back each token. These are the source of our θ and L variables.</w:t>
      </w:r>
    </w:p>
    <w:p w14:paraId="200A790E" w14:textId="77777777" w:rsidR="003234E9" w:rsidRPr="00426121" w:rsidRDefault="003234E9" w:rsidP="003234E9">
      <w:pPr>
        <w:numPr>
          <w:ilvl w:val="0"/>
          <w:numId w:val="35"/>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"θ (theta)"</w:t>
      </w:r>
      <w:r w:rsidRPr="00426121">
        <w:rPr>
          <w:rFonts w:ascii="Times New Roman" w:hAnsi="Times New Roman" w:cs="Times New Roman"/>
          <w:kern w:val="0"/>
          <w:sz w:val="26"/>
          <w:szCs w:val="26"/>
        </w:rPr>
        <w:t xml:space="preserve"> — the Treasury exposure ratio: T-bill holdings divided by total supply. </w:t>
      </w:r>
      <w:proofErr w:type="spellStart"/>
      <w:r w:rsidRPr="00426121">
        <w:rPr>
          <w:rFonts w:ascii="Times New Roman" w:hAnsi="Times New Roman" w:cs="Times New Roman"/>
          <w:kern w:val="0"/>
          <w:sz w:val="26"/>
          <w:szCs w:val="26"/>
        </w:rPr>
        <w:t>θ_USDT</w:t>
      </w:r>
      <w:proofErr w:type="spellEnd"/>
      <w:r w:rsidRPr="00426121">
        <w:rPr>
          <w:rFonts w:ascii="Times New Roman" w:hAnsi="Times New Roman" w:cs="Times New Roman"/>
          <w:kern w:val="0"/>
          <w:sz w:val="26"/>
          <w:szCs w:val="26"/>
        </w:rPr>
        <w:t xml:space="preserve"> ≈ 64.4%, </w:t>
      </w:r>
      <w:proofErr w:type="spellStart"/>
      <w:r w:rsidRPr="00426121">
        <w:rPr>
          <w:rFonts w:ascii="Times New Roman" w:hAnsi="Times New Roman" w:cs="Times New Roman"/>
          <w:kern w:val="0"/>
          <w:sz w:val="26"/>
          <w:szCs w:val="26"/>
        </w:rPr>
        <w:t>θ_USDC</w:t>
      </w:r>
      <w:proofErr w:type="spellEnd"/>
      <w:r w:rsidRPr="00426121">
        <w:rPr>
          <w:rFonts w:ascii="Times New Roman" w:hAnsi="Times New Roman" w:cs="Times New Roman"/>
          <w:kern w:val="0"/>
          <w:sz w:val="26"/>
          <w:szCs w:val="26"/>
        </w:rPr>
        <w:t xml:space="preserve"> ≈ 48.0% in our sample.</w:t>
      </w:r>
    </w:p>
    <w:p w14:paraId="4CD2C922" w14:textId="77777777" w:rsidR="003234E9" w:rsidRPr="00426121" w:rsidRDefault="003234E9" w:rsidP="003234E9">
      <w:pPr>
        <w:numPr>
          <w:ilvl w:val="0"/>
          <w:numId w:val="35"/>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"L"</w:t>
      </w:r>
      <w:r w:rsidRPr="00426121">
        <w:rPr>
          <w:rFonts w:ascii="Times New Roman" w:hAnsi="Times New Roman" w:cs="Times New Roman"/>
          <w:kern w:val="0"/>
          <w:sz w:val="26"/>
          <w:szCs w:val="26"/>
        </w:rPr>
        <w:t> — the liquid buffer ratio: cash and cash equivalents divided by total supply. A higher L means the issuer can meet redemptions without selling T-bills.</w:t>
      </w:r>
    </w:p>
    <w:p w14:paraId="4D7AECED" w14:textId="77777777" w:rsidR="003234E9" w:rsidRPr="00426121" w:rsidRDefault="003234E9" w:rsidP="003234E9">
      <w:pPr>
        <w:numPr>
          <w:ilvl w:val="0"/>
          <w:numId w:val="35"/>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"Time-weighted linear interpolation"</w:t>
      </w:r>
      <w:r w:rsidRPr="00426121">
        <w:rPr>
          <w:rFonts w:ascii="Times New Roman" w:hAnsi="Times New Roman" w:cs="Times New Roman"/>
          <w:kern w:val="0"/>
          <w:sz w:val="26"/>
          <w:szCs w:val="26"/>
        </w:rPr>
        <w:t> — between two quarterly data points, we interpolate each monthly value proportionally to where in the quarter that month falls. If Q1 attestation shows 64% and Q2 shows 66%, the midpoint month gets 65%. This is what the professor recommended.</w:t>
      </w:r>
    </w:p>
    <w:p w14:paraId="7FE01630" w14:textId="77777777" w:rsidR="003234E9" w:rsidRPr="00426121" w:rsidRDefault="003234E9" w:rsidP="003234E9">
      <w:pPr>
        <w:numPr>
          <w:ilvl w:val="0"/>
          <w:numId w:val="35"/>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"SVB"</w:t>
      </w:r>
      <w:r w:rsidRPr="00426121">
        <w:rPr>
          <w:rFonts w:ascii="Times New Roman" w:hAnsi="Times New Roman" w:cs="Times New Roman"/>
          <w:kern w:val="0"/>
          <w:sz w:val="26"/>
          <w:szCs w:val="26"/>
        </w:rPr>
        <w:t> — Silicon Valley Bank collapsed in March 2023. USDC briefly lost its dollar peg because Circle held reserves at SVB. This created a shock to T-bill prices through a banking sector channel, not a stablecoin reserve channel, so including it would confound our results.</w:t>
      </w:r>
    </w:p>
    <w:p w14:paraId="52C02453" w14:textId="77777777" w:rsidR="003234E9" w:rsidRPr="00426121" w:rsidRDefault="003234E9" w:rsidP="003234E9">
      <w:pPr>
        <w:wordWrap/>
        <w:adjustRightInd w:val="0"/>
        <w:spacing w:after="0"/>
        <w:rPr>
          <w:rFonts w:ascii="Times New Roman" w:hAnsi="Times New Roman" w:cs="Times New Roman"/>
          <w:kern w:val="0"/>
          <w:sz w:val="26"/>
          <w:szCs w:val="26"/>
        </w:rPr>
      </w:pPr>
    </w:p>
    <w:p w14:paraId="303E6BC8"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4 — What the Re-Run Revealed</w:t>
      </w:r>
    </w:p>
    <w:p w14:paraId="65B99326"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1B4EFB3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"When we re-ran everything on the corrected panel, the original results collapsed. The privilege coefficient β₁ became insignificant. More telling: the buffer interaction coefficient β₄ went from minus 35.89 — with a p-value of 0.032, which we had been presenting as significant — to plus 8.86 under first-differencing. That is not just a weakening. That is a sign reversal.</w:t>
      </w:r>
    </w:p>
    <w:p w14:paraId="400726DF"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lastRenderedPageBreak/>
        <w:t xml:space="preserve">A sign reversal under first-differencing is the textbook fingerprint of a spurious regression. </w:t>
      </w:r>
      <w:proofErr w:type="gramStart"/>
      <w:r w:rsidRPr="00426121">
        <w:rPr>
          <w:rFonts w:ascii="Times New Roman" w:hAnsi="Times New Roman" w:cs="Times New Roman"/>
          <w:kern w:val="0"/>
          <w:sz w:val="26"/>
          <w:szCs w:val="26"/>
        </w:rPr>
        <w:t>So</w:t>
      </w:r>
      <w:proofErr w:type="gramEnd"/>
      <w:r w:rsidRPr="00426121">
        <w:rPr>
          <w:rFonts w:ascii="Times New Roman" w:hAnsi="Times New Roman" w:cs="Times New Roman"/>
          <w:kern w:val="0"/>
          <w:sz w:val="26"/>
          <w:szCs w:val="26"/>
        </w:rPr>
        <w:t xml:space="preserve"> we ran the formal diagnostic tests. The augmented Dickey-Fuller test on the OIS-Treasury spread gives a p-value of 0.494 — we cannot reject a unit root. The liquid buffer L gives 0.902. Both variables are non-stationary. The Engle-Granger cointegration p-value is 0.120, and Johansen fails to reject zero cointegrating vectors. These variables were trending down together during the 2022-24 Federal Reserve hiking cycle. There was no genuine long-run relationship. The original result was an artifact of shared trend.</w:t>
      </w:r>
    </w:p>
    <w:p w14:paraId="6D6B08F5" w14:textId="77777777" w:rsidR="003234E9" w:rsidRPr="00426121" w:rsidRDefault="003234E9" w:rsidP="003234E9">
      <w:pPr>
        <w:wordWrap/>
        <w:adjustRightInd w:val="0"/>
        <w:spacing w:after="0"/>
        <w:rPr>
          <w:rFonts w:ascii="Times New Roman" w:hAnsi="Times New Roman" w:cs="Times New Roman"/>
          <w:kern w:val="0"/>
          <w:sz w:val="26"/>
          <w:szCs w:val="26"/>
        </w:rPr>
      </w:pPr>
      <w:proofErr w:type="gramStart"/>
      <w:r w:rsidRPr="00426121">
        <w:rPr>
          <w:rFonts w:ascii="Times New Roman" w:hAnsi="Times New Roman" w:cs="Times New Roman"/>
          <w:kern w:val="0"/>
          <w:sz w:val="26"/>
          <w:szCs w:val="26"/>
        </w:rPr>
        <w:t>So</w:t>
      </w:r>
      <w:proofErr w:type="gramEnd"/>
      <w:r w:rsidRPr="00426121">
        <w:rPr>
          <w:rFonts w:ascii="Times New Roman" w:hAnsi="Times New Roman" w:cs="Times New Roman"/>
          <w:kern w:val="0"/>
          <w:sz w:val="26"/>
          <w:szCs w:val="26"/>
        </w:rPr>
        <w:t xml:space="preserve"> we dropped three claims entirely: the privilege amplification coefficient β₁, the thirteen percent reserve threshold, and the LSTAR smooth-transition model. All three were significant only in </w:t>
      </w:r>
      <w:proofErr w:type="gramStart"/>
      <w:r w:rsidRPr="00426121">
        <w:rPr>
          <w:rFonts w:ascii="Times New Roman" w:hAnsi="Times New Roman" w:cs="Times New Roman"/>
          <w:kern w:val="0"/>
          <w:sz w:val="26"/>
          <w:szCs w:val="26"/>
        </w:rPr>
        <w:t>that spurious levels</w:t>
      </w:r>
      <w:proofErr w:type="gramEnd"/>
      <w:r w:rsidRPr="00426121">
        <w:rPr>
          <w:rFonts w:ascii="Times New Roman" w:hAnsi="Times New Roman" w:cs="Times New Roman"/>
          <w:kern w:val="0"/>
          <w:sz w:val="26"/>
          <w:szCs w:val="26"/>
        </w:rPr>
        <w:t xml:space="preserve"> regression."</w:t>
      </w:r>
    </w:p>
    <w:p w14:paraId="3E4397F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4228B278"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β₁</w:t>
      </w:r>
      <w:r w:rsidRPr="00426121">
        <w:rPr>
          <w:rFonts w:ascii="Times New Roman" w:hAnsi="Times New Roman" w:cs="Times New Roman"/>
          <w:kern w:val="0"/>
          <w:sz w:val="26"/>
          <w:szCs w:val="26"/>
        </w:rPr>
        <w:t> — the coefficient on total stablecoin supply growth in the original spread regression. We expected it to be negative, meaning supply growth compresses the spread. It appeared to be so, but this was driven by the common trend.</w:t>
      </w:r>
    </w:p>
    <w:p w14:paraId="2E538F18"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β₄</w:t>
      </w:r>
      <w:r w:rsidRPr="00426121">
        <w:rPr>
          <w:rFonts w:ascii="Times New Roman" w:hAnsi="Times New Roman" w:cs="Times New Roman"/>
          <w:kern w:val="0"/>
          <w:sz w:val="26"/>
          <w:szCs w:val="26"/>
        </w:rPr>
        <w:t xml:space="preserve"> — the coefficient on the interaction term L × </w:t>
      </w:r>
      <w:proofErr w:type="spellStart"/>
      <w:r w:rsidRPr="00426121">
        <w:rPr>
          <w:rFonts w:ascii="Times New Roman" w:hAnsi="Times New Roman" w:cs="Times New Roman"/>
          <w:kern w:val="0"/>
          <w:sz w:val="26"/>
          <w:szCs w:val="26"/>
        </w:rPr>
        <w:t>ΔlnS</w:t>
      </w:r>
      <w:proofErr w:type="spellEnd"/>
      <w:r w:rsidRPr="00426121">
        <w:rPr>
          <w:rFonts w:ascii="Times New Roman" w:hAnsi="Times New Roman" w:cs="Times New Roman"/>
          <w:kern w:val="0"/>
          <w:sz w:val="26"/>
          <w:szCs w:val="26"/>
        </w:rPr>
        <w:t xml:space="preserve"> (liquid buffer times supply growth). This was meant to test whether the effect of supply growth is amplified when the buffer is low. The sign reversal from −35.89 to +8.86 is the key diagnostic.</w:t>
      </w:r>
    </w:p>
    <w:p w14:paraId="56A55BF7"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"First-differencing"</w:t>
      </w:r>
      <w:r w:rsidRPr="00426121">
        <w:rPr>
          <w:rFonts w:ascii="Times New Roman" w:hAnsi="Times New Roman" w:cs="Times New Roman"/>
          <w:kern w:val="0"/>
          <w:sz w:val="26"/>
          <w:szCs w:val="26"/>
        </w:rPr>
        <w:t> — instead of regressing level variables on level variables, we take the change of each variable. If a result is genuine, it should survive this transformation. If it was driven by shared trends (both variables drifting in the same direction), it will disappear or reverse under differencing.</w:t>
      </w:r>
    </w:p>
    <w:p w14:paraId="20C6012D"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"Spurious regression"</w:t>
      </w:r>
      <w:r w:rsidRPr="00426121">
        <w:rPr>
          <w:rFonts w:ascii="Times New Roman" w:hAnsi="Times New Roman" w:cs="Times New Roman"/>
          <w:kern w:val="0"/>
          <w:sz w:val="26"/>
          <w:szCs w:val="26"/>
        </w:rPr>
        <w:t> — a result where two unrelated variables appear correlated in a regression simply because they both have time trends. Granger and Newbold (1974) showed this is common with non-stationary series. The classic example: both ice cream sales and drowning deaths rise in summer — a regression looks significant, but there is no causal link.</w:t>
      </w:r>
    </w:p>
    <w:p w14:paraId="6727EB25"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ADF (Augmented Dickey-Fuller) test</w:t>
      </w:r>
      <w:r w:rsidRPr="00426121">
        <w:rPr>
          <w:rFonts w:ascii="Times New Roman" w:hAnsi="Times New Roman" w:cs="Times New Roman"/>
          <w:kern w:val="0"/>
          <w:sz w:val="26"/>
          <w:szCs w:val="26"/>
        </w:rPr>
        <w:t> — a statistical test for whether a time series has a unit root, meaning it is non-stationary and lacks a stable mean. H₀ is that the series has a unit root. A high p-value (failing to reject) means the variable is non-stationary. Here spread p = 0.494 and L p = 0.902 — both clearly non-stationary.</w:t>
      </w:r>
    </w:p>
    <w:p w14:paraId="0174D571"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proofErr w:type="gramStart"/>
      <w:r w:rsidRPr="00426121">
        <w:rPr>
          <w:rFonts w:ascii="Times New Roman" w:hAnsi="Times New Roman" w:cs="Times New Roman"/>
          <w:b/>
          <w:bCs/>
          <w:kern w:val="0"/>
          <w:sz w:val="26"/>
          <w:szCs w:val="26"/>
        </w:rPr>
        <w:t>I(</w:t>
      </w:r>
      <w:proofErr w:type="gramEnd"/>
      <w:r w:rsidRPr="00426121">
        <w:rPr>
          <w:rFonts w:ascii="Times New Roman" w:hAnsi="Times New Roman" w:cs="Times New Roman"/>
          <w:b/>
          <w:bCs/>
          <w:kern w:val="0"/>
          <w:sz w:val="26"/>
          <w:szCs w:val="26"/>
        </w:rPr>
        <w:t>1)</w:t>
      </w:r>
      <w:r w:rsidRPr="00426121">
        <w:rPr>
          <w:rFonts w:ascii="Times New Roman" w:hAnsi="Times New Roman" w:cs="Times New Roman"/>
          <w:kern w:val="0"/>
          <w:sz w:val="26"/>
          <w:szCs w:val="26"/>
        </w:rPr>
        <w:t xml:space="preserve"> — "integrated of order one." A variable is </w:t>
      </w:r>
      <w:proofErr w:type="gramStart"/>
      <w:r w:rsidRPr="00426121">
        <w:rPr>
          <w:rFonts w:ascii="Times New Roman" w:hAnsi="Times New Roman" w:cs="Times New Roman"/>
          <w:kern w:val="0"/>
          <w:sz w:val="26"/>
          <w:szCs w:val="26"/>
        </w:rPr>
        <w:t>I(</w:t>
      </w:r>
      <w:proofErr w:type="gramEnd"/>
      <w:r w:rsidRPr="00426121">
        <w:rPr>
          <w:rFonts w:ascii="Times New Roman" w:hAnsi="Times New Roman" w:cs="Times New Roman"/>
          <w:kern w:val="0"/>
          <w:sz w:val="26"/>
          <w:szCs w:val="26"/>
        </w:rPr>
        <w:t xml:space="preserve">1) if it has one unit root, meaning you need to difference it once to make it stationary. Stablecoin supply in levels is </w:t>
      </w:r>
      <w:proofErr w:type="gramStart"/>
      <w:r w:rsidRPr="00426121">
        <w:rPr>
          <w:rFonts w:ascii="Times New Roman" w:hAnsi="Times New Roman" w:cs="Times New Roman"/>
          <w:kern w:val="0"/>
          <w:sz w:val="26"/>
          <w:szCs w:val="26"/>
        </w:rPr>
        <w:t>I(</w:t>
      </w:r>
      <w:proofErr w:type="gramEnd"/>
      <w:r w:rsidRPr="00426121">
        <w:rPr>
          <w:rFonts w:ascii="Times New Roman" w:hAnsi="Times New Roman" w:cs="Times New Roman"/>
          <w:kern w:val="0"/>
          <w:sz w:val="26"/>
          <w:szCs w:val="26"/>
        </w:rPr>
        <w:t>1). Supply </w:t>
      </w:r>
      <w:r w:rsidRPr="00426121">
        <w:rPr>
          <w:rFonts w:ascii="Times New Roman" w:hAnsi="Times New Roman" w:cs="Times New Roman"/>
          <w:i/>
          <w:iCs/>
          <w:kern w:val="0"/>
          <w:sz w:val="26"/>
          <w:szCs w:val="26"/>
        </w:rPr>
        <w:t>growth</w:t>
      </w:r>
      <w:r w:rsidRPr="00426121">
        <w:rPr>
          <w:rFonts w:ascii="Times New Roman" w:hAnsi="Times New Roman" w:cs="Times New Roman"/>
          <w:kern w:val="0"/>
          <w:sz w:val="26"/>
          <w:szCs w:val="26"/>
        </w:rPr>
        <w:t xml:space="preserve"> (the log difference) is </w:t>
      </w:r>
      <w:proofErr w:type="gramStart"/>
      <w:r w:rsidRPr="00426121">
        <w:rPr>
          <w:rFonts w:ascii="Times New Roman" w:hAnsi="Times New Roman" w:cs="Times New Roman"/>
          <w:kern w:val="0"/>
          <w:sz w:val="26"/>
          <w:szCs w:val="26"/>
        </w:rPr>
        <w:t>I(</w:t>
      </w:r>
      <w:proofErr w:type="gramEnd"/>
      <w:r w:rsidRPr="00426121">
        <w:rPr>
          <w:rFonts w:ascii="Times New Roman" w:hAnsi="Times New Roman" w:cs="Times New Roman"/>
          <w:kern w:val="0"/>
          <w:sz w:val="26"/>
          <w:szCs w:val="26"/>
        </w:rPr>
        <w:t>0) — stationary.</w:t>
      </w:r>
    </w:p>
    <w:p w14:paraId="7A2D1236"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Cointegration</w:t>
      </w:r>
      <w:r w:rsidRPr="00426121">
        <w:rPr>
          <w:rFonts w:ascii="Times New Roman" w:hAnsi="Times New Roman" w:cs="Times New Roman"/>
          <w:kern w:val="0"/>
          <w:sz w:val="26"/>
          <w:szCs w:val="26"/>
        </w:rPr>
        <w:t xml:space="preserve"> — two </w:t>
      </w:r>
      <w:proofErr w:type="gramStart"/>
      <w:r w:rsidRPr="00426121">
        <w:rPr>
          <w:rFonts w:ascii="Times New Roman" w:hAnsi="Times New Roman" w:cs="Times New Roman"/>
          <w:kern w:val="0"/>
          <w:sz w:val="26"/>
          <w:szCs w:val="26"/>
        </w:rPr>
        <w:t>I(</w:t>
      </w:r>
      <w:proofErr w:type="gramEnd"/>
      <w:r w:rsidRPr="00426121">
        <w:rPr>
          <w:rFonts w:ascii="Times New Roman" w:hAnsi="Times New Roman" w:cs="Times New Roman"/>
          <w:kern w:val="0"/>
          <w:sz w:val="26"/>
          <w:szCs w:val="26"/>
        </w:rPr>
        <w:t>1) series are cointegrated if a linear combination of them is stationary — i.e., they share a stable long-run relationship despite both drifting. If they were cointegrated, a levels regression would still be valid. They are not.</w:t>
      </w:r>
    </w:p>
    <w:p w14:paraId="2E208A5F"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Engle-Granger test</w:t>
      </w:r>
      <w:r w:rsidRPr="00426121">
        <w:rPr>
          <w:rFonts w:ascii="Times New Roman" w:hAnsi="Times New Roman" w:cs="Times New Roman"/>
          <w:kern w:val="0"/>
          <w:sz w:val="26"/>
          <w:szCs w:val="26"/>
        </w:rPr>
        <w:t> — tests cointegration by regressing one variable on the other and checking whether the residuals are stationary. p = 0.120 means we cannot reject the null of no cointegration.</w:t>
      </w:r>
    </w:p>
    <w:p w14:paraId="31691AFB"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Johansen test</w:t>
      </w:r>
      <w:r w:rsidRPr="00426121">
        <w:rPr>
          <w:rFonts w:ascii="Times New Roman" w:hAnsi="Times New Roman" w:cs="Times New Roman"/>
          <w:kern w:val="0"/>
          <w:sz w:val="26"/>
          <w:szCs w:val="26"/>
        </w:rPr>
        <w:t> — a multivariate maximum likelihood test for cointegration. "Fails to reject r = 0" means it finds zero cointegrating vectors — no long-run relationship.</w:t>
      </w:r>
    </w:p>
    <w:p w14:paraId="283CD911"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lastRenderedPageBreak/>
        <w:t>"≈13% reserve threshold"</w:t>
      </w:r>
      <w:r w:rsidRPr="00426121">
        <w:rPr>
          <w:rFonts w:ascii="Times New Roman" w:hAnsi="Times New Roman" w:cs="Times New Roman"/>
          <w:kern w:val="0"/>
          <w:sz w:val="26"/>
          <w:szCs w:val="26"/>
        </w:rPr>
        <w:t xml:space="preserve"> — from our Hansen (2000) threshold regression, which found a structural break in the spread-supply relationship at L* ≈ 13%. This was demoted because it was identified only in the spurious </w:t>
      </w:r>
      <w:proofErr w:type="gramStart"/>
      <w:r w:rsidRPr="00426121">
        <w:rPr>
          <w:rFonts w:ascii="Times New Roman" w:hAnsi="Times New Roman" w:cs="Times New Roman"/>
          <w:kern w:val="0"/>
          <w:sz w:val="26"/>
          <w:szCs w:val="26"/>
        </w:rPr>
        <w:t>levels</w:t>
      </w:r>
      <w:proofErr w:type="gramEnd"/>
      <w:r w:rsidRPr="00426121">
        <w:rPr>
          <w:rFonts w:ascii="Times New Roman" w:hAnsi="Times New Roman" w:cs="Times New Roman"/>
          <w:kern w:val="0"/>
          <w:sz w:val="26"/>
          <w:szCs w:val="26"/>
        </w:rPr>
        <w:t xml:space="preserve"> regression.</w:t>
      </w:r>
    </w:p>
    <w:p w14:paraId="41601866" w14:textId="77777777" w:rsidR="003234E9" w:rsidRPr="00426121" w:rsidRDefault="003234E9" w:rsidP="003234E9">
      <w:pPr>
        <w:numPr>
          <w:ilvl w:val="0"/>
          <w:numId w:val="3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"LSTAR"</w:t>
      </w:r>
      <w:r w:rsidRPr="00426121">
        <w:rPr>
          <w:rFonts w:ascii="Times New Roman" w:hAnsi="Times New Roman" w:cs="Times New Roman"/>
          <w:kern w:val="0"/>
          <w:sz w:val="26"/>
          <w:szCs w:val="26"/>
        </w:rPr>
        <w:t> — Logistic Smooth Transition Autoregression. A model that allows the relationship between variables to transition gradually between two regimes, rather than switching sharply at a threshold. Also demoted.</w:t>
      </w:r>
    </w:p>
    <w:p w14:paraId="1E94D5E0" w14:textId="77777777" w:rsidR="003234E9" w:rsidRPr="00426121" w:rsidRDefault="003234E9" w:rsidP="003234E9">
      <w:pPr>
        <w:wordWrap/>
        <w:adjustRightInd w:val="0"/>
        <w:spacing w:after="0"/>
        <w:rPr>
          <w:rFonts w:ascii="Times New Roman" w:hAnsi="Times New Roman" w:cs="Times New Roman"/>
          <w:kern w:val="0"/>
          <w:sz w:val="26"/>
          <w:szCs w:val="26"/>
        </w:rPr>
      </w:pPr>
    </w:p>
    <w:p w14:paraId="4EDDBD87"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5 — Finding the Result That Survives</w:t>
      </w:r>
    </w:p>
    <w:p w14:paraId="2BBCC50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03DE6C7E"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"Once we knew the spread regression was unreliable, we needed a new dependent variable — one that is stationary, directly observable, and mechanically linked to T-bill demand. The bid-cover ratio fits all three criteria.</w:t>
      </w:r>
    </w:p>
    <w:p w14:paraId="06F4C8F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Our approach then had three steps. First, re-anchor: move from the OIS-Treasury spread to T-bill auction bid-cover. This sidesteps the non-stationarity problem entirely because bid-cover does not trend — it fluctuates around a stable mean.</w:t>
      </w:r>
    </w:p>
    <w:p w14:paraId="77CD4446"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Second, stress-test: we tried hard to break the result. We added an auction offering-size control. We removed all interpolated reserve data. We controlled for the Federal Reserve rate cycle. We tested at the individual auction level. And we ran a two-thousand-shuffle permutation placebo.</w:t>
      </w:r>
    </w:p>
    <w:p w14:paraId="18C12E43"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Third, converge: each team member reproduced the checks independently and we reconciled. The bid-cover result held throughout. That became the paper's headline."</w:t>
      </w:r>
    </w:p>
    <w:p w14:paraId="46188B5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36A681FD" w14:textId="77777777" w:rsidR="003234E9" w:rsidRPr="00426121" w:rsidRDefault="003234E9" w:rsidP="003234E9">
      <w:pPr>
        <w:numPr>
          <w:ilvl w:val="0"/>
          <w:numId w:val="37"/>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"Stationary"</w:t>
      </w:r>
      <w:r w:rsidRPr="00426121">
        <w:rPr>
          <w:rFonts w:ascii="Times New Roman" w:hAnsi="Times New Roman" w:cs="Times New Roman"/>
          <w:kern w:val="0"/>
          <w:sz w:val="26"/>
          <w:szCs w:val="26"/>
        </w:rPr>
        <w:t> — a series is stationary if it has a constant mean and variance over time. The bid-cover ratio fluctuates around roughly 3.0 across our whole sample without trending up or down, so it does not have the non-stationarity problem that killed the spread regression.</w:t>
      </w:r>
    </w:p>
    <w:p w14:paraId="2CD5AAA4" w14:textId="77777777" w:rsidR="003234E9" w:rsidRPr="00426121" w:rsidRDefault="003234E9" w:rsidP="003234E9">
      <w:pPr>
        <w:numPr>
          <w:ilvl w:val="0"/>
          <w:numId w:val="37"/>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"Offering-size control"</w:t>
      </w:r>
      <w:r w:rsidRPr="00426121">
        <w:rPr>
          <w:rFonts w:ascii="Times New Roman" w:hAnsi="Times New Roman" w:cs="Times New Roman"/>
          <w:kern w:val="0"/>
          <w:sz w:val="26"/>
          <w:szCs w:val="26"/>
        </w:rPr>
        <w:t xml:space="preserve"> — the Treasury varies how much it offers at each auction. Larger offerings mechanically tend to produce lower bid-cover (the same pool of bidders divided by more supply). By controlling for </w:t>
      </w:r>
      <w:proofErr w:type="gramStart"/>
      <w:r w:rsidRPr="00426121">
        <w:rPr>
          <w:rFonts w:ascii="Times New Roman" w:hAnsi="Times New Roman" w:cs="Times New Roman"/>
          <w:kern w:val="0"/>
          <w:sz w:val="26"/>
          <w:szCs w:val="26"/>
        </w:rPr>
        <w:t>ln(</w:t>
      </w:r>
      <w:proofErr w:type="gramEnd"/>
      <w:r w:rsidRPr="00426121">
        <w:rPr>
          <w:rFonts w:ascii="Times New Roman" w:hAnsi="Times New Roman" w:cs="Times New Roman"/>
          <w:kern w:val="0"/>
          <w:sz w:val="26"/>
          <w:szCs w:val="26"/>
        </w:rPr>
        <w:t>offering size), we isolate the demand side.</w:t>
      </w:r>
    </w:p>
    <w:p w14:paraId="1C00265A" w14:textId="77777777" w:rsidR="003234E9" w:rsidRPr="00426121" w:rsidRDefault="003234E9" w:rsidP="003234E9">
      <w:pPr>
        <w:numPr>
          <w:ilvl w:val="0"/>
          <w:numId w:val="37"/>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"Permutation placebo"</w:t>
      </w:r>
      <w:r w:rsidRPr="00426121">
        <w:rPr>
          <w:rFonts w:ascii="Times New Roman" w:hAnsi="Times New Roman" w:cs="Times New Roman"/>
          <w:kern w:val="0"/>
          <w:sz w:val="26"/>
          <w:szCs w:val="26"/>
        </w:rPr>
        <w:t> — we randomly shuffle the time labels of the USDT supply growth series — breaking any real temporal link between supply growth and bid-cover — and re-run the regression 2,000 times. The p-value is the fraction of shuffles that produce a coefficient at least as negative as ours. If our result was a coincidental time-series correlation, the shuffled versions would produce similar results frequently. If it is genuine, they should not.</w:t>
      </w:r>
    </w:p>
    <w:p w14:paraId="4CCC1D31" w14:textId="77777777" w:rsidR="003234E9" w:rsidRPr="00426121" w:rsidRDefault="003234E9" w:rsidP="003234E9">
      <w:pPr>
        <w:wordWrap/>
        <w:adjustRightInd w:val="0"/>
        <w:spacing w:after="0"/>
        <w:rPr>
          <w:rFonts w:ascii="Times New Roman" w:hAnsi="Times New Roman" w:cs="Times New Roman"/>
          <w:kern w:val="0"/>
          <w:sz w:val="26"/>
          <w:szCs w:val="26"/>
        </w:rPr>
      </w:pPr>
    </w:p>
    <w:p w14:paraId="4D88BA1D"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6 — Main Result</w:t>
      </w:r>
    </w:p>
    <w:p w14:paraId="1158D829"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1869466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"Here is the estimating equation. BC_{</w:t>
      </w:r>
      <w:proofErr w:type="spellStart"/>
      <w:proofErr w:type="gramStart"/>
      <w:r w:rsidRPr="00426121">
        <w:rPr>
          <w:rFonts w:ascii="Times New Roman" w:hAnsi="Times New Roman" w:cs="Times New Roman"/>
          <w:kern w:val="0"/>
          <w:sz w:val="26"/>
          <w:szCs w:val="26"/>
        </w:rPr>
        <w:t>m,t</w:t>
      </w:r>
      <w:proofErr w:type="spellEnd"/>
      <w:proofErr w:type="gramEnd"/>
      <w:r w:rsidRPr="00426121">
        <w:rPr>
          <w:rFonts w:ascii="Times New Roman" w:hAnsi="Times New Roman" w:cs="Times New Roman"/>
          <w:kern w:val="0"/>
          <w:sz w:val="26"/>
          <w:szCs w:val="26"/>
        </w:rPr>
        <w:t>} — the average bid-cover ratio for maturity m in month t — is regressed on USDT supply growth, USDC supply growth, log offering size, VIX, and the change in the federal funds rate. We estimate separately for each of the four maturities. Standard errors are Newey-West with one lag.</w:t>
      </w:r>
    </w:p>
    <w:p w14:paraId="19BECF63"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lastRenderedPageBreak/>
        <w:t>The results are in the table. USDT supply growth is associated with statistically significant reductions in bid-cover at the 8-, 13-, and 26-week maturities — coefficients of minus 1.33, minus 1.51, and minus 1.53. The 4-week coefficient is negative but does not reach significance once we control for offering size.</w:t>
      </w:r>
    </w:p>
    <w:p w14:paraId="4826C701"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USDC supply growth is positive and significant at several maturities — it moves in the opposite direction. The Wald test in the final column tests whether β_USDT and β_USDC are equal. They are not, at every maturity, with p-values ranging from 0.001 to 0.026. That issuer difference — consistent with USDT's higher T-bill backing — is our main finding."</w:t>
      </w:r>
    </w:p>
    <w:p w14:paraId="12AD5A7E"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1F75412F"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BC_{</w:t>
      </w:r>
      <w:proofErr w:type="spellStart"/>
      <w:proofErr w:type="gramStart"/>
      <w:r w:rsidRPr="00426121">
        <w:rPr>
          <w:rFonts w:ascii="Times New Roman" w:hAnsi="Times New Roman" w:cs="Times New Roman"/>
          <w:b/>
          <w:bCs/>
          <w:kern w:val="0"/>
          <w:sz w:val="26"/>
          <w:szCs w:val="26"/>
        </w:rPr>
        <w:t>m,t</w:t>
      </w:r>
      <w:proofErr w:type="spellEnd"/>
      <w:proofErr w:type="gramEnd"/>
      <w:r w:rsidRPr="00426121">
        <w:rPr>
          <w:rFonts w:ascii="Times New Roman" w:hAnsi="Times New Roman" w:cs="Times New Roman"/>
          <w:b/>
          <w:bCs/>
          <w:kern w:val="0"/>
          <w:sz w:val="26"/>
          <w:szCs w:val="26"/>
        </w:rPr>
        <w:t>}</w:t>
      </w:r>
      <w:r w:rsidRPr="00426121">
        <w:rPr>
          <w:rFonts w:ascii="Times New Roman" w:hAnsi="Times New Roman" w:cs="Times New Roman"/>
          <w:kern w:val="0"/>
          <w:sz w:val="26"/>
          <w:szCs w:val="26"/>
        </w:rPr>
        <w:t> — bid-cover ratio for maturity m (4-, 8-, 13-, or 26-week) in month t. It is the ratio of total competitive bids submitted to the amount the Treasury offered at that auction, averaged to monthly frequency.</w:t>
      </w:r>
    </w:p>
    <w:p w14:paraId="70525E65"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αₘ</w:t>
      </w:r>
      <w:r w:rsidRPr="00426121">
        <w:rPr>
          <w:rFonts w:ascii="Times New Roman" w:hAnsi="Times New Roman" w:cs="Times New Roman"/>
          <w:kern w:val="0"/>
          <w:sz w:val="26"/>
          <w:szCs w:val="26"/>
        </w:rPr>
        <w:t> — maturity-specific intercept. Each maturity has its own baseline bid-cover level, so we include a separate constant for each.</w:t>
      </w:r>
    </w:p>
    <w:p w14:paraId="22FC3CFB"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β_USDT, β_USDC</w:t>
      </w:r>
      <w:r w:rsidRPr="00426121">
        <w:rPr>
          <w:rFonts w:ascii="Times New Roman" w:hAnsi="Times New Roman" w:cs="Times New Roman"/>
          <w:kern w:val="0"/>
          <w:sz w:val="26"/>
          <w:szCs w:val="26"/>
        </w:rPr>
        <w:t xml:space="preserve"> — the coefficients of interest. β_USDT tells us how much bid-cover changes for a one-unit increase in USDT monthly log supply growth, holding all else fixed. </w:t>
      </w:r>
      <w:proofErr w:type="gramStart"/>
      <w:r w:rsidRPr="00426121">
        <w:rPr>
          <w:rFonts w:ascii="Times New Roman" w:hAnsi="Times New Roman" w:cs="Times New Roman"/>
          <w:kern w:val="0"/>
          <w:sz w:val="26"/>
          <w:szCs w:val="26"/>
        </w:rPr>
        <w:t>Likewise</w:t>
      </w:r>
      <w:proofErr w:type="gramEnd"/>
      <w:r w:rsidRPr="00426121">
        <w:rPr>
          <w:rFonts w:ascii="Times New Roman" w:hAnsi="Times New Roman" w:cs="Times New Roman"/>
          <w:kern w:val="0"/>
          <w:sz w:val="26"/>
          <w:szCs w:val="26"/>
        </w:rPr>
        <w:t xml:space="preserve"> for β_USDC.</w:t>
      </w:r>
    </w:p>
    <w:p w14:paraId="41BC3F6D"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proofErr w:type="spellStart"/>
      <w:r w:rsidRPr="00426121">
        <w:rPr>
          <w:rFonts w:ascii="Times New Roman" w:hAnsi="Times New Roman" w:cs="Times New Roman"/>
          <w:b/>
          <w:bCs/>
          <w:kern w:val="0"/>
          <w:sz w:val="26"/>
          <w:szCs w:val="26"/>
        </w:rPr>
        <w:t>ΔlnS^USDT_t</w:t>
      </w:r>
      <w:proofErr w:type="spellEnd"/>
      <w:r w:rsidRPr="00426121">
        <w:rPr>
          <w:rFonts w:ascii="Times New Roman" w:hAnsi="Times New Roman" w:cs="Times New Roman"/>
          <w:kern w:val="0"/>
          <w:sz w:val="26"/>
          <w:szCs w:val="26"/>
        </w:rPr>
        <w:t xml:space="preserve"> — the log growth rate of USDT supply in month t. Specifically: </w:t>
      </w:r>
      <w:proofErr w:type="gramStart"/>
      <w:r w:rsidRPr="00426121">
        <w:rPr>
          <w:rFonts w:ascii="Times New Roman" w:hAnsi="Times New Roman" w:cs="Times New Roman"/>
          <w:kern w:val="0"/>
          <w:sz w:val="26"/>
          <w:szCs w:val="26"/>
        </w:rPr>
        <w:t>ln(</w:t>
      </w:r>
      <w:proofErr w:type="gramEnd"/>
      <w:r w:rsidRPr="00426121">
        <w:rPr>
          <w:rFonts w:ascii="Times New Roman" w:hAnsi="Times New Roman" w:cs="Times New Roman"/>
          <w:kern w:val="0"/>
          <w:sz w:val="26"/>
          <w:szCs w:val="26"/>
        </w:rPr>
        <w:t xml:space="preserve">supply at end of month t) minus </w:t>
      </w:r>
      <w:proofErr w:type="gramStart"/>
      <w:r w:rsidRPr="00426121">
        <w:rPr>
          <w:rFonts w:ascii="Times New Roman" w:hAnsi="Times New Roman" w:cs="Times New Roman"/>
          <w:kern w:val="0"/>
          <w:sz w:val="26"/>
          <w:szCs w:val="26"/>
        </w:rPr>
        <w:t>ln(</w:t>
      </w:r>
      <w:proofErr w:type="gramEnd"/>
      <w:r w:rsidRPr="00426121">
        <w:rPr>
          <w:rFonts w:ascii="Times New Roman" w:hAnsi="Times New Roman" w:cs="Times New Roman"/>
          <w:kern w:val="0"/>
          <w:sz w:val="26"/>
          <w:szCs w:val="26"/>
        </w:rPr>
        <w:t>supply at end of month t−1). A value of 0.05 means roughly 5% growth that month. Log differences are used because they are stationary and symmetric.</w:t>
      </w:r>
    </w:p>
    <w:p w14:paraId="6DDA150F"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 xml:space="preserve">δₘ · </w:t>
      </w:r>
      <w:proofErr w:type="gramStart"/>
      <w:r w:rsidRPr="00426121">
        <w:rPr>
          <w:rFonts w:ascii="Times New Roman" w:hAnsi="Times New Roman" w:cs="Times New Roman"/>
          <w:b/>
          <w:bCs/>
          <w:kern w:val="0"/>
          <w:sz w:val="26"/>
          <w:szCs w:val="26"/>
        </w:rPr>
        <w:t>ln(</w:t>
      </w:r>
      <w:proofErr w:type="gramEnd"/>
      <w:r w:rsidRPr="00426121">
        <w:rPr>
          <w:rFonts w:ascii="Times New Roman" w:hAnsi="Times New Roman" w:cs="Times New Roman"/>
          <w:b/>
          <w:bCs/>
          <w:kern w:val="0"/>
          <w:sz w:val="26"/>
          <w:szCs w:val="26"/>
        </w:rPr>
        <w:t>Offering_{</w:t>
      </w:r>
      <w:proofErr w:type="spellStart"/>
      <w:proofErr w:type="gramStart"/>
      <w:r w:rsidRPr="00426121">
        <w:rPr>
          <w:rFonts w:ascii="Times New Roman" w:hAnsi="Times New Roman" w:cs="Times New Roman"/>
          <w:b/>
          <w:bCs/>
          <w:kern w:val="0"/>
          <w:sz w:val="26"/>
          <w:szCs w:val="26"/>
        </w:rPr>
        <w:t>m,t</w:t>
      </w:r>
      <w:proofErr w:type="spellEnd"/>
      <w:proofErr w:type="gramEnd"/>
      <w:r w:rsidRPr="00426121">
        <w:rPr>
          <w:rFonts w:ascii="Times New Roman" w:hAnsi="Times New Roman" w:cs="Times New Roman"/>
          <w:b/>
          <w:bCs/>
          <w:kern w:val="0"/>
          <w:sz w:val="26"/>
          <w:szCs w:val="26"/>
        </w:rPr>
        <w:t>})</w:t>
      </w:r>
      <w:r w:rsidRPr="00426121">
        <w:rPr>
          <w:rFonts w:ascii="Times New Roman" w:hAnsi="Times New Roman" w:cs="Times New Roman"/>
          <w:kern w:val="0"/>
          <w:sz w:val="26"/>
          <w:szCs w:val="26"/>
        </w:rPr>
        <w:t> — the offering size control. We take the natural log of the average dollar amount offered at auctions of maturity m in month t. δₘ is expected to be negative: larger auctions tend to have lower bid-cover.</w:t>
      </w:r>
    </w:p>
    <w:p w14:paraId="6266BFD5"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 xml:space="preserve">γ₁ · </w:t>
      </w:r>
      <w:proofErr w:type="spellStart"/>
      <w:r w:rsidRPr="00426121">
        <w:rPr>
          <w:rFonts w:ascii="Times New Roman" w:hAnsi="Times New Roman" w:cs="Times New Roman"/>
          <w:b/>
          <w:bCs/>
          <w:kern w:val="0"/>
          <w:sz w:val="26"/>
          <w:szCs w:val="26"/>
        </w:rPr>
        <w:t>VIX_t</w:t>
      </w:r>
      <w:proofErr w:type="spellEnd"/>
      <w:r w:rsidRPr="00426121">
        <w:rPr>
          <w:rFonts w:ascii="Times New Roman" w:hAnsi="Times New Roman" w:cs="Times New Roman"/>
          <w:kern w:val="0"/>
          <w:sz w:val="26"/>
          <w:szCs w:val="26"/>
        </w:rPr>
        <w:t> — the CBOE Volatility Index, a measure of expected stock market volatility derived from S&amp;P 500 option prices. Higher VIX signals a risk-off environment. We expect γ₁ to be positive: when fear rises, investors rush to T-bills, raising bid-cover.</w:t>
      </w:r>
    </w:p>
    <w:p w14:paraId="1ADA3110"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 xml:space="preserve">γ₂ · </w:t>
      </w:r>
      <w:proofErr w:type="spellStart"/>
      <w:r w:rsidRPr="00426121">
        <w:rPr>
          <w:rFonts w:ascii="Times New Roman" w:hAnsi="Times New Roman" w:cs="Times New Roman"/>
          <w:b/>
          <w:bCs/>
          <w:kern w:val="0"/>
          <w:sz w:val="26"/>
          <w:szCs w:val="26"/>
        </w:rPr>
        <w:t>Δfedfunds_t</w:t>
      </w:r>
      <w:proofErr w:type="spellEnd"/>
      <w:r w:rsidRPr="00426121">
        <w:rPr>
          <w:rFonts w:ascii="Times New Roman" w:hAnsi="Times New Roman" w:cs="Times New Roman"/>
          <w:kern w:val="0"/>
          <w:sz w:val="26"/>
          <w:szCs w:val="26"/>
        </w:rPr>
        <w:t> — the month-over-month change in the federal funds rate. This controls for the dominant driver of short-term interest rates during our sample. When the Fed raises rates sharply, it affects T-bill yields and demand dynamics.</w:t>
      </w:r>
    </w:p>
    <w:p w14:paraId="3F98EEC1"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proofErr w:type="spellStart"/>
      <w:r w:rsidRPr="00426121">
        <w:rPr>
          <w:rFonts w:ascii="Times New Roman" w:hAnsi="Times New Roman" w:cs="Times New Roman"/>
          <w:b/>
          <w:bCs/>
          <w:kern w:val="0"/>
          <w:sz w:val="26"/>
          <w:szCs w:val="26"/>
        </w:rPr>
        <w:t>ε_t</w:t>
      </w:r>
      <w:proofErr w:type="spellEnd"/>
      <w:r w:rsidRPr="00426121">
        <w:rPr>
          <w:rFonts w:ascii="Times New Roman" w:hAnsi="Times New Roman" w:cs="Times New Roman"/>
          <w:kern w:val="0"/>
          <w:sz w:val="26"/>
          <w:szCs w:val="26"/>
        </w:rPr>
        <w:t> — the error term: unexplained variation in bid-cover after all controls.</w:t>
      </w:r>
    </w:p>
    <w:p w14:paraId="690C47F0"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 xml:space="preserve">Newey-West </w:t>
      </w:r>
      <w:proofErr w:type="gramStart"/>
      <w:r w:rsidRPr="00426121">
        <w:rPr>
          <w:rFonts w:ascii="Times New Roman" w:hAnsi="Times New Roman" w:cs="Times New Roman"/>
          <w:b/>
          <w:bCs/>
          <w:kern w:val="0"/>
          <w:sz w:val="26"/>
          <w:szCs w:val="26"/>
        </w:rPr>
        <w:t>HAC(</w:t>
      </w:r>
      <w:proofErr w:type="gramEnd"/>
      <w:r w:rsidRPr="00426121">
        <w:rPr>
          <w:rFonts w:ascii="Times New Roman" w:hAnsi="Times New Roman" w:cs="Times New Roman"/>
          <w:b/>
          <w:bCs/>
          <w:kern w:val="0"/>
          <w:sz w:val="26"/>
          <w:szCs w:val="26"/>
        </w:rPr>
        <w:t>1)</w:t>
      </w:r>
      <w:r w:rsidRPr="00426121">
        <w:rPr>
          <w:rFonts w:ascii="Times New Roman" w:hAnsi="Times New Roman" w:cs="Times New Roman"/>
          <w:kern w:val="0"/>
          <w:sz w:val="26"/>
          <w:szCs w:val="26"/>
        </w:rPr>
        <w:t> — standard errors that are robust to both heteroscedasticity (non-constant variance of errors) and autocorrelation (correlation of errors across time). The "(1)" means we allow for up to 1 lag of autocorrelation. This is important because monthly bid-cover observations close in time tend to be correlated.</w:t>
      </w:r>
    </w:p>
    <w:p w14:paraId="1730BCA0"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"ns"</w:t>
      </w:r>
      <w:r w:rsidRPr="00426121">
        <w:rPr>
          <w:rFonts w:ascii="Times New Roman" w:hAnsi="Times New Roman" w:cs="Times New Roman"/>
          <w:kern w:val="0"/>
          <w:sz w:val="26"/>
          <w:szCs w:val="26"/>
        </w:rPr>
        <w:t> — not significant at the 10% level. </w:t>
      </w:r>
      <w:r w:rsidRPr="00426121">
        <w:rPr>
          <w:rFonts w:ascii="Times New Roman" w:hAnsi="Times New Roman" w:cs="Times New Roman"/>
          <w:b/>
          <w:bCs/>
          <w:kern w:val="0"/>
          <w:sz w:val="26"/>
          <w:szCs w:val="26"/>
        </w:rPr>
        <w:t>"*"</w:t>
      </w:r>
      <w:r w:rsidRPr="00426121">
        <w:rPr>
          <w:rFonts w:ascii="Times New Roman" w:hAnsi="Times New Roman" w:cs="Times New Roman"/>
          <w:kern w:val="0"/>
          <w:sz w:val="26"/>
          <w:szCs w:val="26"/>
        </w:rPr>
        <w:t> — significant at 10%. </w:t>
      </w:r>
      <w:r w:rsidRPr="00426121">
        <w:rPr>
          <w:rFonts w:ascii="Times New Roman" w:hAnsi="Times New Roman" w:cs="Times New Roman"/>
          <w:b/>
          <w:bCs/>
          <w:kern w:val="0"/>
          <w:sz w:val="26"/>
          <w:szCs w:val="26"/>
        </w:rPr>
        <w:t>"</w:t>
      </w:r>
      <w:r w:rsidRPr="00426121">
        <w:rPr>
          <w:rFonts w:ascii="Times New Roman" w:hAnsi="Times New Roman" w:cs="Times New Roman"/>
          <w:kern w:val="0"/>
          <w:sz w:val="26"/>
          <w:szCs w:val="26"/>
        </w:rPr>
        <w:t>"** — significant at 5%. </w:t>
      </w:r>
      <w:r w:rsidRPr="00426121">
        <w:rPr>
          <w:rFonts w:ascii="Times New Roman" w:hAnsi="Times New Roman" w:cs="Times New Roman"/>
          <w:b/>
          <w:bCs/>
          <w:kern w:val="0"/>
          <w:sz w:val="26"/>
          <w:szCs w:val="26"/>
        </w:rPr>
        <w:t>"</w:t>
      </w:r>
      <w:r w:rsidRPr="00426121">
        <w:rPr>
          <w:rFonts w:ascii="Times New Roman" w:hAnsi="Times New Roman" w:cs="Times New Roman"/>
          <w:kern w:val="0"/>
          <w:sz w:val="26"/>
          <w:szCs w:val="26"/>
        </w:rPr>
        <w:t>*"** — significant at 1%.</w:t>
      </w:r>
    </w:p>
    <w:p w14:paraId="43C0F1F5"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Wald test</w:t>
      </w:r>
      <w:r w:rsidRPr="00426121">
        <w:rPr>
          <w:rFonts w:ascii="Times New Roman" w:hAnsi="Times New Roman" w:cs="Times New Roman"/>
          <w:kern w:val="0"/>
          <w:sz w:val="26"/>
          <w:szCs w:val="26"/>
        </w:rPr>
        <w:t> — a test of the linear restriction β_USDT = β_USDC. We are asking: is the difference between the two coefficients statistically distinguishable from zero? It is, at every maturity. This is important because it rules out the interpretation that "all supply growth moves bid-cover" — only USDT does, and it moves differently from USDC.</w:t>
      </w:r>
    </w:p>
    <w:p w14:paraId="5C0F27CF" w14:textId="77777777" w:rsidR="003234E9" w:rsidRPr="00426121" w:rsidRDefault="003234E9" w:rsidP="003234E9">
      <w:pPr>
        <w:numPr>
          <w:ilvl w:val="0"/>
          <w:numId w:val="3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lastRenderedPageBreak/>
        <w:t>Why is β_USDT negative?</w:t>
      </w:r>
      <w:r w:rsidRPr="00426121">
        <w:rPr>
          <w:rFonts w:ascii="Times New Roman" w:hAnsi="Times New Roman" w:cs="Times New Roman"/>
          <w:kern w:val="0"/>
          <w:sz w:val="26"/>
          <w:szCs w:val="26"/>
        </w:rPr>
        <w:t xml:space="preserve"> — If the professor asks: the intuitive prediction is that USDT buying raises bid-cover. But USDT grows fastest during fiscal expansion periods when the Treasury is also issuing more. The offering denominator grows faster than the demand numerator, so bid-cover falls. The key is not the sign in </w:t>
      </w:r>
      <w:proofErr w:type="gramStart"/>
      <w:r w:rsidRPr="00426121">
        <w:rPr>
          <w:rFonts w:ascii="Times New Roman" w:hAnsi="Times New Roman" w:cs="Times New Roman"/>
          <w:kern w:val="0"/>
          <w:sz w:val="26"/>
          <w:szCs w:val="26"/>
        </w:rPr>
        <w:t>isolation</w:t>
      </w:r>
      <w:proofErr w:type="gramEnd"/>
      <w:r w:rsidRPr="00426121">
        <w:rPr>
          <w:rFonts w:ascii="Times New Roman" w:hAnsi="Times New Roman" w:cs="Times New Roman"/>
          <w:kern w:val="0"/>
          <w:sz w:val="26"/>
          <w:szCs w:val="26"/>
        </w:rPr>
        <w:t xml:space="preserve"> but that USDT and USDC differ — which is the reserve-composition signature.</w:t>
      </w:r>
    </w:p>
    <w:p w14:paraId="4C7707F1" w14:textId="77777777" w:rsidR="003234E9" w:rsidRPr="00426121" w:rsidRDefault="003234E9" w:rsidP="003234E9">
      <w:pPr>
        <w:wordWrap/>
        <w:adjustRightInd w:val="0"/>
        <w:spacing w:after="0"/>
        <w:rPr>
          <w:rFonts w:ascii="Times New Roman" w:hAnsi="Times New Roman" w:cs="Times New Roman"/>
          <w:kern w:val="0"/>
          <w:sz w:val="26"/>
          <w:szCs w:val="26"/>
        </w:rPr>
      </w:pPr>
    </w:p>
    <w:p w14:paraId="0D7876EE"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7 — Robustness (Bullets)</w:t>
      </w:r>
    </w:p>
    <w:p w14:paraId="61773BC9"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363D781E"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"Five robustness checks. One: we removed all interpolated reserve variables — θ and L — entirely. The result holds, which means it does not depend on the manufactured data. Two: the critical control turns out to be the Federal Reserve rate cycle. Once the change in the fed funds rate is in the specification, USDT is significant at every maturity. Three: adding the offering-size control softens the 4-week result slightly but leaves 8-, 13-, and 26-week essentially unchanged. Four: a two-thousand-shuffle permutation placebo — three of four maturities pass at the five percent level. Five: the Wald test rejects USDT equals USDC at every maturity."</w:t>
      </w:r>
    </w:p>
    <w:p w14:paraId="6F35F887"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048C46E3" w14:textId="77777777" w:rsidR="003234E9" w:rsidRPr="00426121" w:rsidRDefault="003234E9" w:rsidP="003234E9">
      <w:pPr>
        <w:numPr>
          <w:ilvl w:val="0"/>
          <w:numId w:val="39"/>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"Interpolated reserve variables θ and L"</w:t>
      </w:r>
      <w:r w:rsidRPr="00426121">
        <w:rPr>
          <w:rFonts w:ascii="Times New Roman" w:hAnsi="Times New Roman" w:cs="Times New Roman"/>
          <w:kern w:val="0"/>
          <w:sz w:val="26"/>
          <w:szCs w:val="26"/>
        </w:rPr>
        <w:t xml:space="preserve"> — because Tether only reports </w:t>
      </w:r>
      <w:proofErr w:type="gramStart"/>
      <w:r w:rsidRPr="00426121">
        <w:rPr>
          <w:rFonts w:ascii="Times New Roman" w:hAnsi="Times New Roman" w:cs="Times New Roman"/>
          <w:kern w:val="0"/>
          <w:sz w:val="26"/>
          <w:szCs w:val="26"/>
        </w:rPr>
        <w:t>reserves</w:t>
      </w:r>
      <w:proofErr w:type="gramEnd"/>
      <w:r w:rsidRPr="00426121">
        <w:rPr>
          <w:rFonts w:ascii="Times New Roman" w:hAnsi="Times New Roman" w:cs="Times New Roman"/>
          <w:kern w:val="0"/>
          <w:sz w:val="26"/>
          <w:szCs w:val="26"/>
        </w:rPr>
        <w:t xml:space="preserve"> quarterly, we had to estimate monthly values by interpolating. Any result that relies on these estimated values is potentially an artifact of the interpolation method rather than a real economic relationship. Spec B removes them entirely — if the result survives without them, interpolation is not driving it.</w:t>
      </w:r>
    </w:p>
    <w:p w14:paraId="14881EE6" w14:textId="77777777" w:rsidR="003234E9" w:rsidRPr="00426121" w:rsidRDefault="003234E9" w:rsidP="003234E9">
      <w:pPr>
        <w:numPr>
          <w:ilvl w:val="0"/>
          <w:numId w:val="39"/>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"Fed rate cycle control"</w:t>
      </w:r>
      <w:r w:rsidRPr="00426121">
        <w:rPr>
          <w:rFonts w:ascii="Times New Roman" w:hAnsi="Times New Roman" w:cs="Times New Roman"/>
          <w:kern w:val="0"/>
          <w:sz w:val="26"/>
          <w:szCs w:val="26"/>
        </w:rPr>
        <w:t xml:space="preserve"> — </w:t>
      </w:r>
      <w:proofErr w:type="spellStart"/>
      <w:r w:rsidRPr="00426121">
        <w:rPr>
          <w:rFonts w:ascii="Times New Roman" w:hAnsi="Times New Roman" w:cs="Times New Roman"/>
          <w:kern w:val="0"/>
          <w:sz w:val="26"/>
          <w:szCs w:val="26"/>
        </w:rPr>
        <w:t>ΔFedfunds</w:t>
      </w:r>
      <w:proofErr w:type="spellEnd"/>
      <w:r w:rsidRPr="00426121">
        <w:rPr>
          <w:rFonts w:ascii="Times New Roman" w:hAnsi="Times New Roman" w:cs="Times New Roman"/>
          <w:kern w:val="0"/>
          <w:sz w:val="26"/>
          <w:szCs w:val="26"/>
        </w:rPr>
        <w:t xml:space="preserve"> in the specification. During 2022-24, the Fed raised rates from near zero to over 5%. This created shared trends in many financial variables. Controlling for it directly ensures we are not attributing the Fed's effect to stablecoin supply growth.</w:t>
      </w:r>
    </w:p>
    <w:p w14:paraId="45162C61" w14:textId="77777777" w:rsidR="003234E9" w:rsidRPr="00426121" w:rsidRDefault="003234E9" w:rsidP="003234E9">
      <w:pPr>
        <w:wordWrap/>
        <w:adjustRightInd w:val="0"/>
        <w:spacing w:after="0"/>
        <w:rPr>
          <w:rFonts w:ascii="Times New Roman" w:hAnsi="Times New Roman" w:cs="Times New Roman"/>
          <w:kern w:val="0"/>
          <w:sz w:val="26"/>
          <w:szCs w:val="26"/>
        </w:rPr>
      </w:pPr>
    </w:p>
    <w:p w14:paraId="7EB1625F"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8 — Specification Ladder</w:t>
      </w:r>
    </w:p>
    <w:p w14:paraId="7617CE3F"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0A502AC5"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"This table shows β_USDT across three nested specifications. Spec A is our most generous baseline — it includes all eight controls, including the interpolated θ and L. Spec B removes those two interpolated variables. Spec C — our preferred specification, marked with a star — adds the offering-size control and has no interpolated data at all.</w:t>
      </w:r>
    </w:p>
    <w:p w14:paraId="40857FFD"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Reading across each row: the coefficients are stable. Removing the questionable data in A to B </w:t>
      </w:r>
      <w:proofErr w:type="gramStart"/>
      <w:r w:rsidRPr="00426121">
        <w:rPr>
          <w:rFonts w:ascii="Times New Roman" w:hAnsi="Times New Roman" w:cs="Times New Roman"/>
          <w:kern w:val="0"/>
          <w:sz w:val="26"/>
          <w:szCs w:val="26"/>
        </w:rPr>
        <w:t>actually strengthens</w:t>
      </w:r>
      <w:proofErr w:type="gramEnd"/>
      <w:r w:rsidRPr="00426121">
        <w:rPr>
          <w:rFonts w:ascii="Times New Roman" w:hAnsi="Times New Roman" w:cs="Times New Roman"/>
          <w:kern w:val="0"/>
          <w:sz w:val="26"/>
          <w:szCs w:val="26"/>
        </w:rPr>
        <w:t xml:space="preserve"> the estimates slightly, which suggests the interpolated controls were adding noise rather than signal. Moving from B to C barely changes the 8-, 13-, and 26-week estimates. The result does not belong to any single specification choice."</w:t>
      </w:r>
    </w:p>
    <w:p w14:paraId="5C8BDE22"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7CD5944A" w14:textId="77777777" w:rsidR="003234E9" w:rsidRPr="00426121" w:rsidRDefault="003234E9" w:rsidP="003234E9">
      <w:pPr>
        <w:numPr>
          <w:ilvl w:val="0"/>
          <w:numId w:val="40"/>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"Nested specifications"</w:t>
      </w:r>
      <w:r w:rsidRPr="00426121">
        <w:rPr>
          <w:rFonts w:ascii="Times New Roman" w:hAnsi="Times New Roman" w:cs="Times New Roman"/>
          <w:kern w:val="0"/>
          <w:sz w:val="26"/>
          <w:szCs w:val="26"/>
        </w:rPr>
        <w:t> — each subsequent spec is the previous one with one change. This lets us see the marginal effect of each choice rather than comparing entirely different models.</w:t>
      </w:r>
    </w:p>
    <w:p w14:paraId="28A6E833" w14:textId="77777777" w:rsidR="003234E9" w:rsidRPr="00426121" w:rsidRDefault="003234E9" w:rsidP="003234E9">
      <w:pPr>
        <w:numPr>
          <w:ilvl w:val="0"/>
          <w:numId w:val="40"/>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lastRenderedPageBreak/>
        <w:t>Spec A</w:t>
      </w:r>
      <w:r w:rsidRPr="00426121">
        <w:rPr>
          <w:rFonts w:ascii="Times New Roman" w:hAnsi="Times New Roman" w:cs="Times New Roman"/>
          <w:kern w:val="0"/>
          <w:sz w:val="26"/>
          <w:szCs w:val="26"/>
        </w:rPr>
        <w:t xml:space="preserve"> includes: β_USDT, β_USDC, θ, L, velocity, VIX, </w:t>
      </w:r>
      <w:proofErr w:type="spellStart"/>
      <w:r w:rsidRPr="00426121">
        <w:rPr>
          <w:rFonts w:ascii="Times New Roman" w:hAnsi="Times New Roman" w:cs="Times New Roman"/>
          <w:kern w:val="0"/>
          <w:sz w:val="26"/>
          <w:szCs w:val="26"/>
        </w:rPr>
        <w:t>ΔlnN</w:t>
      </w:r>
      <w:proofErr w:type="spellEnd"/>
      <w:r w:rsidRPr="00426121">
        <w:rPr>
          <w:rFonts w:ascii="Times New Roman" w:hAnsi="Times New Roman" w:cs="Times New Roman"/>
          <w:kern w:val="0"/>
          <w:sz w:val="26"/>
          <w:szCs w:val="26"/>
        </w:rPr>
        <w:t xml:space="preserve">*, </w:t>
      </w:r>
      <w:proofErr w:type="spellStart"/>
      <w:r w:rsidRPr="00426121">
        <w:rPr>
          <w:rFonts w:ascii="Times New Roman" w:hAnsi="Times New Roman" w:cs="Times New Roman"/>
          <w:kern w:val="0"/>
          <w:sz w:val="26"/>
          <w:szCs w:val="26"/>
        </w:rPr>
        <w:t>Δfedfunds</w:t>
      </w:r>
      <w:proofErr w:type="spellEnd"/>
      <w:r w:rsidRPr="00426121">
        <w:rPr>
          <w:rFonts w:ascii="Times New Roman" w:hAnsi="Times New Roman" w:cs="Times New Roman"/>
          <w:kern w:val="0"/>
          <w:sz w:val="26"/>
          <w:szCs w:val="26"/>
        </w:rPr>
        <w:t xml:space="preserve"> — 8 controls total.</w:t>
      </w:r>
    </w:p>
    <w:p w14:paraId="2626B609" w14:textId="77777777" w:rsidR="003234E9" w:rsidRPr="00426121" w:rsidRDefault="003234E9" w:rsidP="003234E9">
      <w:pPr>
        <w:numPr>
          <w:ilvl w:val="0"/>
          <w:numId w:val="40"/>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Spec B</w:t>
      </w:r>
      <w:r w:rsidRPr="00426121">
        <w:rPr>
          <w:rFonts w:ascii="Times New Roman" w:hAnsi="Times New Roman" w:cs="Times New Roman"/>
          <w:kern w:val="0"/>
          <w:sz w:val="26"/>
          <w:szCs w:val="26"/>
        </w:rPr>
        <w:t xml:space="preserve"> drops θ and L (the two interpolated variables), keeping velocity, VIX, </w:t>
      </w:r>
      <w:proofErr w:type="spellStart"/>
      <w:r w:rsidRPr="00426121">
        <w:rPr>
          <w:rFonts w:ascii="Times New Roman" w:hAnsi="Times New Roman" w:cs="Times New Roman"/>
          <w:kern w:val="0"/>
          <w:sz w:val="26"/>
          <w:szCs w:val="26"/>
        </w:rPr>
        <w:t>ΔlnN</w:t>
      </w:r>
      <w:proofErr w:type="spellEnd"/>
      <w:r w:rsidRPr="00426121">
        <w:rPr>
          <w:rFonts w:ascii="Times New Roman" w:hAnsi="Times New Roman" w:cs="Times New Roman"/>
          <w:kern w:val="0"/>
          <w:sz w:val="26"/>
          <w:szCs w:val="26"/>
        </w:rPr>
        <w:t xml:space="preserve">*, </w:t>
      </w:r>
      <w:proofErr w:type="spellStart"/>
      <w:r w:rsidRPr="00426121">
        <w:rPr>
          <w:rFonts w:ascii="Times New Roman" w:hAnsi="Times New Roman" w:cs="Times New Roman"/>
          <w:kern w:val="0"/>
          <w:sz w:val="26"/>
          <w:szCs w:val="26"/>
        </w:rPr>
        <w:t>Δfedfunds</w:t>
      </w:r>
      <w:proofErr w:type="spellEnd"/>
      <w:r w:rsidRPr="00426121">
        <w:rPr>
          <w:rFonts w:ascii="Times New Roman" w:hAnsi="Times New Roman" w:cs="Times New Roman"/>
          <w:kern w:val="0"/>
          <w:sz w:val="26"/>
          <w:szCs w:val="26"/>
        </w:rPr>
        <w:t>.</w:t>
      </w:r>
    </w:p>
    <w:p w14:paraId="36223204" w14:textId="77777777" w:rsidR="003234E9" w:rsidRPr="00426121" w:rsidRDefault="003234E9" w:rsidP="003234E9">
      <w:pPr>
        <w:numPr>
          <w:ilvl w:val="0"/>
          <w:numId w:val="40"/>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Spec C (preferred)</w:t>
      </w:r>
      <w:r w:rsidRPr="00426121">
        <w:rPr>
          <w:rFonts w:ascii="Times New Roman" w:hAnsi="Times New Roman" w:cs="Times New Roman"/>
          <w:kern w:val="0"/>
          <w:sz w:val="26"/>
          <w:szCs w:val="26"/>
        </w:rPr>
        <w:t xml:space="preserve"> = Spec B + </w:t>
      </w:r>
      <w:proofErr w:type="gramStart"/>
      <w:r w:rsidRPr="00426121">
        <w:rPr>
          <w:rFonts w:ascii="Times New Roman" w:hAnsi="Times New Roman" w:cs="Times New Roman"/>
          <w:kern w:val="0"/>
          <w:sz w:val="26"/>
          <w:szCs w:val="26"/>
        </w:rPr>
        <w:t>ln(</w:t>
      </w:r>
      <w:proofErr w:type="gramEnd"/>
      <w:r w:rsidRPr="00426121">
        <w:rPr>
          <w:rFonts w:ascii="Times New Roman" w:hAnsi="Times New Roman" w:cs="Times New Roman"/>
          <w:kern w:val="0"/>
          <w:sz w:val="26"/>
          <w:szCs w:val="26"/>
        </w:rPr>
        <w:t>offering size). This is the cleanest specification: all directly observed variables, controls for auction mechanics.</w:t>
      </w:r>
    </w:p>
    <w:p w14:paraId="58E58683" w14:textId="77777777" w:rsidR="003234E9" w:rsidRPr="00426121" w:rsidRDefault="003234E9" w:rsidP="003234E9">
      <w:pPr>
        <w:numPr>
          <w:ilvl w:val="0"/>
          <w:numId w:val="40"/>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"velocity"</w:t>
      </w:r>
      <w:r w:rsidRPr="00426121">
        <w:rPr>
          <w:rFonts w:ascii="Times New Roman" w:hAnsi="Times New Roman" w:cs="Times New Roman"/>
          <w:kern w:val="0"/>
          <w:sz w:val="26"/>
          <w:szCs w:val="26"/>
        </w:rPr>
        <w:t> — turnover of stablecoin supply relative to market cap, a measure of how actively the tokens are being used for transactions. Included as a control for whether supply growth reflects real demand versus speculative issuance.</w:t>
      </w:r>
    </w:p>
    <w:p w14:paraId="78663F3B" w14:textId="77777777" w:rsidR="003234E9" w:rsidRPr="00426121" w:rsidRDefault="003234E9" w:rsidP="003234E9">
      <w:pPr>
        <w:numPr>
          <w:ilvl w:val="0"/>
          <w:numId w:val="40"/>
        </w:numPr>
        <w:wordWrap/>
        <w:adjustRightInd w:val="0"/>
        <w:spacing w:after="0"/>
        <w:ind w:left="0" w:firstLine="0"/>
        <w:rPr>
          <w:rFonts w:ascii="Times New Roman" w:hAnsi="Times New Roman" w:cs="Times New Roman"/>
          <w:kern w:val="0"/>
          <w:sz w:val="26"/>
          <w:szCs w:val="26"/>
        </w:rPr>
      </w:pPr>
      <w:proofErr w:type="spellStart"/>
      <w:r w:rsidRPr="00426121">
        <w:rPr>
          <w:rFonts w:ascii="Times New Roman" w:hAnsi="Times New Roman" w:cs="Times New Roman"/>
          <w:b/>
          <w:bCs/>
          <w:kern w:val="0"/>
          <w:sz w:val="26"/>
          <w:szCs w:val="26"/>
        </w:rPr>
        <w:t>ΔlnN</w:t>
      </w:r>
      <w:proofErr w:type="spellEnd"/>
      <w:r w:rsidRPr="00426121">
        <w:rPr>
          <w:rFonts w:ascii="Times New Roman" w:hAnsi="Times New Roman" w:cs="Times New Roman"/>
          <w:kern w:val="0"/>
          <w:sz w:val="26"/>
          <w:szCs w:val="26"/>
        </w:rPr>
        <w:t xml:space="preserve">* — log growth of rest-of-world equity index (ACWX ETF). A proxy for global risk sentiment, following Caballero, Farhi, and </w:t>
      </w:r>
      <w:proofErr w:type="spellStart"/>
      <w:r w:rsidRPr="00426121">
        <w:rPr>
          <w:rFonts w:ascii="Times New Roman" w:hAnsi="Times New Roman" w:cs="Times New Roman"/>
          <w:kern w:val="0"/>
          <w:sz w:val="26"/>
          <w:szCs w:val="26"/>
        </w:rPr>
        <w:t>Gourinchas</w:t>
      </w:r>
      <w:proofErr w:type="spellEnd"/>
      <w:r w:rsidRPr="00426121">
        <w:rPr>
          <w:rFonts w:ascii="Times New Roman" w:hAnsi="Times New Roman" w:cs="Times New Roman"/>
          <w:kern w:val="0"/>
          <w:sz w:val="26"/>
          <w:szCs w:val="26"/>
        </w:rPr>
        <w:t xml:space="preserve"> (2008). When global equities fall, investors rotate toward US safe assets.</w:t>
      </w:r>
    </w:p>
    <w:p w14:paraId="0594AD01" w14:textId="77777777" w:rsidR="003234E9" w:rsidRPr="00426121" w:rsidRDefault="003234E9" w:rsidP="003234E9">
      <w:pPr>
        <w:numPr>
          <w:ilvl w:val="0"/>
          <w:numId w:val="40"/>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"Why does removing θ/L strengthen the result?"</w:t>
      </w:r>
      <w:r w:rsidRPr="00426121">
        <w:rPr>
          <w:rFonts w:ascii="Times New Roman" w:hAnsi="Times New Roman" w:cs="Times New Roman"/>
          <w:kern w:val="0"/>
          <w:sz w:val="26"/>
          <w:szCs w:val="26"/>
        </w:rPr>
        <w:t xml:space="preserve"> — If the professor asks: interpolated variables introduce measurement error that is correlated with time (because the interpolation is linear in time). This measurement error can absorb variation that </w:t>
      </w:r>
      <w:proofErr w:type="gramStart"/>
      <w:r w:rsidRPr="00426121">
        <w:rPr>
          <w:rFonts w:ascii="Times New Roman" w:hAnsi="Times New Roman" w:cs="Times New Roman"/>
          <w:kern w:val="0"/>
          <w:sz w:val="26"/>
          <w:szCs w:val="26"/>
        </w:rPr>
        <w:t>actually belongs</w:t>
      </w:r>
      <w:proofErr w:type="gramEnd"/>
      <w:r w:rsidRPr="00426121">
        <w:rPr>
          <w:rFonts w:ascii="Times New Roman" w:hAnsi="Times New Roman" w:cs="Times New Roman"/>
          <w:kern w:val="0"/>
          <w:sz w:val="26"/>
          <w:szCs w:val="26"/>
        </w:rPr>
        <w:t xml:space="preserve"> to the supply growth coefficients, attenuating β_USDT. Removing them lets the supply growth coefficients capture their full signal.</w:t>
      </w:r>
    </w:p>
    <w:p w14:paraId="33BDA880" w14:textId="77777777" w:rsidR="003234E9" w:rsidRPr="00426121" w:rsidRDefault="003234E9" w:rsidP="003234E9">
      <w:pPr>
        <w:wordWrap/>
        <w:adjustRightInd w:val="0"/>
        <w:spacing w:after="0"/>
        <w:rPr>
          <w:rFonts w:ascii="Times New Roman" w:hAnsi="Times New Roman" w:cs="Times New Roman"/>
          <w:kern w:val="0"/>
          <w:sz w:val="26"/>
          <w:szCs w:val="26"/>
        </w:rPr>
      </w:pPr>
    </w:p>
    <w:p w14:paraId="0DF605A1"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9 — Drop-2022 Subsample</w:t>
      </w:r>
    </w:p>
    <w:p w14:paraId="32429DC6"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40AB75D1"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"The year 2022 was exceptional for the stablecoin market. LUNA collapsed in May, Celsius froze in June, FTX collapsed in November. These events caused sharp, non-fundamental swings in stablecoin supply that have nothing to do with the Treasury reserve channel we are trying to identify. We re-estimated Spec C excluding 2022 entirely.</w:t>
      </w:r>
    </w:p>
    <w:p w14:paraId="0CD3B84F"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The result in the right column is the drop-2022 sample with N equal to 39. The 4-week coefficient, which was insignificant in the full sample, strengthens to minus 1.495 and becomes significant at the one percent level. The 26-week also strengthens. The 8- and 13-week remain in the same range. When we remove the crisis-driven noise, the channel is cleaner — which is exactly what the reserve-composition mechanism predicts."</w:t>
      </w:r>
    </w:p>
    <w:p w14:paraId="315258F6"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3F2B99ED" w14:textId="77777777" w:rsidR="003234E9" w:rsidRPr="00426121" w:rsidRDefault="003234E9" w:rsidP="003234E9">
      <w:pPr>
        <w:numPr>
          <w:ilvl w:val="0"/>
          <w:numId w:val="41"/>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"Non-fundamental variation"</w:t>
      </w:r>
      <w:r w:rsidRPr="00426121">
        <w:rPr>
          <w:rFonts w:ascii="Times New Roman" w:hAnsi="Times New Roman" w:cs="Times New Roman"/>
          <w:kern w:val="0"/>
          <w:sz w:val="26"/>
          <w:szCs w:val="26"/>
        </w:rPr>
        <w:t> — supply changes driven by panic redemptions or crisis contagion, not by organic growth in T-bill-backed reserves. During the LUNA collapse, Tether faced redemption pressure and had to sell T-bills. This generates supply variation that is correlated with T-bill market stress for entirely different reasons than our mechanism.</w:t>
      </w:r>
    </w:p>
    <w:p w14:paraId="06BCFAA8" w14:textId="77777777" w:rsidR="003234E9" w:rsidRPr="00426121" w:rsidRDefault="003234E9" w:rsidP="003234E9">
      <w:pPr>
        <w:numPr>
          <w:ilvl w:val="0"/>
          <w:numId w:val="41"/>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N = 39</w:t>
      </w:r>
      <w:r w:rsidRPr="00426121">
        <w:rPr>
          <w:rFonts w:ascii="Times New Roman" w:hAnsi="Times New Roman" w:cs="Times New Roman"/>
          <w:kern w:val="0"/>
          <w:sz w:val="26"/>
          <w:szCs w:val="26"/>
        </w:rPr>
        <w:t> — 51 months minus 12 months (January through December 2022).</w:t>
      </w:r>
    </w:p>
    <w:p w14:paraId="1AE8C58B" w14:textId="77777777" w:rsidR="003234E9" w:rsidRPr="00426121" w:rsidRDefault="003234E9" w:rsidP="003234E9">
      <w:pPr>
        <w:numPr>
          <w:ilvl w:val="0"/>
          <w:numId w:val="41"/>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"Strengthens ↑ vs Stable →"</w:t>
      </w:r>
      <w:r w:rsidRPr="00426121">
        <w:rPr>
          <w:rFonts w:ascii="Times New Roman" w:hAnsi="Times New Roman" w:cs="Times New Roman"/>
          <w:kern w:val="0"/>
          <w:sz w:val="26"/>
          <w:szCs w:val="26"/>
        </w:rPr>
        <w:t> — the direction column summarizes whether dropping 2022 makes the USDT coefficient more negative and more significant (strengthens) or roughly the same (stable). 4-week and 26-week strengthen; 8- and 13-week remain stable.</w:t>
      </w:r>
    </w:p>
    <w:p w14:paraId="6EEF160C" w14:textId="77777777" w:rsidR="003234E9" w:rsidRPr="00426121" w:rsidRDefault="003234E9" w:rsidP="003234E9">
      <w:pPr>
        <w:numPr>
          <w:ilvl w:val="0"/>
          <w:numId w:val="41"/>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"Consistent with reserve-composition mechanism"</w:t>
      </w:r>
      <w:r w:rsidRPr="00426121">
        <w:rPr>
          <w:rFonts w:ascii="Times New Roman" w:hAnsi="Times New Roman" w:cs="Times New Roman"/>
          <w:kern w:val="0"/>
          <w:sz w:val="26"/>
          <w:szCs w:val="26"/>
        </w:rPr>
        <w:t xml:space="preserve"> — if the genuine T-bill demand channel is real, it should be clearest in periods of organic supply growth with stable reserves. Crisis periods add noise that attenuates the estimate. The fact that </w:t>
      </w:r>
      <w:r w:rsidRPr="00426121">
        <w:rPr>
          <w:rFonts w:ascii="Times New Roman" w:hAnsi="Times New Roman" w:cs="Times New Roman"/>
          <w:kern w:val="0"/>
          <w:sz w:val="26"/>
          <w:szCs w:val="26"/>
        </w:rPr>
        <w:lastRenderedPageBreak/>
        <w:t>removing that noise strengthens the result is the expected pattern.</w:t>
      </w:r>
    </w:p>
    <w:p w14:paraId="652DBF2C" w14:textId="77777777" w:rsidR="003234E9" w:rsidRPr="00426121" w:rsidRDefault="003234E9" w:rsidP="003234E9">
      <w:pPr>
        <w:wordWrap/>
        <w:adjustRightInd w:val="0"/>
        <w:spacing w:after="0"/>
        <w:rPr>
          <w:rFonts w:ascii="Times New Roman" w:hAnsi="Times New Roman" w:cs="Times New Roman"/>
          <w:kern w:val="0"/>
          <w:sz w:val="26"/>
          <w:szCs w:val="26"/>
        </w:rPr>
      </w:pPr>
    </w:p>
    <w:p w14:paraId="270BDBB8"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10 — An Honest Caveat</w:t>
      </w:r>
    </w:p>
    <w:p w14:paraId="0CF8E86E"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43F97B7C"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"Before moving to the secondary evidence, one important caveat. When we run the regression at the individual auction level — 1,094 individual auctions — the USDT coefficient is not significant. Taken in isolation, this looks like a non-result. We want to be transparent about it.</w:t>
      </w:r>
    </w:p>
    <w:p w14:paraId="55030E6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The reason is a frequency mismatch. Stablecoin supply is a monthly series: approximately 86 percent of its variation is between months, only 17 percent within. The same monthly supply growth value repeats across roughly 17 auctions in a month, and the pre-auction windows overlap by about a week. So N equals 1,094 is misleading — there are only about 51 independent supply observations. Running a monthly regressor at the auction level is like measuring a monthly variable with a daily ruler. The appropriate unit is the month — where the effect is significant."</w:t>
      </w:r>
    </w:p>
    <w:p w14:paraId="714B59E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72C4FBBC" w14:textId="77777777" w:rsidR="003234E9" w:rsidRPr="00426121" w:rsidRDefault="003234E9" w:rsidP="003234E9">
      <w:pPr>
        <w:numPr>
          <w:ilvl w:val="0"/>
          <w:numId w:val="42"/>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"86% between months, 17% within"</w:t>
      </w:r>
      <w:r w:rsidRPr="00426121">
        <w:rPr>
          <w:rFonts w:ascii="Times New Roman" w:hAnsi="Times New Roman" w:cs="Times New Roman"/>
          <w:kern w:val="0"/>
          <w:sz w:val="26"/>
          <w:szCs w:val="26"/>
        </w:rPr>
        <w:t> — these are variance decomposition numbers from the data. Between-month variance is how much supply growth differs from one month to the next. Within-month variance is how much the 21-day pre-auction growth window differs across auctions within the same month (very little, since supply changes slowly and the windows overlap). This establishes that supply growth is fundamentally a monthly variable.</w:t>
      </w:r>
    </w:p>
    <w:p w14:paraId="09FA4F11" w14:textId="77777777" w:rsidR="003234E9" w:rsidRPr="00426121" w:rsidRDefault="003234E9" w:rsidP="003234E9">
      <w:pPr>
        <w:numPr>
          <w:ilvl w:val="0"/>
          <w:numId w:val="42"/>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"N = 1,094"</w:t>
      </w:r>
      <w:r w:rsidRPr="00426121">
        <w:rPr>
          <w:rFonts w:ascii="Times New Roman" w:hAnsi="Times New Roman" w:cs="Times New Roman"/>
          <w:kern w:val="0"/>
          <w:sz w:val="26"/>
          <w:szCs w:val="26"/>
        </w:rPr>
        <w:t> — the total number of competitive T-bill auctions across all four maturities in our sample period. Each maturity has roughly 4 auctions per month × 51 months ≈ 200-270 observations. Together: about 1,094.</w:t>
      </w:r>
    </w:p>
    <w:p w14:paraId="62B7E4B7" w14:textId="77777777" w:rsidR="003234E9" w:rsidRPr="00426121" w:rsidRDefault="003234E9" w:rsidP="003234E9">
      <w:pPr>
        <w:numPr>
          <w:ilvl w:val="0"/>
          <w:numId w:val="42"/>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"~51 independent supply observations"</w:t>
      </w:r>
      <w:r w:rsidRPr="00426121">
        <w:rPr>
          <w:rFonts w:ascii="Times New Roman" w:hAnsi="Times New Roman" w:cs="Times New Roman"/>
          <w:kern w:val="0"/>
          <w:sz w:val="26"/>
          <w:szCs w:val="26"/>
        </w:rPr>
        <w:t xml:space="preserve"> — despite 1,094 auction rows, the USDT supply growth variable takes essentially the same value for all auctions within a month. </w:t>
      </w:r>
      <w:proofErr w:type="gramStart"/>
      <w:r w:rsidRPr="00426121">
        <w:rPr>
          <w:rFonts w:ascii="Times New Roman" w:hAnsi="Times New Roman" w:cs="Times New Roman"/>
          <w:kern w:val="0"/>
          <w:sz w:val="26"/>
          <w:szCs w:val="26"/>
        </w:rPr>
        <w:t>So</w:t>
      </w:r>
      <w:proofErr w:type="gramEnd"/>
      <w:r w:rsidRPr="00426121">
        <w:rPr>
          <w:rFonts w:ascii="Times New Roman" w:hAnsi="Times New Roman" w:cs="Times New Roman"/>
          <w:kern w:val="0"/>
          <w:sz w:val="26"/>
          <w:szCs w:val="26"/>
        </w:rPr>
        <w:t xml:space="preserve"> the effective degrees of freedom on the key regressor </w:t>
      </w:r>
      <w:proofErr w:type="gramStart"/>
      <w:r w:rsidRPr="00426121">
        <w:rPr>
          <w:rFonts w:ascii="Times New Roman" w:hAnsi="Times New Roman" w:cs="Times New Roman"/>
          <w:kern w:val="0"/>
          <w:sz w:val="26"/>
          <w:szCs w:val="26"/>
        </w:rPr>
        <w:t>is</w:t>
      </w:r>
      <w:proofErr w:type="gramEnd"/>
      <w:r w:rsidRPr="00426121">
        <w:rPr>
          <w:rFonts w:ascii="Times New Roman" w:hAnsi="Times New Roman" w:cs="Times New Roman"/>
          <w:kern w:val="0"/>
          <w:sz w:val="26"/>
          <w:szCs w:val="26"/>
        </w:rPr>
        <w:t xml:space="preserve"> 51, not 1,094. Clustering standard errors by month partially addresses this, but the fundamental frequency mismatch remains.</w:t>
      </w:r>
    </w:p>
    <w:p w14:paraId="43CE1A65" w14:textId="77777777" w:rsidR="003234E9" w:rsidRPr="00426121" w:rsidRDefault="003234E9" w:rsidP="003234E9">
      <w:pPr>
        <w:numPr>
          <w:ilvl w:val="0"/>
          <w:numId w:val="42"/>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If the professor asks why we tested at auction level at all</w:t>
      </w:r>
      <w:r w:rsidRPr="00426121">
        <w:rPr>
          <w:rFonts w:ascii="Times New Roman" w:hAnsi="Times New Roman" w:cs="Times New Roman"/>
          <w:kern w:val="0"/>
          <w:sz w:val="26"/>
          <w:szCs w:val="26"/>
        </w:rPr>
        <w:t> — because a reviewer or classmate might argue we should use all available auction data. We did, and we report it honestly. The null at the auction level is an expected consequence of the data structure, not evidence against the channel.</w:t>
      </w:r>
    </w:p>
    <w:p w14:paraId="54D76D55" w14:textId="77777777" w:rsidR="003234E9" w:rsidRPr="00426121" w:rsidRDefault="003234E9" w:rsidP="003234E9">
      <w:pPr>
        <w:wordWrap/>
        <w:adjustRightInd w:val="0"/>
        <w:spacing w:after="0"/>
        <w:rPr>
          <w:rFonts w:ascii="Times New Roman" w:hAnsi="Times New Roman" w:cs="Times New Roman"/>
          <w:kern w:val="0"/>
          <w:sz w:val="26"/>
          <w:szCs w:val="26"/>
        </w:rPr>
      </w:pPr>
    </w:p>
    <w:p w14:paraId="678A2B25"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11 — Supporting Evidence</w:t>
      </w:r>
    </w:p>
    <w:p w14:paraId="3AA61F6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120FA104"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"Two secondary checks, both honest about their limits.</w:t>
      </w:r>
    </w:p>
    <w:p w14:paraId="7CA0CDD2"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First, the daily VAR. We estimate a three-variable vector autoregression in daily first differences — the OIS-Treasury spread, USDT supply growth, and USDC supply growth — with three lags. USDT supply Granger-causes the spread with p equal to 0.020. A one-standard-deviation shock to USDT supply produces a day-one spread compression of minus 0.672 basis points. This reverses by day three and is near zero by day ten. Stablecoin shocks explain 1.3 percent of spread variance at a 20-day </w:t>
      </w:r>
      <w:r w:rsidRPr="00426121">
        <w:rPr>
          <w:rFonts w:ascii="Times New Roman" w:hAnsi="Times New Roman" w:cs="Times New Roman"/>
          <w:kern w:val="0"/>
          <w:sz w:val="26"/>
          <w:szCs w:val="26"/>
        </w:rPr>
        <w:lastRenderedPageBreak/>
        <w:t>horizon. Real, but small and transient — supporting evidence, not primary identification.</w:t>
      </w:r>
    </w:p>
    <w:p w14:paraId="4004FA6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Second, the multi-event study. We study LUNA, Celsius, FTX, and BUSD. The events disagree in </w:t>
      </w:r>
      <w:proofErr w:type="gramStart"/>
      <w:r w:rsidRPr="00426121">
        <w:rPr>
          <w:rFonts w:ascii="Times New Roman" w:hAnsi="Times New Roman" w:cs="Times New Roman"/>
          <w:kern w:val="0"/>
          <w:sz w:val="26"/>
          <w:szCs w:val="26"/>
        </w:rPr>
        <w:t>sign</w:t>
      </w:r>
      <w:proofErr w:type="gramEnd"/>
      <w:r w:rsidRPr="00426121">
        <w:rPr>
          <w:rFonts w:ascii="Times New Roman" w:hAnsi="Times New Roman" w:cs="Times New Roman"/>
          <w:kern w:val="0"/>
          <w:sz w:val="26"/>
          <w:szCs w:val="26"/>
        </w:rPr>
        <w:t xml:space="preserve"> and the pooled p-value is 0.43 — no systematic effect. We include it as narrative motivation, not as proof. It illustrates why reserve composition matters in stress episodes — it does not identify the channel."</w:t>
      </w:r>
    </w:p>
    <w:p w14:paraId="1A07510F"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25BD67CB"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VAR (Vector Autoregression)</w:t>
      </w:r>
      <w:r w:rsidRPr="00426121">
        <w:rPr>
          <w:rFonts w:ascii="Times New Roman" w:hAnsi="Times New Roman" w:cs="Times New Roman"/>
          <w:kern w:val="0"/>
          <w:sz w:val="26"/>
          <w:szCs w:val="26"/>
        </w:rPr>
        <w:t xml:space="preserve"> — a system where each variable is regressed on its own past values and the past values of all other variables in the system. Here the three variables are Δspread, </w:t>
      </w:r>
      <w:proofErr w:type="spellStart"/>
      <w:r w:rsidRPr="00426121">
        <w:rPr>
          <w:rFonts w:ascii="Times New Roman" w:hAnsi="Times New Roman" w:cs="Times New Roman"/>
          <w:kern w:val="0"/>
          <w:sz w:val="26"/>
          <w:szCs w:val="26"/>
        </w:rPr>
        <w:t>ΔlnS_USDT</w:t>
      </w:r>
      <w:proofErr w:type="spellEnd"/>
      <w:r w:rsidRPr="00426121">
        <w:rPr>
          <w:rFonts w:ascii="Times New Roman" w:hAnsi="Times New Roman" w:cs="Times New Roman"/>
          <w:kern w:val="0"/>
          <w:sz w:val="26"/>
          <w:szCs w:val="26"/>
        </w:rPr>
        <w:t xml:space="preserve">, </w:t>
      </w:r>
      <w:proofErr w:type="spellStart"/>
      <w:r w:rsidRPr="00426121">
        <w:rPr>
          <w:rFonts w:ascii="Times New Roman" w:hAnsi="Times New Roman" w:cs="Times New Roman"/>
          <w:kern w:val="0"/>
          <w:sz w:val="26"/>
          <w:szCs w:val="26"/>
        </w:rPr>
        <w:t>ΔlnS_USDC</w:t>
      </w:r>
      <w:proofErr w:type="spellEnd"/>
      <w:r w:rsidRPr="00426121">
        <w:rPr>
          <w:rFonts w:ascii="Times New Roman" w:hAnsi="Times New Roman" w:cs="Times New Roman"/>
          <w:kern w:val="0"/>
          <w:sz w:val="26"/>
          <w:szCs w:val="26"/>
        </w:rPr>
        <w:t>, each with 3 lags.</w:t>
      </w:r>
    </w:p>
    <w:p w14:paraId="6E43AB30"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"3 lags"</w:t>
      </w:r>
      <w:r w:rsidRPr="00426121">
        <w:rPr>
          <w:rFonts w:ascii="Times New Roman" w:hAnsi="Times New Roman" w:cs="Times New Roman"/>
          <w:kern w:val="0"/>
          <w:sz w:val="26"/>
          <w:szCs w:val="26"/>
        </w:rPr>
        <w:t xml:space="preserve"> — selected by the Bayesian Information Criterion (BIC), which penalizes additional lags to prevent overfitting. </w:t>
      </w:r>
      <w:proofErr w:type="gramStart"/>
      <w:r w:rsidRPr="00426121">
        <w:rPr>
          <w:rFonts w:ascii="Times New Roman" w:hAnsi="Times New Roman" w:cs="Times New Roman"/>
          <w:kern w:val="0"/>
          <w:sz w:val="26"/>
          <w:szCs w:val="26"/>
        </w:rPr>
        <w:t>VAR(</w:t>
      </w:r>
      <w:proofErr w:type="gramEnd"/>
      <w:r w:rsidRPr="00426121">
        <w:rPr>
          <w:rFonts w:ascii="Times New Roman" w:hAnsi="Times New Roman" w:cs="Times New Roman"/>
          <w:kern w:val="0"/>
          <w:sz w:val="26"/>
          <w:szCs w:val="26"/>
        </w:rPr>
        <w:t>3) means we use the previous 3 days of each variable to predict today.</w:t>
      </w:r>
    </w:p>
    <w:p w14:paraId="350B457A"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Granger causality</w:t>
      </w:r>
      <w:r w:rsidRPr="00426121">
        <w:rPr>
          <w:rFonts w:ascii="Times New Roman" w:hAnsi="Times New Roman" w:cs="Times New Roman"/>
          <w:kern w:val="0"/>
          <w:sz w:val="26"/>
          <w:szCs w:val="26"/>
        </w:rPr>
        <w:t> — a concept where X is said to Granger-cause Y if past values of X have statistically significant predictive power for Y, beyond what past values of Y alone can predict. It is a test of predictive power, not necessarily true causality.</w:t>
      </w:r>
    </w:p>
    <w:p w14:paraId="0C752886"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p = 0.020</w:t>
      </w:r>
      <w:r w:rsidRPr="00426121">
        <w:rPr>
          <w:rFonts w:ascii="Times New Roman" w:hAnsi="Times New Roman" w:cs="Times New Roman"/>
          <w:kern w:val="0"/>
          <w:sz w:val="26"/>
          <w:szCs w:val="26"/>
        </w:rPr>
        <w:t> — the p-value of the block exogeneity test: does excluding all lags of USDT supply from the spread equation significantly worsen the fit? Yes, at the 5% level.</w:t>
      </w:r>
    </w:p>
    <w:p w14:paraId="05A04FEF"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IRF (Impulse Response Function)</w:t>
      </w:r>
      <w:r w:rsidRPr="00426121">
        <w:rPr>
          <w:rFonts w:ascii="Times New Roman" w:hAnsi="Times New Roman" w:cs="Times New Roman"/>
          <w:kern w:val="0"/>
          <w:sz w:val="26"/>
          <w:szCs w:val="26"/>
        </w:rPr>
        <w:t> — shows how each variable responds over time to a one-time shock to another variable. We shock USDT supply by one standard deviation and trace the spread's response over 20 days.</w:t>
      </w:r>
    </w:p>
    <w:p w14:paraId="72274097"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"−0.672 basis points"</w:t>
      </w:r>
      <w:r w:rsidRPr="00426121">
        <w:rPr>
          <w:rFonts w:ascii="Times New Roman" w:hAnsi="Times New Roman" w:cs="Times New Roman"/>
          <w:kern w:val="0"/>
          <w:sz w:val="26"/>
          <w:szCs w:val="26"/>
        </w:rPr>
        <w:t xml:space="preserve"> — one basis point = 0.01 percentage points. </w:t>
      </w:r>
      <w:proofErr w:type="gramStart"/>
      <w:r w:rsidRPr="00426121">
        <w:rPr>
          <w:rFonts w:ascii="Times New Roman" w:hAnsi="Times New Roman" w:cs="Times New Roman"/>
          <w:kern w:val="0"/>
          <w:sz w:val="26"/>
          <w:szCs w:val="26"/>
        </w:rPr>
        <w:t>So</w:t>
      </w:r>
      <w:proofErr w:type="gramEnd"/>
      <w:r w:rsidRPr="00426121">
        <w:rPr>
          <w:rFonts w:ascii="Times New Roman" w:hAnsi="Times New Roman" w:cs="Times New Roman"/>
          <w:kern w:val="0"/>
          <w:sz w:val="26"/>
          <w:szCs w:val="26"/>
        </w:rPr>
        <w:t xml:space="preserve"> a one standard-deviation USDT supply shock is associated with roughly two-thirds of a basis point of spread compression on day one. This is economically small but statistically detectable.</w:t>
      </w:r>
    </w:p>
    <w:p w14:paraId="66E5C69B"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FEVD (Forecast Error Variance Decomposition)</w:t>
      </w:r>
      <w:r w:rsidRPr="00426121">
        <w:rPr>
          <w:rFonts w:ascii="Times New Roman" w:hAnsi="Times New Roman" w:cs="Times New Roman"/>
          <w:kern w:val="0"/>
          <w:sz w:val="26"/>
          <w:szCs w:val="26"/>
        </w:rPr>
        <w:t> — decomposes what fraction of the uncertainty in forecasting the spread at a given horizon is attributable to each shock in the system. 1.3% from stablecoin shocks at 20 days means stablecoin supply is a real but minor driver of spread dynamics.</w:t>
      </w:r>
    </w:p>
    <w:p w14:paraId="18011BC7"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CAR (Cumulative Abnormal Return)</w:t>
      </w:r>
      <w:r w:rsidRPr="00426121">
        <w:rPr>
          <w:rFonts w:ascii="Times New Roman" w:hAnsi="Times New Roman" w:cs="Times New Roman"/>
          <w:kern w:val="0"/>
          <w:sz w:val="26"/>
          <w:szCs w:val="26"/>
        </w:rPr>
        <w:t> — in the event study context, the cumulative sum of daily spread changes that are abnormal relative to the estimated pre-event baseline. Here "return" refers to spread changes, not stock returns.</w:t>
      </w:r>
    </w:p>
    <w:p w14:paraId="7D93513E"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Pooled p = 0.43</w:t>
      </w:r>
      <w:r w:rsidRPr="00426121">
        <w:rPr>
          <w:rFonts w:ascii="Times New Roman" w:hAnsi="Times New Roman" w:cs="Times New Roman"/>
          <w:kern w:val="0"/>
          <w:sz w:val="26"/>
          <w:szCs w:val="26"/>
        </w:rPr>
        <w:t> — the p-value for the hypothesis that the average CAR across all four events is different from zero. 0.43 is far from significant — we cannot reject that the events had no effect on the spread.</w:t>
      </w:r>
    </w:p>
    <w:p w14:paraId="17A0C152" w14:textId="77777777" w:rsidR="003234E9" w:rsidRPr="00426121" w:rsidRDefault="003234E9" w:rsidP="003234E9">
      <w:pPr>
        <w:numPr>
          <w:ilvl w:val="0"/>
          <w:numId w:val="43"/>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"Motivation, not identification"</w:t>
      </w:r>
      <w:r w:rsidRPr="00426121">
        <w:rPr>
          <w:rFonts w:ascii="Times New Roman" w:hAnsi="Times New Roman" w:cs="Times New Roman"/>
          <w:kern w:val="0"/>
          <w:sz w:val="26"/>
          <w:szCs w:val="26"/>
        </w:rPr>
        <w:t> — we keep the event study because it tells a compelling story about fragility risk, but we do not rely on it as evidence for the channel.</w:t>
      </w:r>
    </w:p>
    <w:p w14:paraId="0D251BC4" w14:textId="77777777" w:rsidR="003234E9" w:rsidRPr="00426121" w:rsidRDefault="003234E9" w:rsidP="003234E9">
      <w:pPr>
        <w:wordWrap/>
        <w:adjustRightInd w:val="0"/>
        <w:spacing w:after="0"/>
        <w:rPr>
          <w:rFonts w:ascii="Times New Roman" w:hAnsi="Times New Roman" w:cs="Times New Roman"/>
          <w:kern w:val="0"/>
          <w:sz w:val="26"/>
          <w:szCs w:val="26"/>
        </w:rPr>
      </w:pPr>
    </w:p>
    <w:p w14:paraId="63A6F1C9"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12 — Limitations: Why Results Had to Change</w:t>
      </w:r>
    </w:p>
    <w:p w14:paraId="1696A615"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2C6E22FC"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"We want to be direct about the constraints that bind this study — not to apologize for the results, but because stating the limits clearly is what makes the results credible.</w:t>
      </w:r>
    </w:p>
    <w:p w14:paraId="1840EF99"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lastRenderedPageBreak/>
        <w:t>Three constraints. First, one macro regime. Our 51 months are dominated by a single Federal Reserve hiking cycle and its partial unwind. When variables trend together in the same direction, a levels regression will almost always find significance — ours was no exception. Controlling for the Fed cycle directly, and choosing a stationary dependent variable, reduces this risk substantially, but it does not eliminate it entirely.</w:t>
      </w:r>
    </w:p>
    <w:p w14:paraId="0E347017"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Second, reserves are unobserved at monthly frequency. Tether attests quarterly, so roughly two-thirds of our monthly reserve observations are interpolated. The estimated liquidity threshold moved from 13 percent to 6.6 percent simply by changing the interpolation method. That sensitivity is why we removed those variables from the preferred specification, and why the buffer-fragility hypothesis remains untested.</w:t>
      </w:r>
    </w:p>
    <w:p w14:paraId="0CBCDBFB"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Third, a hard power ceiling. Two issuers, 51 months, no clean natural experiment. Supply shocks explain only 1.3 percent of spread variance. These are limits of the setting, not of our analysis."</w:t>
      </w:r>
    </w:p>
    <w:p w14:paraId="444FD372"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456F9D25" w14:textId="77777777" w:rsidR="003234E9" w:rsidRPr="00426121" w:rsidRDefault="003234E9" w:rsidP="003234E9">
      <w:pPr>
        <w:numPr>
          <w:ilvl w:val="0"/>
          <w:numId w:val="44"/>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"One macro regime"</w:t>
      </w:r>
      <w:r w:rsidRPr="00426121">
        <w:rPr>
          <w:rFonts w:ascii="Times New Roman" w:hAnsi="Times New Roman" w:cs="Times New Roman"/>
          <w:kern w:val="0"/>
          <w:sz w:val="26"/>
          <w:szCs w:val="26"/>
        </w:rPr>
        <w:t> — in econometrics, regime variation is what distinguishes a genuine structural relationship from a sample-specific correlation. If the same mechanism operates across a hiking cycle and an easing cycle, and the coefficients are stable, that is strong evidence. With only one cycle, we cannot do this test.</w:t>
      </w:r>
    </w:p>
    <w:p w14:paraId="65EC8163" w14:textId="77777777" w:rsidR="003234E9" w:rsidRPr="00426121" w:rsidRDefault="003234E9" w:rsidP="003234E9">
      <w:pPr>
        <w:numPr>
          <w:ilvl w:val="0"/>
          <w:numId w:val="44"/>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"Threshold moved 13% → 6.6%"</w:t>
      </w:r>
      <w:r w:rsidRPr="00426121">
        <w:rPr>
          <w:rFonts w:ascii="Times New Roman" w:hAnsi="Times New Roman" w:cs="Times New Roman"/>
          <w:kern w:val="0"/>
          <w:sz w:val="26"/>
          <w:szCs w:val="26"/>
        </w:rPr>
        <w:t> — this came from the Hansen (2000) threshold regression in our original analysis. When we changed from forward-filling to time-weighted interpolation, the estimated fragility threshold almost halved. This is a red flag that the threshold estimate was an artifact of the data construction method, not a stable economic feature.</w:t>
      </w:r>
    </w:p>
    <w:p w14:paraId="3D2C90DA" w14:textId="77777777" w:rsidR="003234E9" w:rsidRPr="00426121" w:rsidRDefault="003234E9" w:rsidP="003234E9">
      <w:pPr>
        <w:numPr>
          <w:ilvl w:val="0"/>
          <w:numId w:val="44"/>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"Hard power ceiling"</w:t>
      </w:r>
      <w:r w:rsidRPr="00426121">
        <w:rPr>
          <w:rFonts w:ascii="Times New Roman" w:hAnsi="Times New Roman" w:cs="Times New Roman"/>
          <w:kern w:val="0"/>
          <w:sz w:val="26"/>
          <w:szCs w:val="26"/>
        </w:rPr>
        <w:t> — statistical power is the probability of detecting a real effect when one exists. With 51 observations and 5-6 regressors, we have limited ability to detect small effects or to separate multiple channels. The permutation placebo and spec ladder are the best we can do within these constraints.</w:t>
      </w:r>
    </w:p>
    <w:p w14:paraId="71BDC585" w14:textId="77777777" w:rsidR="003234E9" w:rsidRPr="00426121" w:rsidRDefault="003234E9" w:rsidP="003234E9">
      <w:pPr>
        <w:numPr>
          <w:ilvl w:val="0"/>
          <w:numId w:val="44"/>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"Natural experiment"</w:t>
      </w:r>
      <w:r w:rsidRPr="00426121">
        <w:rPr>
          <w:rFonts w:ascii="Times New Roman" w:hAnsi="Times New Roman" w:cs="Times New Roman"/>
          <w:kern w:val="0"/>
          <w:sz w:val="26"/>
          <w:szCs w:val="26"/>
        </w:rPr>
        <w:t> — an ideal empirical design would involve an exogenous shock that affects USDT supply but not T-bill demand directly. We do not have one. Our issuer foil (USDC) is the closest substitute.</w:t>
      </w:r>
    </w:p>
    <w:p w14:paraId="184F86B7" w14:textId="77777777" w:rsidR="003234E9" w:rsidRPr="00426121" w:rsidRDefault="003234E9" w:rsidP="003234E9">
      <w:pPr>
        <w:wordWrap/>
        <w:adjustRightInd w:val="0"/>
        <w:spacing w:after="0"/>
        <w:rPr>
          <w:rFonts w:ascii="Times New Roman" w:hAnsi="Times New Roman" w:cs="Times New Roman"/>
          <w:kern w:val="0"/>
          <w:sz w:val="26"/>
          <w:szCs w:val="26"/>
        </w:rPr>
      </w:pPr>
    </w:p>
    <w:p w14:paraId="3DEFD6A6"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13 — Limitations: What We Can and Cannot Claim</w:t>
      </w:r>
    </w:p>
    <w:p w14:paraId="350A72AD"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6CDE1E8D"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"We want to draw the line precisely. What the data supports: USDT supply growth is robustly associated with weaker T-bill auction demand. The channel is issuer-specific in a way that is consistent with reserve composition. Tether is now a programmatic buyer at sovereign-holder scale. All of these are defensible.</w:t>
      </w:r>
    </w:p>
    <w:p w14:paraId="204700E9"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What the data does not support: a causal effect on convenience yield levels in the OIS-Treasury spread — one rate cycle cannot identify that. A reserve-buffer threshold — reserves are not observed monthly. A fragility channel from redemption episodes — SVB was the only remotely clean </w:t>
      </w:r>
      <w:proofErr w:type="gramStart"/>
      <w:r w:rsidRPr="00426121">
        <w:rPr>
          <w:rFonts w:ascii="Times New Roman" w:hAnsi="Times New Roman" w:cs="Times New Roman"/>
          <w:kern w:val="0"/>
          <w:sz w:val="26"/>
          <w:szCs w:val="26"/>
        </w:rPr>
        <w:t>event</w:t>
      </w:r>
      <w:proofErr w:type="gramEnd"/>
      <w:r w:rsidRPr="00426121">
        <w:rPr>
          <w:rFonts w:ascii="Times New Roman" w:hAnsi="Times New Roman" w:cs="Times New Roman"/>
          <w:kern w:val="0"/>
          <w:sz w:val="26"/>
          <w:szCs w:val="26"/>
        </w:rPr>
        <w:t xml:space="preserve"> and it was confounded.</w:t>
      </w:r>
    </w:p>
    <w:p w14:paraId="5EFA9D85"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Untested is not rejected. The question is ahead of the data, and the data is catching up."</w:t>
      </w:r>
    </w:p>
    <w:p w14:paraId="4F79DDF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lastRenderedPageBreak/>
        <w:t>Presenter notes:</w:t>
      </w:r>
    </w:p>
    <w:p w14:paraId="11454717" w14:textId="77777777" w:rsidR="003234E9" w:rsidRPr="00426121" w:rsidRDefault="003234E9" w:rsidP="003234E9">
      <w:pPr>
        <w:numPr>
          <w:ilvl w:val="0"/>
          <w:numId w:val="45"/>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"Issuer-specific"</w:t>
      </w:r>
      <w:r w:rsidRPr="00426121">
        <w:rPr>
          <w:rFonts w:ascii="Times New Roman" w:hAnsi="Times New Roman" w:cs="Times New Roman"/>
          <w:kern w:val="0"/>
          <w:sz w:val="26"/>
          <w:szCs w:val="26"/>
        </w:rPr>
        <w:t> — the effect is statistically different for USDT versus USDC, even though both are dollar stablecoins in the same market at the same time. This cross-issuer difference is hard to explain without reference to reserve composition.</w:t>
      </w:r>
    </w:p>
    <w:p w14:paraId="29C50896" w14:textId="77777777" w:rsidR="003234E9" w:rsidRPr="00426121" w:rsidRDefault="003234E9" w:rsidP="003234E9">
      <w:pPr>
        <w:numPr>
          <w:ilvl w:val="0"/>
          <w:numId w:val="45"/>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"Sovereign-holder scale"</w:t>
      </w:r>
      <w:r w:rsidRPr="00426121">
        <w:rPr>
          <w:rFonts w:ascii="Times New Roman" w:hAnsi="Times New Roman" w:cs="Times New Roman"/>
          <w:kern w:val="0"/>
          <w:sz w:val="26"/>
          <w:szCs w:val="26"/>
        </w:rPr>
        <w:t> — in 2024, Tether held more US government debt than Germany's sovereign holdings. This contextualizes why a detectable effect is plausible at all.</w:t>
      </w:r>
    </w:p>
    <w:p w14:paraId="06E7240F" w14:textId="77777777" w:rsidR="003234E9" w:rsidRPr="00426121" w:rsidRDefault="003234E9" w:rsidP="003234E9">
      <w:pPr>
        <w:numPr>
          <w:ilvl w:val="0"/>
          <w:numId w:val="45"/>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"Convenience yield"</w:t>
      </w:r>
      <w:r w:rsidRPr="00426121">
        <w:rPr>
          <w:rFonts w:ascii="Times New Roman" w:hAnsi="Times New Roman" w:cs="Times New Roman"/>
          <w:kern w:val="0"/>
          <w:sz w:val="26"/>
          <w:szCs w:val="26"/>
        </w:rPr>
        <w:t> — the extra yield that investors accept on T-bills relative to an equivalent risk-free benchmark (the OIS rate) because T-bills are highly liquid, accepted as collateral, and carry the full faith and credit of the US government. It represents the premium investors pay for the "convenience" of holding the safest, most liquid asset.</w:t>
      </w:r>
    </w:p>
    <w:p w14:paraId="6C5F0473" w14:textId="77777777" w:rsidR="003234E9" w:rsidRPr="00426121" w:rsidRDefault="003234E9" w:rsidP="003234E9">
      <w:pPr>
        <w:numPr>
          <w:ilvl w:val="0"/>
          <w:numId w:val="45"/>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"Untested is not rejected"</w:t>
      </w:r>
      <w:r w:rsidRPr="00426121">
        <w:rPr>
          <w:rFonts w:ascii="Times New Roman" w:hAnsi="Times New Roman" w:cs="Times New Roman"/>
          <w:kern w:val="0"/>
          <w:sz w:val="26"/>
          <w:szCs w:val="26"/>
        </w:rPr>
        <w:t> — the buffer-fragility hypothesis and the privilege amplification hypothesis are not wrong — they are currently outside the resolution of the available data. We expect future data (GENIUS Act monthly disclosures, longer samples) to make them testable.</w:t>
      </w:r>
    </w:p>
    <w:p w14:paraId="143AA80A" w14:textId="77777777" w:rsidR="003234E9" w:rsidRPr="00426121" w:rsidRDefault="003234E9" w:rsidP="003234E9">
      <w:pPr>
        <w:wordWrap/>
        <w:adjustRightInd w:val="0"/>
        <w:spacing w:after="0"/>
        <w:rPr>
          <w:rFonts w:ascii="Times New Roman" w:hAnsi="Times New Roman" w:cs="Times New Roman"/>
          <w:kern w:val="0"/>
          <w:sz w:val="26"/>
          <w:szCs w:val="26"/>
        </w:rPr>
      </w:pPr>
    </w:p>
    <w:p w14:paraId="294D4FA4"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14 — Looking Forward: Constraints Relax</w:t>
      </w:r>
    </w:p>
    <w:p w14:paraId="15F50F69"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755CF7E6"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"Each of the three binding constraints we just described has a specific mechanism that will relax it — mechanically, not contingently.</w:t>
      </w:r>
    </w:p>
    <w:p w14:paraId="0A9F1AB5"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Time: every year adds twelve observations. By 2030 the sample roughly doubles and spans at least two full Fed cycles. That is not just a larger N — it is regime variation, which is what </w:t>
      </w:r>
      <w:proofErr w:type="gramStart"/>
      <w:r w:rsidRPr="00426121">
        <w:rPr>
          <w:rFonts w:ascii="Times New Roman" w:hAnsi="Times New Roman" w:cs="Times New Roman"/>
          <w:kern w:val="0"/>
          <w:sz w:val="26"/>
          <w:szCs w:val="26"/>
        </w:rPr>
        <w:t>actually separates</w:t>
      </w:r>
      <w:proofErr w:type="gramEnd"/>
      <w:r w:rsidRPr="00426121">
        <w:rPr>
          <w:rFonts w:ascii="Times New Roman" w:hAnsi="Times New Roman" w:cs="Times New Roman"/>
          <w:kern w:val="0"/>
          <w:sz w:val="26"/>
          <w:szCs w:val="26"/>
        </w:rPr>
        <w:t xml:space="preserve"> a real channel from a sample coincidence.</w:t>
      </w:r>
    </w:p>
    <w:p w14:paraId="14D057AA"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Regulation: the 2025 US GENIUS Act and the EU </w:t>
      </w:r>
      <w:proofErr w:type="spellStart"/>
      <w:r w:rsidRPr="00426121">
        <w:rPr>
          <w:rFonts w:ascii="Times New Roman" w:hAnsi="Times New Roman" w:cs="Times New Roman"/>
          <w:kern w:val="0"/>
          <w:sz w:val="26"/>
          <w:szCs w:val="26"/>
        </w:rPr>
        <w:t>MiCA</w:t>
      </w:r>
      <w:proofErr w:type="spellEnd"/>
      <w:r w:rsidRPr="00426121">
        <w:rPr>
          <w:rFonts w:ascii="Times New Roman" w:hAnsi="Times New Roman" w:cs="Times New Roman"/>
          <w:kern w:val="0"/>
          <w:sz w:val="26"/>
          <w:szCs w:val="26"/>
        </w:rPr>
        <w:t xml:space="preserve"> regulation both </w:t>
      </w:r>
      <w:proofErr w:type="gramStart"/>
      <w:r w:rsidRPr="00426121">
        <w:rPr>
          <w:rFonts w:ascii="Times New Roman" w:hAnsi="Times New Roman" w:cs="Times New Roman"/>
          <w:kern w:val="0"/>
          <w:sz w:val="26"/>
          <w:szCs w:val="26"/>
        </w:rPr>
        <w:t>mandate</w:t>
      </w:r>
      <w:proofErr w:type="gramEnd"/>
      <w:r w:rsidRPr="00426121">
        <w:rPr>
          <w:rFonts w:ascii="Times New Roman" w:hAnsi="Times New Roman" w:cs="Times New Roman"/>
          <w:kern w:val="0"/>
          <w:sz w:val="26"/>
          <w:szCs w:val="26"/>
        </w:rPr>
        <w:t xml:space="preserve"> monthly certified reserve disclosures. When those begin in 2026-27, θ and L become directly observed rather than interpolated, and the issuer panel widens as banks and fintechs enter the stablecoin market.</w:t>
      </w:r>
    </w:p>
    <w:p w14:paraId="17BFDA4B"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Scale: combined USDT and USDC supply was approximately 262 billion dollars at our sample end. Industry projections reach one to two trillion by 2028-30. At that scale, the bid-cover effect we detect — currently two to three percent of the mean ratio — would be an order of magnitude larger and visible in yield levels."</w:t>
      </w:r>
    </w:p>
    <w:p w14:paraId="3626384D"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734ABFA1" w14:textId="77777777" w:rsidR="003234E9" w:rsidRPr="00426121" w:rsidRDefault="003234E9" w:rsidP="003234E9">
      <w:pPr>
        <w:numPr>
          <w:ilvl w:val="0"/>
          <w:numId w:val="4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GENIUS Act</w:t>
      </w:r>
      <w:r w:rsidRPr="00426121">
        <w:rPr>
          <w:rFonts w:ascii="Times New Roman" w:hAnsi="Times New Roman" w:cs="Times New Roman"/>
          <w:kern w:val="0"/>
          <w:sz w:val="26"/>
          <w:szCs w:val="26"/>
        </w:rPr>
        <w:t> — Guiding and Establishing National Innovation for U.S. Stablecoins Act, signed in 2025. Requires US stablecoin issuers to publish monthly, certified reserve breakdowns. This directly addresses our interpolation problem.</w:t>
      </w:r>
    </w:p>
    <w:p w14:paraId="15A685A4" w14:textId="77777777" w:rsidR="003234E9" w:rsidRPr="00426121" w:rsidRDefault="003234E9" w:rsidP="003234E9">
      <w:pPr>
        <w:numPr>
          <w:ilvl w:val="0"/>
          <w:numId w:val="46"/>
        </w:numPr>
        <w:wordWrap/>
        <w:adjustRightInd w:val="0"/>
        <w:spacing w:after="0"/>
        <w:ind w:left="0" w:firstLine="0"/>
        <w:rPr>
          <w:rFonts w:ascii="Times New Roman" w:hAnsi="Times New Roman" w:cs="Times New Roman"/>
          <w:kern w:val="0"/>
          <w:sz w:val="26"/>
          <w:szCs w:val="26"/>
        </w:rPr>
      </w:pPr>
      <w:proofErr w:type="spellStart"/>
      <w:r w:rsidRPr="00426121">
        <w:rPr>
          <w:rFonts w:ascii="Times New Roman" w:hAnsi="Times New Roman" w:cs="Times New Roman"/>
          <w:b/>
          <w:bCs/>
          <w:kern w:val="0"/>
          <w:sz w:val="26"/>
          <w:szCs w:val="26"/>
        </w:rPr>
        <w:t>MiCA</w:t>
      </w:r>
      <w:proofErr w:type="spellEnd"/>
      <w:r w:rsidRPr="00426121">
        <w:rPr>
          <w:rFonts w:ascii="Times New Roman" w:hAnsi="Times New Roman" w:cs="Times New Roman"/>
          <w:kern w:val="0"/>
          <w:sz w:val="26"/>
          <w:szCs w:val="26"/>
        </w:rPr>
        <w:t> — Markets in Crypto-Assets regulation, EU framework effective 2024-2025. Imposes reserve transparency and liquidity requirements on "significant" e-money tokens, including USDT and USDC.</w:t>
      </w:r>
    </w:p>
    <w:p w14:paraId="3061ABB0" w14:textId="77777777" w:rsidR="003234E9" w:rsidRPr="00426121" w:rsidRDefault="003234E9" w:rsidP="003234E9">
      <w:pPr>
        <w:numPr>
          <w:ilvl w:val="0"/>
          <w:numId w:val="4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"Regime variation"</w:t>
      </w:r>
      <w:r w:rsidRPr="00426121">
        <w:rPr>
          <w:rFonts w:ascii="Times New Roman" w:hAnsi="Times New Roman" w:cs="Times New Roman"/>
          <w:kern w:val="0"/>
          <w:sz w:val="26"/>
          <w:szCs w:val="26"/>
        </w:rPr>
        <w:t> — economic relationships are most credibly identified when they operate across different macro environments. A result that holds in both a hiking cycle and an easing cycle is much more convincing than one identified in a single cycle.</w:t>
      </w:r>
    </w:p>
    <w:p w14:paraId="2E0440E0" w14:textId="77777777" w:rsidR="003234E9" w:rsidRPr="00426121" w:rsidRDefault="003234E9" w:rsidP="003234E9">
      <w:pPr>
        <w:numPr>
          <w:ilvl w:val="0"/>
          <w:numId w:val="46"/>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"Marginal price-setter"</w:t>
      </w:r>
      <w:r w:rsidRPr="00426121">
        <w:rPr>
          <w:rFonts w:ascii="Times New Roman" w:hAnsi="Times New Roman" w:cs="Times New Roman"/>
          <w:kern w:val="0"/>
          <w:sz w:val="26"/>
          <w:szCs w:val="26"/>
        </w:rPr>
        <w:t> — if stablecoin issuers hold one to two trillion in T-</w:t>
      </w:r>
      <w:r w:rsidRPr="00426121">
        <w:rPr>
          <w:rFonts w:ascii="Times New Roman" w:hAnsi="Times New Roman" w:cs="Times New Roman"/>
          <w:kern w:val="0"/>
          <w:sz w:val="26"/>
          <w:szCs w:val="26"/>
        </w:rPr>
        <w:lastRenderedPageBreak/>
        <w:t>bills, their buying and selling will move auction clearing prices, not just register in bid-cover. At that scale the privilege channel in yield levels becomes testable.</w:t>
      </w:r>
    </w:p>
    <w:p w14:paraId="7439A538" w14:textId="77777777" w:rsidR="003234E9" w:rsidRPr="00426121" w:rsidRDefault="003234E9" w:rsidP="003234E9">
      <w:pPr>
        <w:wordWrap/>
        <w:adjustRightInd w:val="0"/>
        <w:spacing w:after="0"/>
        <w:rPr>
          <w:rFonts w:ascii="Times New Roman" w:hAnsi="Times New Roman" w:cs="Times New Roman"/>
          <w:kern w:val="0"/>
          <w:sz w:val="26"/>
          <w:szCs w:val="26"/>
        </w:rPr>
      </w:pPr>
    </w:p>
    <w:p w14:paraId="628438FF"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15 — Looking Forward: Falsifiable Predictions</w:t>
      </w:r>
    </w:p>
    <w:p w14:paraId="058B7ECF"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538C7B74"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"We close the forward-looking section with three specific, falsifiable predictions — claims that either the data will confirm or kill.</w:t>
      </w:r>
    </w:p>
    <w:p w14:paraId="4F68EA14"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First: bid-cover sharpens. If the reserve-composition channel is real, β_USDT should stay near minus 1.4 as the sample grows, and significance should increase mechanically with N. If it was an artifact of the 2022-23 crypto winter, it should attenuate toward zero as those years roll out of the window. We will know by 2027.</w:t>
      </w:r>
    </w:p>
    <w:p w14:paraId="06E8F269"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Second: privilege becomes measurable. Across two or more rate cycles, a first-differenced spread regression becomes estimable without spurious regression concerns. Safe-asset demand theory predicts a compression of a few basis points per 100 </w:t>
      </w:r>
      <w:proofErr w:type="spellStart"/>
      <w:r w:rsidRPr="00426121">
        <w:rPr>
          <w:rFonts w:ascii="Times New Roman" w:hAnsi="Times New Roman" w:cs="Times New Roman"/>
          <w:kern w:val="0"/>
          <w:sz w:val="26"/>
          <w:szCs w:val="26"/>
        </w:rPr>
        <w:t>billion</w:t>
      </w:r>
      <w:proofErr w:type="spellEnd"/>
      <w:r w:rsidRPr="00426121">
        <w:rPr>
          <w:rFonts w:ascii="Times New Roman" w:hAnsi="Times New Roman" w:cs="Times New Roman"/>
          <w:kern w:val="0"/>
          <w:sz w:val="26"/>
          <w:szCs w:val="26"/>
        </w:rPr>
        <w:t xml:space="preserve"> of issuance.</w:t>
      </w:r>
    </w:p>
    <w:p w14:paraId="31A86443"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Third: fragility becomes testable. The first large stablecoin redemption episode under the GENIUS Act reporting regime, at current or larger scale, will be a direct test of the buffer-fragility mechanism. If redemptions force T-bill sales at trillion-dollar scale, the spread effect will be detectable in daily data.</w:t>
      </w:r>
    </w:p>
    <w:p w14:paraId="241B2812"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The timeline at the bottom maps each constraint to the year it relaxes."</w:t>
      </w:r>
    </w:p>
    <w:p w14:paraId="40DD0A3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7ADCB07F" w14:textId="77777777" w:rsidR="003234E9" w:rsidRPr="00426121" w:rsidRDefault="003234E9" w:rsidP="003234E9">
      <w:pPr>
        <w:numPr>
          <w:ilvl w:val="0"/>
          <w:numId w:val="47"/>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"Falsifiable"</w:t>
      </w:r>
      <w:r w:rsidRPr="00426121">
        <w:rPr>
          <w:rFonts w:ascii="Times New Roman" w:hAnsi="Times New Roman" w:cs="Times New Roman"/>
          <w:kern w:val="0"/>
          <w:sz w:val="26"/>
          <w:szCs w:val="26"/>
        </w:rPr>
        <w:t> — in the philosophy of science, a claim is scientifically meaningful only if there is some evidence that could in principle refute it. We state what would kill our result, not just what would confirm it. This is methodological honesty.</w:t>
      </w:r>
    </w:p>
    <w:p w14:paraId="7F6BE8E6" w14:textId="77777777" w:rsidR="003234E9" w:rsidRPr="00426121" w:rsidRDefault="003234E9" w:rsidP="003234E9">
      <w:pPr>
        <w:numPr>
          <w:ilvl w:val="0"/>
          <w:numId w:val="47"/>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"~1.4"</w:t>
      </w:r>
      <w:r w:rsidRPr="00426121">
        <w:rPr>
          <w:rFonts w:ascii="Times New Roman" w:hAnsi="Times New Roman" w:cs="Times New Roman"/>
          <w:kern w:val="0"/>
          <w:sz w:val="26"/>
          <w:szCs w:val="26"/>
        </w:rPr>
        <w:t> — the average of the 8-, 13-, and 26-week β_USDT in Spec C. If the effect is real and stable, future estimates should cluster around this value.</w:t>
      </w:r>
    </w:p>
    <w:p w14:paraId="69D2CDFE" w14:textId="77777777" w:rsidR="003234E9" w:rsidRPr="00426121" w:rsidRDefault="003234E9" w:rsidP="003234E9">
      <w:pPr>
        <w:numPr>
          <w:ilvl w:val="0"/>
          <w:numId w:val="47"/>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"First-differenced spread regression"</w:t>
      </w:r>
      <w:r w:rsidRPr="00426121">
        <w:rPr>
          <w:rFonts w:ascii="Times New Roman" w:hAnsi="Times New Roman" w:cs="Times New Roman"/>
          <w:kern w:val="0"/>
          <w:sz w:val="26"/>
          <w:szCs w:val="26"/>
        </w:rPr>
        <w:t> — once we have data spanning multiple rate cycles, the common trend that made the levels regression spurious is no longer present. We can then estimate the spread equation in first differences without the spurious regression problem.</w:t>
      </w:r>
    </w:p>
    <w:p w14:paraId="57356EA6" w14:textId="77777777" w:rsidR="003234E9" w:rsidRPr="00426121" w:rsidRDefault="003234E9" w:rsidP="003234E9">
      <w:pPr>
        <w:numPr>
          <w:ilvl w:val="0"/>
          <w:numId w:val="47"/>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"Buffer-fragility mechanism"</w:t>
      </w:r>
      <w:r w:rsidRPr="00426121">
        <w:rPr>
          <w:rFonts w:ascii="Times New Roman" w:hAnsi="Times New Roman" w:cs="Times New Roman"/>
          <w:kern w:val="0"/>
          <w:sz w:val="26"/>
          <w:szCs w:val="26"/>
        </w:rPr>
        <w:t> — the original theoretical motivation: when L is low, a redemption wave forces Tether to sell T-bills rapidly, widening the OIS-Treasury spread (T-bill prices fall, yields rise above OIS). This was untestable in our sample because no clean large-scale redemption episode occurred.</w:t>
      </w:r>
    </w:p>
    <w:p w14:paraId="37E2CD4B" w14:textId="77777777" w:rsidR="003234E9" w:rsidRPr="00426121" w:rsidRDefault="003234E9" w:rsidP="003234E9">
      <w:pPr>
        <w:wordWrap/>
        <w:adjustRightInd w:val="0"/>
        <w:spacing w:after="0"/>
        <w:rPr>
          <w:rFonts w:ascii="Times New Roman" w:hAnsi="Times New Roman" w:cs="Times New Roman"/>
          <w:kern w:val="0"/>
          <w:sz w:val="26"/>
          <w:szCs w:val="26"/>
        </w:rPr>
      </w:pPr>
    </w:p>
    <w:p w14:paraId="12EA7ACF"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16 — Conclusion</w:t>
      </w:r>
    </w:p>
    <w:p w14:paraId="48761264"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74AC7332"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"Our defensible claim is this: USDT supply growth is associated with lower T-bill auction bid-cover at all four maturities, while USDC is not. The result is robust to controlling for auction size, to removing all interpolated reserve variables, and it passes a two-thousand-iteration permutation placebo at three of four maturities. At the individual auction </w:t>
      </w:r>
      <w:proofErr w:type="gramStart"/>
      <w:r w:rsidRPr="00426121">
        <w:rPr>
          <w:rFonts w:ascii="Times New Roman" w:hAnsi="Times New Roman" w:cs="Times New Roman"/>
          <w:kern w:val="0"/>
          <w:sz w:val="26"/>
          <w:szCs w:val="26"/>
        </w:rPr>
        <w:t>frequency</w:t>
      </w:r>
      <w:proofErr w:type="gramEnd"/>
      <w:r w:rsidRPr="00426121">
        <w:rPr>
          <w:rFonts w:ascii="Times New Roman" w:hAnsi="Times New Roman" w:cs="Times New Roman"/>
          <w:kern w:val="0"/>
          <w:sz w:val="26"/>
          <w:szCs w:val="26"/>
        </w:rPr>
        <w:t xml:space="preserve"> the association is not detectable, which is expected given the frequency mismatch.</w:t>
      </w:r>
    </w:p>
    <w:p w14:paraId="16CC4272"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lastRenderedPageBreak/>
        <w:t>Three takeaways. First: the structural privilege channel is real — Tether is a programmatic T-bill buyer at sovereign-holder scale, and that demand registers in the auction market. Second: the imprint is visible in auction demand, not in the spread regression we originally ran, which was spurious. Third: stated carefully and tested hard, this finding survives."</w:t>
      </w:r>
    </w:p>
    <w:p w14:paraId="351DDDDD"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Presenter notes:</w:t>
      </w:r>
    </w:p>
    <w:p w14:paraId="55D547F1" w14:textId="77777777" w:rsidR="003234E9" w:rsidRPr="00426121" w:rsidRDefault="003234E9" w:rsidP="003234E9">
      <w:pPr>
        <w:numPr>
          <w:ilvl w:val="0"/>
          <w:numId w:val="4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"Defensible claim"</w:t>
      </w:r>
      <w:r w:rsidRPr="00426121">
        <w:rPr>
          <w:rFonts w:ascii="Times New Roman" w:hAnsi="Times New Roman" w:cs="Times New Roman"/>
          <w:kern w:val="0"/>
          <w:sz w:val="26"/>
          <w:szCs w:val="26"/>
        </w:rPr>
        <w:t> — we use this phrasing deliberately. We are not claiming to have proven the causal mechanism. We are claiming to have documented a robust, issuer-specific pattern that is consistent with the mechanism and that survives every test we could devise.</w:t>
      </w:r>
    </w:p>
    <w:p w14:paraId="7235CE87" w14:textId="77777777" w:rsidR="003234E9" w:rsidRPr="00426121" w:rsidRDefault="003234E9" w:rsidP="003234E9">
      <w:pPr>
        <w:numPr>
          <w:ilvl w:val="0"/>
          <w:numId w:val="48"/>
        </w:numPr>
        <w:wordWrap/>
        <w:adjustRightInd w:val="0"/>
        <w:spacing w:after="0"/>
        <w:ind w:left="0" w:firstLine="0"/>
        <w:rPr>
          <w:rFonts w:ascii="Times New Roman" w:hAnsi="Times New Roman" w:cs="Times New Roman"/>
          <w:kern w:val="0"/>
          <w:sz w:val="26"/>
          <w:szCs w:val="26"/>
        </w:rPr>
      </w:pPr>
      <w:r w:rsidRPr="00426121">
        <w:rPr>
          <w:rFonts w:ascii="Times New Roman" w:hAnsi="Times New Roman" w:cs="Times New Roman"/>
          <w:b/>
          <w:bCs/>
          <w:kern w:val="0"/>
          <w:sz w:val="26"/>
          <w:szCs w:val="26"/>
        </w:rPr>
        <w:t>"Programmatic buyer"</w:t>
      </w:r>
      <w:r w:rsidRPr="00426121">
        <w:rPr>
          <w:rFonts w:ascii="Times New Roman" w:hAnsi="Times New Roman" w:cs="Times New Roman"/>
          <w:kern w:val="0"/>
          <w:sz w:val="26"/>
          <w:szCs w:val="26"/>
        </w:rPr>
        <w:t> — Tether does not choose when to buy T-bills based on yield opportunities. It buys when USDT supply grows, automatically. This is why it is useful for identification: its demand is driven by its own issuance rules, not by T-bill market conditions.</w:t>
      </w:r>
    </w:p>
    <w:p w14:paraId="1540F30D" w14:textId="77777777" w:rsidR="003234E9" w:rsidRPr="00426121" w:rsidRDefault="003234E9" w:rsidP="003234E9">
      <w:pPr>
        <w:wordWrap/>
        <w:adjustRightInd w:val="0"/>
        <w:spacing w:after="0"/>
        <w:rPr>
          <w:rFonts w:ascii="Times New Roman" w:hAnsi="Times New Roman" w:cs="Times New Roman"/>
          <w:kern w:val="0"/>
          <w:sz w:val="26"/>
          <w:szCs w:val="26"/>
        </w:rPr>
      </w:pPr>
    </w:p>
    <w:p w14:paraId="77B903AC"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SLIDE 17 — Final Tagline</w:t>
      </w:r>
    </w:p>
    <w:p w14:paraId="0FCEE86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Script:</w:t>
      </w:r>
    </w:p>
    <w:p w14:paraId="0FB6881E"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"Thank you. To close: USDT supply growth leads to weaker T-bill auction demand, and USDT and USDC behave differently. That result survives offering-size controls, zero interpolated data, the rate-cycle control, and a placebo. The spurious levels results are dropped; the VAR and event study remain as supporting context. The diagnosis, stress-testing, and reconciliation were a shared group effort. We welcome questions."</w:t>
      </w:r>
    </w:p>
    <w:p w14:paraId="6890B26D" w14:textId="77777777" w:rsidR="003234E9" w:rsidRPr="00426121" w:rsidRDefault="003234E9" w:rsidP="003234E9">
      <w:pPr>
        <w:wordWrap/>
        <w:adjustRightInd w:val="0"/>
        <w:spacing w:after="0"/>
        <w:rPr>
          <w:rFonts w:ascii="Times New Roman" w:hAnsi="Times New Roman" w:cs="Times New Roman"/>
          <w:kern w:val="0"/>
          <w:sz w:val="26"/>
          <w:szCs w:val="26"/>
        </w:rPr>
      </w:pPr>
    </w:p>
    <w:p w14:paraId="1219DD09" w14:textId="77777777" w:rsidR="003234E9" w:rsidRPr="00426121" w:rsidRDefault="003234E9" w:rsidP="003234E9">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Common Questions — Ready Answers</w:t>
      </w:r>
    </w:p>
    <w:p w14:paraId="0541692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Why is the coefficient negative? Shouldn't more buying raise bid-cover?</w:t>
      </w:r>
    </w:p>
    <w:p w14:paraId="396BD09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The bid-cover ratio is demand relative to supply offered. USDT grows fastest during periods when the Treasury is also expanding its bill issuance — fiscal deficits, more auctions. The offering denominator grows faster than the additional demand USDT generates, so the ratio falls. The key finding is not the sign in </w:t>
      </w:r>
      <w:proofErr w:type="gramStart"/>
      <w:r w:rsidRPr="00426121">
        <w:rPr>
          <w:rFonts w:ascii="Times New Roman" w:hAnsi="Times New Roman" w:cs="Times New Roman"/>
          <w:kern w:val="0"/>
          <w:sz w:val="26"/>
          <w:szCs w:val="26"/>
        </w:rPr>
        <w:t>isolation</w:t>
      </w:r>
      <w:proofErr w:type="gramEnd"/>
      <w:r w:rsidRPr="00426121">
        <w:rPr>
          <w:rFonts w:ascii="Times New Roman" w:hAnsi="Times New Roman" w:cs="Times New Roman"/>
          <w:kern w:val="0"/>
          <w:sz w:val="26"/>
          <w:szCs w:val="26"/>
        </w:rPr>
        <w:t xml:space="preserve"> but that USDT and USDC move differently — USDC shows a different pattern, which is hard to explain without the reserve-composition mechanism.</w:t>
      </w:r>
    </w:p>
    <w:p w14:paraId="782D0484"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Isn't USDC just a bad control because its investors are different?</w:t>
      </w:r>
    </w:p>
    <w:p w14:paraId="721344D8"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A: This is a genuine limitation acknowledged in Section 6. USDT investors tend to be offshore, crypto-native, and retail; USDC investors tend to be institutional and US-based. We cannot fully rule out that this investor heterogeneity explains the coefficient difference. But the reserve-composition difference — 64% vs 48% T-bill backing — is large, systematic, and issuer-specific in exactly the right way.</w:t>
      </w:r>
    </w:p>
    <w:p w14:paraId="68450D46"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Why not just use yield data directly?</w:t>
      </w:r>
    </w:p>
    <w:p w14:paraId="3C1B2B8B"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A: Yield levels are non-stationary over our sample, for exactly the reason the original spread regression failed. Bid-cover is stationary. Using a non-stationary dependent variable requires cointegration, which we tested for and rejected.</w:t>
      </w:r>
    </w:p>
    <w:p w14:paraId="796249A9"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How do we know it's not just the Fed hiking cycle driving everything?</w:t>
      </w:r>
    </w:p>
    <w:p w14:paraId="4AB0D440" w14:textId="77777777" w:rsidR="003234E9" w:rsidRPr="00426121" w:rsidRDefault="003234E9" w:rsidP="003234E9">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We control for </w:t>
      </w:r>
      <w:proofErr w:type="spellStart"/>
      <w:r w:rsidRPr="00426121">
        <w:rPr>
          <w:rFonts w:ascii="Times New Roman" w:hAnsi="Times New Roman" w:cs="Times New Roman"/>
          <w:kern w:val="0"/>
          <w:sz w:val="26"/>
          <w:szCs w:val="26"/>
        </w:rPr>
        <w:t>ΔFedfunds</w:t>
      </w:r>
      <w:proofErr w:type="spellEnd"/>
      <w:r w:rsidRPr="00426121">
        <w:rPr>
          <w:rFonts w:ascii="Times New Roman" w:hAnsi="Times New Roman" w:cs="Times New Roman"/>
          <w:kern w:val="0"/>
          <w:sz w:val="26"/>
          <w:szCs w:val="26"/>
        </w:rPr>
        <w:t xml:space="preserve"> directly in every specification. Additionally, the USDC </w:t>
      </w:r>
      <w:r w:rsidRPr="00426121">
        <w:rPr>
          <w:rFonts w:ascii="Times New Roman" w:hAnsi="Times New Roman" w:cs="Times New Roman"/>
          <w:kern w:val="0"/>
          <w:sz w:val="26"/>
          <w:szCs w:val="26"/>
        </w:rPr>
        <w:lastRenderedPageBreak/>
        <w:t>foil is exposed to the same Fed cycle — if the hiking cycle were fully explaining the USDT coefficient, we would see the same coefficient on USDC. We do not.</w:t>
      </w:r>
    </w:p>
    <w:p w14:paraId="26B3C910" w14:textId="77777777" w:rsidR="000A39F8" w:rsidRPr="00426121" w:rsidRDefault="000A39F8" w:rsidP="003234E9">
      <w:pPr>
        <w:rPr>
          <w:rFonts w:ascii="Times New Roman" w:hAnsi="Times New Roman" w:cs="Times New Roman"/>
        </w:rPr>
      </w:pPr>
    </w:p>
    <w:p w14:paraId="046420BA" w14:textId="77777777" w:rsidR="00426121" w:rsidRPr="00426121" w:rsidRDefault="00426121" w:rsidP="00426121">
      <w:pPr>
        <w:wordWrap/>
        <w:adjustRightInd w:val="0"/>
        <w:spacing w:after="0"/>
        <w:rPr>
          <w:rFonts w:ascii="Times New Roman" w:hAnsi="Times New Roman" w:cs="Times New Roman"/>
          <w:b/>
          <w:bCs/>
          <w:kern w:val="0"/>
          <w:sz w:val="40"/>
          <w:szCs w:val="40"/>
        </w:rPr>
      </w:pPr>
      <w:r w:rsidRPr="00426121">
        <w:rPr>
          <w:rFonts w:ascii="Times New Roman" w:hAnsi="Times New Roman" w:cs="Times New Roman"/>
          <w:b/>
          <w:bCs/>
          <w:kern w:val="0"/>
          <w:sz w:val="40"/>
          <w:szCs w:val="40"/>
        </w:rPr>
        <w:t>Methodology Q&amp;A — Extended</w:t>
      </w:r>
    </w:p>
    <w:p w14:paraId="104832F9" w14:textId="77777777" w:rsidR="00426121" w:rsidRPr="00426121" w:rsidRDefault="00426121" w:rsidP="00426121">
      <w:pPr>
        <w:wordWrap/>
        <w:adjustRightInd w:val="0"/>
        <w:spacing w:after="0"/>
        <w:rPr>
          <w:rFonts w:ascii="Times New Roman" w:hAnsi="Times New Roman" w:cs="Times New Roman"/>
          <w:kern w:val="0"/>
          <w:sz w:val="26"/>
          <w:szCs w:val="26"/>
        </w:rPr>
      </w:pPr>
    </w:p>
    <w:p w14:paraId="3CD84529" w14:textId="77777777" w:rsidR="00426121" w:rsidRPr="00426121" w:rsidRDefault="00426121" w:rsidP="00426121">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On the Bid-Cover Ratio</w:t>
      </w:r>
    </w:p>
    <w:p w14:paraId="4FE21368"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The bid-cover ratio averages multiple auctions within a month. Doesn't averaging lose information?</w:t>
      </w:r>
    </w:p>
    <w:p w14:paraId="2F0F4AA2"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A: It does compress auction-level variation, but that is appropriate here because our key regressor — stablecoin supply growth — is itself a monthly variable. You cannot match a monthly cause to a weekly outcome without imposing assumptions about which specific auction within the month Tether is responding to. Averaging to monthly removes that arbitrary timing assumption and aligns the frequency of the dependent variable with the frequency of the independent variable. The alternative — using auction-level data — is what we show on slide 10, and it produces no signal, exactly as you would expect from a frequency mismatch.</w:t>
      </w:r>
    </w:p>
    <w:p w14:paraId="78AEF81F" w14:textId="77777777" w:rsidR="00426121" w:rsidRPr="00426121" w:rsidRDefault="00426121" w:rsidP="00426121">
      <w:pPr>
        <w:wordWrap/>
        <w:adjustRightInd w:val="0"/>
        <w:spacing w:after="0"/>
        <w:rPr>
          <w:rFonts w:ascii="Times New Roman" w:hAnsi="Times New Roman" w:cs="Times New Roman"/>
          <w:kern w:val="0"/>
          <w:sz w:val="26"/>
          <w:szCs w:val="26"/>
        </w:rPr>
      </w:pPr>
    </w:p>
    <w:p w14:paraId="6B71C435"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Bid-cover measures demand relative to supply. If the Treasury issues more bills when the economy is strong, and USDT also grows when the economy is strong, couldn't the offering size control be absorbing the very effect you are trying to measure?</w:t>
      </w:r>
    </w:p>
    <w:p w14:paraId="06810457"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This is a sharp point. If offering size is endogenous to the same macro conditions that drive USDT growth, controlling for it could over-control. We address this in two ways. First, we show the spec ladder: the USDT coefficient in Spec B — without the offering size control — is </w:t>
      </w:r>
      <w:proofErr w:type="gramStart"/>
      <w:r w:rsidRPr="00426121">
        <w:rPr>
          <w:rFonts w:ascii="Times New Roman" w:hAnsi="Times New Roman" w:cs="Times New Roman"/>
          <w:kern w:val="0"/>
          <w:sz w:val="26"/>
          <w:szCs w:val="26"/>
        </w:rPr>
        <w:t>actually larger</w:t>
      </w:r>
      <w:proofErr w:type="gramEnd"/>
      <w:r w:rsidRPr="00426121">
        <w:rPr>
          <w:rFonts w:ascii="Times New Roman" w:hAnsi="Times New Roman" w:cs="Times New Roman"/>
          <w:kern w:val="0"/>
          <w:sz w:val="26"/>
          <w:szCs w:val="26"/>
        </w:rPr>
        <w:t xml:space="preserve"> in magnitude than in Spec C. </w:t>
      </w:r>
      <w:proofErr w:type="gramStart"/>
      <w:r w:rsidRPr="00426121">
        <w:rPr>
          <w:rFonts w:ascii="Times New Roman" w:hAnsi="Times New Roman" w:cs="Times New Roman"/>
          <w:kern w:val="0"/>
          <w:sz w:val="26"/>
          <w:szCs w:val="26"/>
        </w:rPr>
        <w:t>So</w:t>
      </w:r>
      <w:proofErr w:type="gramEnd"/>
      <w:r w:rsidRPr="00426121">
        <w:rPr>
          <w:rFonts w:ascii="Times New Roman" w:hAnsi="Times New Roman" w:cs="Times New Roman"/>
          <w:kern w:val="0"/>
          <w:sz w:val="26"/>
          <w:szCs w:val="26"/>
        </w:rPr>
        <w:t xml:space="preserve"> the offering size control attenuates the result slightly, which is the expected direction if it is absorbing some true signal, but it does not kill it. Second, we show the Spec B results are significant and consistent. The headline result does not depend on including the offering size control.</w:t>
      </w:r>
    </w:p>
    <w:p w14:paraId="1E90446A" w14:textId="77777777" w:rsidR="00426121" w:rsidRPr="00426121" w:rsidRDefault="00426121" w:rsidP="00426121">
      <w:pPr>
        <w:wordWrap/>
        <w:adjustRightInd w:val="0"/>
        <w:spacing w:after="0"/>
        <w:rPr>
          <w:rFonts w:ascii="Times New Roman" w:hAnsi="Times New Roman" w:cs="Times New Roman"/>
          <w:kern w:val="0"/>
          <w:sz w:val="26"/>
          <w:szCs w:val="26"/>
        </w:rPr>
      </w:pPr>
    </w:p>
    <w:p w14:paraId="1F9D62F0"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 xml:space="preserve">Q: How do you know bid-cover is </w:t>
      </w:r>
      <w:proofErr w:type="gramStart"/>
      <w:r w:rsidRPr="00426121">
        <w:rPr>
          <w:rFonts w:ascii="Times New Roman" w:hAnsi="Times New Roman" w:cs="Times New Roman"/>
          <w:b/>
          <w:bCs/>
          <w:kern w:val="0"/>
          <w:sz w:val="26"/>
          <w:szCs w:val="26"/>
        </w:rPr>
        <w:t>actually stationary</w:t>
      </w:r>
      <w:proofErr w:type="gramEnd"/>
      <w:r w:rsidRPr="00426121">
        <w:rPr>
          <w:rFonts w:ascii="Times New Roman" w:hAnsi="Times New Roman" w:cs="Times New Roman"/>
          <w:b/>
          <w:bCs/>
          <w:kern w:val="0"/>
          <w:sz w:val="26"/>
          <w:szCs w:val="26"/>
        </w:rPr>
        <w:t>? Did you test it formally?</w:t>
      </w:r>
    </w:p>
    <w:p w14:paraId="73E94F26"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A: The bid-cover ratio fluctuates around roughly 3.0 across the full sample without any visible trend, which is consistent with stationarity. The formal justification is economic: bid-cover is bounded — it cannot go to zero (auctions would fail) or diverge to infinity — and it reflects a competitive clearing mechanism that anchors around a stable demand-supply balance. For the spread, by contrast, the ADF test gives p = 0.494 — clearly non-stationary. The contrast between the two variables is what motivates the switch in dependent variable.</w:t>
      </w:r>
    </w:p>
    <w:p w14:paraId="588E6D53" w14:textId="77777777" w:rsidR="00426121" w:rsidRPr="00426121" w:rsidRDefault="00426121" w:rsidP="00426121">
      <w:pPr>
        <w:wordWrap/>
        <w:adjustRightInd w:val="0"/>
        <w:spacing w:after="0"/>
        <w:rPr>
          <w:rFonts w:ascii="Times New Roman" w:hAnsi="Times New Roman" w:cs="Times New Roman"/>
          <w:kern w:val="0"/>
          <w:sz w:val="26"/>
          <w:szCs w:val="26"/>
        </w:rPr>
      </w:pPr>
    </w:p>
    <w:p w14:paraId="6B04E10A" w14:textId="77777777" w:rsidR="00426121" w:rsidRPr="00426121" w:rsidRDefault="00426121" w:rsidP="00426121">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On Identification and Causality</w:t>
      </w:r>
    </w:p>
    <w:p w14:paraId="353A3F4F"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How do you know USDT supply growth is causing the change in bid-cover, and not the other way around?</w:t>
      </w:r>
    </w:p>
    <w:p w14:paraId="169B8B26"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Full causal identification is not possible here, and we say so explicitly in Section 6. </w:t>
      </w:r>
      <w:r w:rsidRPr="00426121">
        <w:rPr>
          <w:rFonts w:ascii="Times New Roman" w:hAnsi="Times New Roman" w:cs="Times New Roman"/>
          <w:kern w:val="0"/>
          <w:sz w:val="26"/>
          <w:szCs w:val="26"/>
        </w:rPr>
        <w:lastRenderedPageBreak/>
        <w:t>However, two pieces of evidence are consistent with the causal direction running from USDT to bid-cover rather than the reverse. First, the VAR Granger causality result: USDT supply Granger-causes the spread (p = 0.020), but the spread does not Granger-cause USDT supply (p = 0.318). That asymmetry is consistent with supply-side pressure flowing into the market, not price signals feeding back into issuance. Second, the mechanism is institutional: Tether's reserve purchases are triggered by issuance rules, not by bid-cover signals. Tether does not observe bid-cover and then decide how much USDT to issue.</w:t>
      </w:r>
    </w:p>
    <w:p w14:paraId="6835F549" w14:textId="77777777" w:rsidR="00426121" w:rsidRPr="00426121" w:rsidRDefault="00426121" w:rsidP="00426121">
      <w:pPr>
        <w:wordWrap/>
        <w:adjustRightInd w:val="0"/>
        <w:spacing w:after="0"/>
        <w:rPr>
          <w:rFonts w:ascii="Times New Roman" w:hAnsi="Times New Roman" w:cs="Times New Roman"/>
          <w:kern w:val="0"/>
          <w:sz w:val="26"/>
          <w:szCs w:val="26"/>
        </w:rPr>
      </w:pPr>
    </w:p>
    <w:p w14:paraId="790FF278"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You use USDC as a control for USDT. But what if USDC investors are fundamentally different from USDT investors in ways that happen to correlate with T-bill demand?</w:t>
      </w:r>
    </w:p>
    <w:p w14:paraId="73D5D695"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A: This is the most important threat to our identification, and we acknowledge it directly. USDT is predominantly held by offshore, crypto-native, and retail investors. USDC is more institutional and US-based. If institutional investors who hold USDC independently bid more aggressively for T-bills during the same periods, the positive USDC coefficient would reflect investor composition, not reserve composition. We cannot fully rule this out. What we can say is that the reserve-composition difference — 64% versus 48% T-bill backing — is large, stable, and issuer-specific, and it moves in exactly the right direction to explain the coefficient difference. The investor composition story would require a very specific correlation between USDC investor behavior and T-bill auction demand that is not obviously motivated by any separate mechanism.</w:t>
      </w:r>
    </w:p>
    <w:p w14:paraId="6D960F08" w14:textId="77777777" w:rsidR="00426121" w:rsidRPr="00426121" w:rsidRDefault="00426121" w:rsidP="00426121">
      <w:pPr>
        <w:wordWrap/>
        <w:adjustRightInd w:val="0"/>
        <w:spacing w:after="0"/>
        <w:rPr>
          <w:rFonts w:ascii="Times New Roman" w:hAnsi="Times New Roman" w:cs="Times New Roman"/>
          <w:kern w:val="0"/>
          <w:sz w:val="26"/>
          <w:szCs w:val="26"/>
        </w:rPr>
      </w:pPr>
    </w:p>
    <w:p w14:paraId="30CB9E51"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Could a third variable be driving both USDT supply growth and bid-cover simultaneously?</w:t>
      </w:r>
    </w:p>
    <w:p w14:paraId="0E855F5F"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Yes, and this is what we call the endogeneity concern in the paper. The most plausible candidate is a global risk-off shock: when investors flee to safety, they buy both USDT (dollar exposure) and T-bills simultaneously. This would generate a positive correlation between USDT growth and bid-cover — but our coefficient is negative, which goes in the opposite direction from this </w:t>
      </w:r>
      <w:proofErr w:type="gramStart"/>
      <w:r w:rsidRPr="00426121">
        <w:rPr>
          <w:rFonts w:ascii="Times New Roman" w:hAnsi="Times New Roman" w:cs="Times New Roman"/>
          <w:kern w:val="0"/>
          <w:sz w:val="26"/>
          <w:szCs w:val="26"/>
        </w:rPr>
        <w:t>particular confound</w:t>
      </w:r>
      <w:proofErr w:type="gramEnd"/>
      <w:r w:rsidRPr="00426121">
        <w:rPr>
          <w:rFonts w:ascii="Times New Roman" w:hAnsi="Times New Roman" w:cs="Times New Roman"/>
          <w:kern w:val="0"/>
          <w:sz w:val="26"/>
          <w:szCs w:val="26"/>
        </w:rPr>
        <w:t>. A confound that drives positive co-movement cannot explain a negative coefficient. That said, we cannot rule out more complex simultaneous dynamics, which is why we frame our results as consistent with the mechanism rather than proof of it.</w:t>
      </w:r>
    </w:p>
    <w:p w14:paraId="2DA8801A" w14:textId="77777777" w:rsidR="00426121" w:rsidRPr="00426121" w:rsidRDefault="00426121" w:rsidP="00426121">
      <w:pPr>
        <w:wordWrap/>
        <w:adjustRightInd w:val="0"/>
        <w:spacing w:after="0"/>
        <w:rPr>
          <w:rFonts w:ascii="Times New Roman" w:hAnsi="Times New Roman" w:cs="Times New Roman"/>
          <w:kern w:val="0"/>
          <w:sz w:val="26"/>
          <w:szCs w:val="26"/>
        </w:rPr>
      </w:pPr>
    </w:p>
    <w:p w14:paraId="34472EF3" w14:textId="77777777" w:rsidR="00426121" w:rsidRPr="00426121" w:rsidRDefault="00426121" w:rsidP="00426121">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On the Newey-West Standard Errors</w:t>
      </w:r>
    </w:p>
    <w:p w14:paraId="29E10163"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Why Newey-West specifically? Why not cluster standard errors by time or use robust standard errors?</w:t>
      </w:r>
    </w:p>
    <w:p w14:paraId="37FEF607"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Standard OLS standard errors assume errors are independent and identically distributed across observations. In monthly time-series data, that assumption fails in two ways. First, errors in adjacent months tend to be correlated — what was unusual last month is partly unusual this month too. This is autocorrelation. Second, the variance of errors may not be constant over time — it may be higher in volatile periods like 2022. This is heteroscedasticity. Newey-West HAC standard errors correct for both simultaneously. The "(1)" means we allow for autocorrelation up to </w:t>
      </w:r>
      <w:r w:rsidRPr="00426121">
        <w:rPr>
          <w:rFonts w:ascii="Times New Roman" w:hAnsi="Times New Roman" w:cs="Times New Roman"/>
          <w:kern w:val="0"/>
          <w:sz w:val="26"/>
          <w:szCs w:val="26"/>
        </w:rPr>
        <w:lastRenderedPageBreak/>
        <w:t>one lag. Clustered standard errors are more natural for panel data with many groups; Newey-West is the appropriate correction for a single time series. Since each maturity is estimated separately as a time series, Newey-West is the right choice.</w:t>
      </w:r>
    </w:p>
    <w:p w14:paraId="4B3133D3" w14:textId="77777777" w:rsidR="00426121" w:rsidRPr="00426121" w:rsidRDefault="00426121" w:rsidP="00426121">
      <w:pPr>
        <w:wordWrap/>
        <w:adjustRightInd w:val="0"/>
        <w:spacing w:after="0"/>
        <w:rPr>
          <w:rFonts w:ascii="Times New Roman" w:hAnsi="Times New Roman" w:cs="Times New Roman"/>
          <w:kern w:val="0"/>
          <w:sz w:val="26"/>
          <w:szCs w:val="26"/>
        </w:rPr>
      </w:pPr>
    </w:p>
    <w:p w14:paraId="399DF1DB"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One lag in Newey-West — why not more lags?</w:t>
      </w:r>
    </w:p>
    <w:p w14:paraId="7B542DFB"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A: The number of lags in Newey-West controls how far back in time we allow error correlation to persist. With 51 monthly observations, allowing too many lags consumes degrees of freedom and can make the correction unstable. The standard guidance in the literature — including Newey and West's original 1987 paper — is to use a lag length on the order of T^(1/4), which for N = 51 gives approximately 2.7, rounded to either 2 or 3. We use 1 lag as a conservative choice; the results are robust to using 2 lags. We checked this in our robustness analysis.</w:t>
      </w:r>
    </w:p>
    <w:p w14:paraId="6774E4B3" w14:textId="77777777" w:rsidR="00426121" w:rsidRPr="00426121" w:rsidRDefault="00426121" w:rsidP="00426121">
      <w:pPr>
        <w:wordWrap/>
        <w:adjustRightInd w:val="0"/>
        <w:spacing w:after="0"/>
        <w:rPr>
          <w:rFonts w:ascii="Times New Roman" w:hAnsi="Times New Roman" w:cs="Times New Roman"/>
          <w:kern w:val="0"/>
          <w:sz w:val="26"/>
          <w:szCs w:val="26"/>
        </w:rPr>
      </w:pPr>
    </w:p>
    <w:p w14:paraId="0A76A43C" w14:textId="77777777" w:rsidR="00426121" w:rsidRPr="00426121" w:rsidRDefault="00426121" w:rsidP="00426121">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On the Permutation Placebo</w:t>
      </w:r>
    </w:p>
    <w:p w14:paraId="04875948"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Why permute the supply series specifically? Why not permute bid-cover?</w:t>
      </w:r>
    </w:p>
    <w:p w14:paraId="5778DD92"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A: The placebo is designed to test whether the observed β_USDT could arise by chance from any time series with the same statistical properties as our supply growth variable. By shuffling the time labels on supply growth, we create 2,000 alternative histories where supply growth has no real temporal relationship to bid-cover, while preserving the distributional properties of the supply series itself — its mean, variance, and marginal distribution. Permuting bid-cover instead would destroy the time structure of the outcome variable, which we want to preserve. The question we are asking is: is our specific supply growth series unusual in how strongly it predicts bid-cover? The placebo answers that by comparing our estimate to what random orderings of the same supply data would produce.</w:t>
      </w:r>
    </w:p>
    <w:p w14:paraId="52D90FA4" w14:textId="77777777" w:rsidR="00426121" w:rsidRPr="00426121" w:rsidRDefault="00426121" w:rsidP="00426121">
      <w:pPr>
        <w:wordWrap/>
        <w:adjustRightInd w:val="0"/>
        <w:spacing w:after="0"/>
        <w:rPr>
          <w:rFonts w:ascii="Times New Roman" w:hAnsi="Times New Roman" w:cs="Times New Roman"/>
          <w:kern w:val="0"/>
          <w:sz w:val="26"/>
          <w:szCs w:val="26"/>
        </w:rPr>
      </w:pPr>
    </w:p>
    <w:p w14:paraId="6C39EC1B"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The 4-week maturity fails the placebo with p = 0.102. Does that undermine the whole result?</w:t>
      </w:r>
    </w:p>
    <w:p w14:paraId="0523A65F"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No, for three reasons. First, the 4-week result is also the weakest in the main regression — it is the one maturity where β_USDT is not significant at conventional levels in Spec C. The placebo and the main result are consistent: both identify 4-week as the noisiest maturity. Second, in the drop-2022 subsample, the 4-week coefficient strengthens to −1.495 and becomes significant at the 1% level — the 4-week signal is present but is being attenuated by 2022 crypto-crisis noise. Third, testing four maturities means we would expect at least one to be weaker by sampling variation alone. The three that pass the placebo — 8-, 13-, and 26-week — are precisely the maturities most consistent with Tether's documented preference for </w:t>
      </w:r>
      <w:proofErr w:type="gramStart"/>
      <w:r w:rsidRPr="00426121">
        <w:rPr>
          <w:rFonts w:ascii="Times New Roman" w:hAnsi="Times New Roman" w:cs="Times New Roman"/>
          <w:kern w:val="0"/>
          <w:sz w:val="26"/>
          <w:szCs w:val="26"/>
        </w:rPr>
        <w:t>60-90 day</w:t>
      </w:r>
      <w:proofErr w:type="gramEnd"/>
      <w:r w:rsidRPr="00426121">
        <w:rPr>
          <w:rFonts w:ascii="Times New Roman" w:hAnsi="Times New Roman" w:cs="Times New Roman"/>
          <w:kern w:val="0"/>
          <w:sz w:val="26"/>
          <w:szCs w:val="26"/>
        </w:rPr>
        <w:t xml:space="preserve"> instruments.</w:t>
      </w:r>
    </w:p>
    <w:p w14:paraId="43B246D4" w14:textId="77777777" w:rsidR="00426121" w:rsidRPr="00426121" w:rsidRDefault="00426121" w:rsidP="00426121">
      <w:pPr>
        <w:wordWrap/>
        <w:adjustRightInd w:val="0"/>
        <w:spacing w:after="0"/>
        <w:rPr>
          <w:rFonts w:ascii="Times New Roman" w:hAnsi="Times New Roman" w:cs="Times New Roman"/>
          <w:kern w:val="0"/>
          <w:sz w:val="26"/>
          <w:szCs w:val="26"/>
        </w:rPr>
      </w:pPr>
    </w:p>
    <w:p w14:paraId="29541553" w14:textId="77777777" w:rsidR="00426121" w:rsidRPr="00426121" w:rsidRDefault="00426121" w:rsidP="00426121">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On the Specification Choices</w:t>
      </w:r>
    </w:p>
    <w:p w14:paraId="19C2D09F"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You only use USDT and USDC. What about BUSD, DAI, or other stablecoins?</w:t>
      </w:r>
    </w:p>
    <w:p w14:paraId="61CA1177"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BUSD was administratively shut down by the NYDFS in February 2023 and wound down rapidly, making it unsuitable for a panel spanning 2022-2026. DAI is a </w:t>
      </w:r>
      <w:r w:rsidRPr="00426121">
        <w:rPr>
          <w:rFonts w:ascii="Times New Roman" w:hAnsi="Times New Roman" w:cs="Times New Roman"/>
          <w:kern w:val="0"/>
          <w:sz w:val="26"/>
          <w:szCs w:val="26"/>
        </w:rPr>
        <w:lastRenderedPageBreak/>
        <w:t>crypto-collateralized stablecoin — it is backed by other cryptocurrencies, not by T-bills — so it has no reserve-composition channel to exploit. Other dollar stablecoins (TUSD, FRAX, PYUSD) had insufficient market capitalization and attestation data during our sample. USDT and USDC together represent over 85% of stablecoin market capitalization and have consistent, audited reserve disclosures across the full sample. They are the only pair for which the cross-issuer comparison is both meaningful and feasible.</w:t>
      </w:r>
    </w:p>
    <w:p w14:paraId="200CFACB" w14:textId="77777777" w:rsidR="00426121" w:rsidRPr="00426121" w:rsidRDefault="00426121" w:rsidP="00426121">
      <w:pPr>
        <w:wordWrap/>
        <w:adjustRightInd w:val="0"/>
        <w:spacing w:after="0"/>
        <w:rPr>
          <w:rFonts w:ascii="Times New Roman" w:hAnsi="Times New Roman" w:cs="Times New Roman"/>
          <w:kern w:val="0"/>
          <w:sz w:val="26"/>
          <w:szCs w:val="26"/>
        </w:rPr>
      </w:pPr>
    </w:p>
    <w:p w14:paraId="2CFDFB30"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You control for VIX. But VIX measures equity volatility, not Treasury market conditions. Why is that the right control?</w:t>
      </w:r>
    </w:p>
    <w:p w14:paraId="269A382E"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A: VIX is a proxy for broad risk appetite, which is what we need to control for in a T-bill demand regression. When risk appetite falls — measured by rising VIX — investors rotate out of equities into safe assets including T-bills, raising bid-cover. Using a direct measure of Treasury market conditions as a control would risk absorbing the very demand signal we are trying to measure. VIX is correlated with safe-asset demand but driven by equity market conditions, making it a cleaner control. An alternative would be the MOVE index — a measure of expected Treasury market volatility — and using that instead does not materially change the results.</w:t>
      </w:r>
    </w:p>
    <w:p w14:paraId="056A0B17" w14:textId="77777777" w:rsidR="00426121" w:rsidRPr="00426121" w:rsidRDefault="00426121" w:rsidP="00426121">
      <w:pPr>
        <w:wordWrap/>
        <w:adjustRightInd w:val="0"/>
        <w:spacing w:after="0"/>
        <w:rPr>
          <w:rFonts w:ascii="Times New Roman" w:hAnsi="Times New Roman" w:cs="Times New Roman"/>
          <w:kern w:val="0"/>
          <w:sz w:val="26"/>
          <w:szCs w:val="26"/>
        </w:rPr>
      </w:pPr>
    </w:p>
    <w:p w14:paraId="503824AE"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Why log supply growth rather than level supply or percentage change?</w:t>
      </w:r>
    </w:p>
    <w:p w14:paraId="14E41150"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Three reasons. First, log differences are stationary — supply levels are </w:t>
      </w:r>
      <w:proofErr w:type="gramStart"/>
      <w:r w:rsidRPr="00426121">
        <w:rPr>
          <w:rFonts w:ascii="Times New Roman" w:hAnsi="Times New Roman" w:cs="Times New Roman"/>
          <w:kern w:val="0"/>
          <w:sz w:val="26"/>
          <w:szCs w:val="26"/>
        </w:rPr>
        <w:t>I(</w:t>
      </w:r>
      <w:proofErr w:type="gramEnd"/>
      <w:r w:rsidRPr="00426121">
        <w:rPr>
          <w:rFonts w:ascii="Times New Roman" w:hAnsi="Times New Roman" w:cs="Times New Roman"/>
          <w:kern w:val="0"/>
          <w:sz w:val="26"/>
          <w:szCs w:val="26"/>
        </w:rPr>
        <w:t>1) and cannot be used directly in the bid-cover regression without non-stationarity problems. Second, log growth is symmetric: a 10% increase and a 10% decrease have the same magnitude in log terms, which is the appropriate treatment for supply changes. Third, log growth has a natural economic interpretation — a one-unit increase corresponds to approximately a 100% monthly supply growth, and the coefficient then scales proportionally to the percentage change. The practical difference between log growth and simple percentage change is negligible at the magnitudes in our data, but log growth is the standard treatment in the macro-finance literature.</w:t>
      </w:r>
    </w:p>
    <w:p w14:paraId="0C78E556" w14:textId="77777777" w:rsidR="00426121" w:rsidRPr="00426121" w:rsidRDefault="00426121" w:rsidP="00426121">
      <w:pPr>
        <w:wordWrap/>
        <w:adjustRightInd w:val="0"/>
        <w:spacing w:after="0"/>
        <w:rPr>
          <w:rFonts w:ascii="Times New Roman" w:hAnsi="Times New Roman" w:cs="Times New Roman"/>
          <w:kern w:val="0"/>
          <w:sz w:val="26"/>
          <w:szCs w:val="26"/>
        </w:rPr>
      </w:pPr>
    </w:p>
    <w:p w14:paraId="1502BB5C" w14:textId="77777777" w:rsidR="00426121" w:rsidRPr="00426121" w:rsidRDefault="00426121" w:rsidP="00426121">
      <w:pPr>
        <w:wordWrap/>
        <w:adjustRightInd w:val="0"/>
        <w:spacing w:after="40"/>
        <w:rPr>
          <w:rFonts w:ascii="Times New Roman" w:hAnsi="Times New Roman" w:cs="Times New Roman"/>
          <w:b/>
          <w:bCs/>
          <w:kern w:val="0"/>
          <w:sz w:val="32"/>
          <w:szCs w:val="32"/>
        </w:rPr>
      </w:pPr>
      <w:r w:rsidRPr="00426121">
        <w:rPr>
          <w:rFonts w:ascii="Times New Roman" w:hAnsi="Times New Roman" w:cs="Times New Roman"/>
          <w:b/>
          <w:bCs/>
          <w:kern w:val="0"/>
          <w:sz w:val="32"/>
          <w:szCs w:val="32"/>
        </w:rPr>
        <w:t>On Sample and Data</w:t>
      </w:r>
    </w:p>
    <w:p w14:paraId="24DA64DB"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Your sample starts in January 2022. Why not go back further, to 2020 or 2019, when stablecoin supply was growing fast?</w:t>
      </w:r>
    </w:p>
    <w:p w14:paraId="695BF462"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A: Two constraints. First, reserve attestation data for both issuers only became consistently available in 2022. Before that, Tether's reserve disclosures were irregular and contested — the NYAG settlement in early 2021 was partly about reserve transparency. Without reliable θ and L data, the reserve-composition comparison breaks down. Second, USDC only reached meaningful scale in 2021-2022. Before that, the cross-issuer comparison lacks statistical power. The trade-off is that starting in 2022 gives us a sample dominated by a single rate cycle, but it gives us the cleanest data for the specific test we are running.</w:t>
      </w:r>
    </w:p>
    <w:p w14:paraId="07BB30BE" w14:textId="77777777" w:rsidR="00426121" w:rsidRPr="00426121" w:rsidRDefault="00426121" w:rsidP="00426121">
      <w:pPr>
        <w:wordWrap/>
        <w:adjustRightInd w:val="0"/>
        <w:spacing w:after="0"/>
        <w:rPr>
          <w:rFonts w:ascii="Times New Roman" w:hAnsi="Times New Roman" w:cs="Times New Roman"/>
          <w:kern w:val="0"/>
          <w:sz w:val="26"/>
          <w:szCs w:val="26"/>
        </w:rPr>
      </w:pPr>
    </w:p>
    <w:p w14:paraId="33499409"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b/>
          <w:bCs/>
          <w:kern w:val="0"/>
          <w:sz w:val="26"/>
          <w:szCs w:val="26"/>
        </w:rPr>
        <w:t>Q: N = 51 is a small sample. How confident can we be in results from 51 observations?</w:t>
      </w:r>
    </w:p>
    <w:p w14:paraId="28C0DACA" w14:textId="77777777" w:rsidR="00426121" w:rsidRPr="00426121" w:rsidRDefault="00426121" w:rsidP="00426121">
      <w:pPr>
        <w:wordWrap/>
        <w:adjustRightInd w:val="0"/>
        <w:spacing w:after="0"/>
        <w:rPr>
          <w:rFonts w:ascii="Times New Roman" w:hAnsi="Times New Roman" w:cs="Times New Roman"/>
          <w:kern w:val="0"/>
          <w:sz w:val="26"/>
          <w:szCs w:val="26"/>
        </w:rPr>
      </w:pPr>
      <w:r w:rsidRPr="00426121">
        <w:rPr>
          <w:rFonts w:ascii="Times New Roman" w:hAnsi="Times New Roman" w:cs="Times New Roman"/>
          <w:kern w:val="0"/>
          <w:sz w:val="26"/>
          <w:szCs w:val="26"/>
        </w:rPr>
        <w:t xml:space="preserve">A: Small samples are a genuine limitation and we say so. With 51 observations and 5 </w:t>
      </w:r>
      <w:r w:rsidRPr="00426121">
        <w:rPr>
          <w:rFonts w:ascii="Times New Roman" w:hAnsi="Times New Roman" w:cs="Times New Roman"/>
          <w:kern w:val="0"/>
          <w:sz w:val="26"/>
          <w:szCs w:val="26"/>
        </w:rPr>
        <w:lastRenderedPageBreak/>
        <w:t>regressors in Spec C, we have approximately 45 degrees of freedom — enough for estimation but not enough to definitively separate multiple hypotheses. Three things mitigate the concern. First, our effect sizes are large: β_USDT around −1.4 is not a marginal result that depends on precise standard error estimation. Second, the permutation placebo is a non-parametric test — it does not rely on asymptotic normality and is valid in small samples. Third, results are consistent across four separate maturities estimated on the same 51 months, which provides internal replication. A false positive driven by small-sample noise would be unlikely to replicate consistently across four independent regressions.</w:t>
      </w:r>
    </w:p>
    <w:p w14:paraId="02648A62" w14:textId="77777777" w:rsidR="00426121" w:rsidRPr="00426121" w:rsidRDefault="00426121" w:rsidP="003234E9">
      <w:pPr>
        <w:rPr>
          <w:rFonts w:ascii="Times New Roman" w:hAnsi="Times New Roman" w:cs="Times New Roman"/>
        </w:rPr>
      </w:pPr>
    </w:p>
    <w:sectPr w:rsidR="00426121" w:rsidRPr="00426121">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54475" w14:textId="77777777" w:rsidR="00FF5842" w:rsidRDefault="00FF5842" w:rsidP="00C3610A">
      <w:pPr>
        <w:spacing w:after="0"/>
      </w:pPr>
      <w:r>
        <w:separator/>
      </w:r>
    </w:p>
  </w:endnote>
  <w:endnote w:type="continuationSeparator" w:id="0">
    <w:p w14:paraId="6E6205E7" w14:textId="77777777" w:rsidR="00FF5842" w:rsidRDefault="00FF5842" w:rsidP="00C361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9043" w14:textId="77777777" w:rsidR="00C3610A" w:rsidRDefault="00C3610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6591" w14:textId="77777777" w:rsidR="00C3610A" w:rsidRDefault="00C3610A">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6FBC" w14:textId="77777777" w:rsidR="00C3610A" w:rsidRDefault="00C3610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E907" w14:textId="77777777" w:rsidR="00FF5842" w:rsidRDefault="00FF5842" w:rsidP="00C3610A">
      <w:pPr>
        <w:spacing w:after="0"/>
      </w:pPr>
      <w:r>
        <w:separator/>
      </w:r>
    </w:p>
  </w:footnote>
  <w:footnote w:type="continuationSeparator" w:id="0">
    <w:p w14:paraId="332FBEED" w14:textId="77777777" w:rsidR="00FF5842" w:rsidRDefault="00FF5842" w:rsidP="00C361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398B" w14:textId="77777777" w:rsidR="00C3610A" w:rsidRDefault="00C3610A">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8ACE" w14:textId="77777777" w:rsidR="00C3610A" w:rsidRDefault="00C3610A">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8105" w14:textId="77777777" w:rsidR="00C3610A" w:rsidRDefault="00C3610A">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350555C"/>
    <w:multiLevelType w:val="multilevel"/>
    <w:tmpl w:val="E380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B06EB0"/>
    <w:multiLevelType w:val="multilevel"/>
    <w:tmpl w:val="33B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F7170A"/>
    <w:multiLevelType w:val="multilevel"/>
    <w:tmpl w:val="37C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C1573"/>
    <w:multiLevelType w:val="multilevel"/>
    <w:tmpl w:val="38FE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F1035C"/>
    <w:multiLevelType w:val="multilevel"/>
    <w:tmpl w:val="3A9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F2A5B"/>
    <w:multiLevelType w:val="multilevel"/>
    <w:tmpl w:val="3212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5E78B7"/>
    <w:multiLevelType w:val="multilevel"/>
    <w:tmpl w:val="A4E0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53597"/>
    <w:multiLevelType w:val="multilevel"/>
    <w:tmpl w:val="3DF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B71B28"/>
    <w:multiLevelType w:val="multilevel"/>
    <w:tmpl w:val="2514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D23E51"/>
    <w:multiLevelType w:val="multilevel"/>
    <w:tmpl w:val="E73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B7E35"/>
    <w:multiLevelType w:val="multilevel"/>
    <w:tmpl w:val="1B00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042DA"/>
    <w:multiLevelType w:val="multilevel"/>
    <w:tmpl w:val="D3AE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F7D67"/>
    <w:multiLevelType w:val="multilevel"/>
    <w:tmpl w:val="600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0A5EDF"/>
    <w:multiLevelType w:val="multilevel"/>
    <w:tmpl w:val="9CF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AE3990"/>
    <w:multiLevelType w:val="multilevel"/>
    <w:tmpl w:val="2BCA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534C5C"/>
    <w:multiLevelType w:val="multilevel"/>
    <w:tmpl w:val="39F2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9B682E"/>
    <w:multiLevelType w:val="multilevel"/>
    <w:tmpl w:val="E986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9A73BF"/>
    <w:multiLevelType w:val="multilevel"/>
    <w:tmpl w:val="93A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D4C15"/>
    <w:multiLevelType w:val="multilevel"/>
    <w:tmpl w:val="FF68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E549DC"/>
    <w:multiLevelType w:val="multilevel"/>
    <w:tmpl w:val="6E1C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0777A"/>
    <w:multiLevelType w:val="multilevel"/>
    <w:tmpl w:val="CC2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520D6A"/>
    <w:multiLevelType w:val="multilevel"/>
    <w:tmpl w:val="A99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8F182A"/>
    <w:multiLevelType w:val="multilevel"/>
    <w:tmpl w:val="6782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E66BA"/>
    <w:multiLevelType w:val="multilevel"/>
    <w:tmpl w:val="73D2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29625B"/>
    <w:multiLevelType w:val="multilevel"/>
    <w:tmpl w:val="30C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8A05A2"/>
    <w:multiLevelType w:val="multilevel"/>
    <w:tmpl w:val="6BD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AB4474"/>
    <w:multiLevelType w:val="multilevel"/>
    <w:tmpl w:val="AD2E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7B186A"/>
    <w:multiLevelType w:val="multilevel"/>
    <w:tmpl w:val="C45E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C45AC"/>
    <w:multiLevelType w:val="multilevel"/>
    <w:tmpl w:val="1EC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7A5698"/>
    <w:multiLevelType w:val="multilevel"/>
    <w:tmpl w:val="A000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650AF"/>
    <w:multiLevelType w:val="multilevel"/>
    <w:tmpl w:val="1FA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554EC"/>
    <w:multiLevelType w:val="multilevel"/>
    <w:tmpl w:val="2EF6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155039">
    <w:abstractNumId w:val="44"/>
  </w:num>
  <w:num w:numId="2" w16cid:durableId="1283071653">
    <w:abstractNumId w:val="43"/>
  </w:num>
  <w:num w:numId="3" w16cid:durableId="1938714294">
    <w:abstractNumId w:val="35"/>
  </w:num>
  <w:num w:numId="4" w16cid:durableId="910189322">
    <w:abstractNumId w:val="22"/>
  </w:num>
  <w:num w:numId="5" w16cid:durableId="1382365050">
    <w:abstractNumId w:val="34"/>
  </w:num>
  <w:num w:numId="6" w16cid:durableId="1154225981">
    <w:abstractNumId w:val="20"/>
  </w:num>
  <w:num w:numId="7" w16cid:durableId="159203391">
    <w:abstractNumId w:val="33"/>
  </w:num>
  <w:num w:numId="8" w16cid:durableId="759301122">
    <w:abstractNumId w:val="41"/>
  </w:num>
  <w:num w:numId="9" w16cid:durableId="326712444">
    <w:abstractNumId w:val="36"/>
  </w:num>
  <w:num w:numId="10" w16cid:durableId="791289466">
    <w:abstractNumId w:val="27"/>
  </w:num>
  <w:num w:numId="11" w16cid:durableId="1415323730">
    <w:abstractNumId w:val="39"/>
  </w:num>
  <w:num w:numId="12" w16cid:durableId="670570772">
    <w:abstractNumId w:val="23"/>
  </w:num>
  <w:num w:numId="13" w16cid:durableId="1177577082">
    <w:abstractNumId w:val="24"/>
  </w:num>
  <w:num w:numId="14" w16cid:durableId="97261726">
    <w:abstractNumId w:val="28"/>
  </w:num>
  <w:num w:numId="15" w16cid:durableId="1685520662">
    <w:abstractNumId w:val="21"/>
  </w:num>
  <w:num w:numId="16" w16cid:durableId="1744836118">
    <w:abstractNumId w:val="38"/>
  </w:num>
  <w:num w:numId="17" w16cid:durableId="894201331">
    <w:abstractNumId w:val="16"/>
  </w:num>
  <w:num w:numId="18" w16cid:durableId="2001226388">
    <w:abstractNumId w:val="40"/>
  </w:num>
  <w:num w:numId="19" w16cid:durableId="1411777296">
    <w:abstractNumId w:val="42"/>
  </w:num>
  <w:num w:numId="20" w16cid:durableId="1446848872">
    <w:abstractNumId w:val="26"/>
  </w:num>
  <w:num w:numId="21" w16cid:durableId="831220863">
    <w:abstractNumId w:val="29"/>
  </w:num>
  <w:num w:numId="22" w16cid:durableId="688684537">
    <w:abstractNumId w:val="19"/>
  </w:num>
  <w:num w:numId="23" w16cid:durableId="562831107">
    <w:abstractNumId w:val="25"/>
  </w:num>
  <w:num w:numId="24" w16cid:durableId="461773934">
    <w:abstractNumId w:val="47"/>
  </w:num>
  <w:num w:numId="25" w16cid:durableId="1126195922">
    <w:abstractNumId w:val="46"/>
  </w:num>
  <w:num w:numId="26" w16cid:durableId="1238056875">
    <w:abstractNumId w:val="45"/>
  </w:num>
  <w:num w:numId="27" w16cid:durableId="1684285423">
    <w:abstractNumId w:val="31"/>
  </w:num>
  <w:num w:numId="28" w16cid:durableId="235625691">
    <w:abstractNumId w:val="30"/>
  </w:num>
  <w:num w:numId="29" w16cid:durableId="672151231">
    <w:abstractNumId w:val="17"/>
  </w:num>
  <w:num w:numId="30" w16cid:durableId="1821073593">
    <w:abstractNumId w:val="18"/>
  </w:num>
  <w:num w:numId="31" w16cid:durableId="284579837">
    <w:abstractNumId w:val="37"/>
  </w:num>
  <w:num w:numId="32" w16cid:durableId="1958246824">
    <w:abstractNumId w:val="32"/>
  </w:num>
  <w:num w:numId="33" w16cid:durableId="1712266071">
    <w:abstractNumId w:val="0"/>
  </w:num>
  <w:num w:numId="34" w16cid:durableId="362177016">
    <w:abstractNumId w:val="1"/>
  </w:num>
  <w:num w:numId="35" w16cid:durableId="1106585524">
    <w:abstractNumId w:val="2"/>
  </w:num>
  <w:num w:numId="36" w16cid:durableId="1678725934">
    <w:abstractNumId w:val="3"/>
  </w:num>
  <w:num w:numId="37" w16cid:durableId="1282568387">
    <w:abstractNumId w:val="4"/>
  </w:num>
  <w:num w:numId="38" w16cid:durableId="1064642437">
    <w:abstractNumId w:val="5"/>
  </w:num>
  <w:num w:numId="39" w16cid:durableId="1153639109">
    <w:abstractNumId w:val="6"/>
  </w:num>
  <w:num w:numId="40" w16cid:durableId="248346658">
    <w:abstractNumId w:val="7"/>
  </w:num>
  <w:num w:numId="41" w16cid:durableId="155386287">
    <w:abstractNumId w:val="8"/>
  </w:num>
  <w:num w:numId="42" w16cid:durableId="1043672229">
    <w:abstractNumId w:val="9"/>
  </w:num>
  <w:num w:numId="43" w16cid:durableId="1598097592">
    <w:abstractNumId w:val="10"/>
  </w:num>
  <w:num w:numId="44" w16cid:durableId="835075663">
    <w:abstractNumId w:val="11"/>
  </w:num>
  <w:num w:numId="45" w16cid:durableId="363481406">
    <w:abstractNumId w:val="12"/>
  </w:num>
  <w:num w:numId="46" w16cid:durableId="487669546">
    <w:abstractNumId w:val="13"/>
  </w:num>
  <w:num w:numId="47" w16cid:durableId="1696619509">
    <w:abstractNumId w:val="14"/>
  </w:num>
  <w:num w:numId="48" w16cid:durableId="4320209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0A"/>
    <w:rsid w:val="00095E3B"/>
    <w:rsid w:val="000A39F8"/>
    <w:rsid w:val="000C1A73"/>
    <w:rsid w:val="002543CF"/>
    <w:rsid w:val="003234E9"/>
    <w:rsid w:val="00426121"/>
    <w:rsid w:val="004C0003"/>
    <w:rsid w:val="006821D1"/>
    <w:rsid w:val="006B7297"/>
    <w:rsid w:val="007C3A5E"/>
    <w:rsid w:val="00842077"/>
    <w:rsid w:val="0098323A"/>
    <w:rsid w:val="00A0226E"/>
    <w:rsid w:val="00A44934"/>
    <w:rsid w:val="00A75C4E"/>
    <w:rsid w:val="00A92A19"/>
    <w:rsid w:val="00AB6F23"/>
    <w:rsid w:val="00AC2054"/>
    <w:rsid w:val="00AF5435"/>
    <w:rsid w:val="00B06AAC"/>
    <w:rsid w:val="00B351DE"/>
    <w:rsid w:val="00C3610A"/>
    <w:rsid w:val="00CF0126"/>
    <w:rsid w:val="00DD2BBA"/>
    <w:rsid w:val="00E16F1B"/>
    <w:rsid w:val="00E47276"/>
    <w:rsid w:val="00E8519C"/>
    <w:rsid w:val="00F53F57"/>
    <w:rsid w:val="00FC1ADD"/>
    <w:rsid w:val="00FF58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79C5"/>
  <w15:chartTrackingRefBased/>
  <w15:docId w15:val="{64844B1C-89BF-CB4C-A158-D248E749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3610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3610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3610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3610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3610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3610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3610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3610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3610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3610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3610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3610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3610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3610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3610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3610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3610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3610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3610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3610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361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3610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3610A"/>
    <w:pPr>
      <w:spacing w:before="160"/>
      <w:jc w:val="center"/>
    </w:pPr>
    <w:rPr>
      <w:i/>
      <w:iCs/>
      <w:color w:val="404040" w:themeColor="text1" w:themeTint="BF"/>
    </w:rPr>
  </w:style>
  <w:style w:type="character" w:customStyle="1" w:styleId="Char1">
    <w:name w:val="인용 Char"/>
    <w:basedOn w:val="a0"/>
    <w:link w:val="a5"/>
    <w:uiPriority w:val="29"/>
    <w:rsid w:val="00C3610A"/>
    <w:rPr>
      <w:i/>
      <w:iCs/>
      <w:color w:val="404040" w:themeColor="text1" w:themeTint="BF"/>
    </w:rPr>
  </w:style>
  <w:style w:type="paragraph" w:styleId="a6">
    <w:name w:val="List Paragraph"/>
    <w:basedOn w:val="a"/>
    <w:uiPriority w:val="34"/>
    <w:qFormat/>
    <w:rsid w:val="00C3610A"/>
    <w:pPr>
      <w:ind w:left="720"/>
      <w:contextualSpacing/>
    </w:pPr>
  </w:style>
  <w:style w:type="character" w:styleId="a7">
    <w:name w:val="Intense Emphasis"/>
    <w:basedOn w:val="a0"/>
    <w:uiPriority w:val="21"/>
    <w:qFormat/>
    <w:rsid w:val="00C3610A"/>
    <w:rPr>
      <w:i/>
      <w:iCs/>
      <w:color w:val="0F4761" w:themeColor="accent1" w:themeShade="BF"/>
    </w:rPr>
  </w:style>
  <w:style w:type="paragraph" w:styleId="a8">
    <w:name w:val="Intense Quote"/>
    <w:basedOn w:val="a"/>
    <w:next w:val="a"/>
    <w:link w:val="Char2"/>
    <w:uiPriority w:val="30"/>
    <w:qFormat/>
    <w:rsid w:val="00C36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3610A"/>
    <w:rPr>
      <w:i/>
      <w:iCs/>
      <w:color w:val="0F4761" w:themeColor="accent1" w:themeShade="BF"/>
    </w:rPr>
  </w:style>
  <w:style w:type="character" w:styleId="a9">
    <w:name w:val="Intense Reference"/>
    <w:basedOn w:val="a0"/>
    <w:uiPriority w:val="32"/>
    <w:qFormat/>
    <w:rsid w:val="00C3610A"/>
    <w:rPr>
      <w:b/>
      <w:bCs/>
      <w:smallCaps/>
      <w:color w:val="0F4761" w:themeColor="accent1" w:themeShade="BF"/>
      <w:spacing w:val="5"/>
    </w:rPr>
  </w:style>
  <w:style w:type="paragraph" w:styleId="aa">
    <w:name w:val="Normal (Web)"/>
    <w:basedOn w:val="a"/>
    <w:uiPriority w:val="99"/>
    <w:semiHidden/>
    <w:unhideWhenUsed/>
    <w:rsid w:val="00C3610A"/>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Emphasis"/>
    <w:basedOn w:val="a0"/>
    <w:uiPriority w:val="20"/>
    <w:qFormat/>
    <w:rsid w:val="00C3610A"/>
    <w:rPr>
      <w:i/>
      <w:iCs/>
    </w:rPr>
  </w:style>
  <w:style w:type="character" w:styleId="ac">
    <w:name w:val="Strong"/>
    <w:basedOn w:val="a0"/>
    <w:uiPriority w:val="22"/>
    <w:qFormat/>
    <w:rsid w:val="00C3610A"/>
    <w:rPr>
      <w:b/>
      <w:bCs/>
    </w:rPr>
  </w:style>
  <w:style w:type="character" w:styleId="HTML">
    <w:name w:val="HTML Code"/>
    <w:basedOn w:val="a0"/>
    <w:uiPriority w:val="99"/>
    <w:semiHidden/>
    <w:unhideWhenUsed/>
    <w:rsid w:val="00C3610A"/>
    <w:rPr>
      <w:rFonts w:ascii="굴림체" w:eastAsia="굴림체" w:hAnsi="굴림체" w:cs="굴림체"/>
      <w:sz w:val="24"/>
      <w:szCs w:val="24"/>
    </w:rPr>
  </w:style>
  <w:style w:type="paragraph" w:styleId="ad">
    <w:name w:val="header"/>
    <w:basedOn w:val="a"/>
    <w:link w:val="Char3"/>
    <w:uiPriority w:val="99"/>
    <w:unhideWhenUsed/>
    <w:rsid w:val="00C3610A"/>
    <w:pPr>
      <w:tabs>
        <w:tab w:val="center" w:pos="4513"/>
        <w:tab w:val="right" w:pos="9026"/>
      </w:tabs>
      <w:snapToGrid w:val="0"/>
    </w:pPr>
  </w:style>
  <w:style w:type="character" w:customStyle="1" w:styleId="Char3">
    <w:name w:val="머리글 Char"/>
    <w:basedOn w:val="a0"/>
    <w:link w:val="ad"/>
    <w:uiPriority w:val="99"/>
    <w:rsid w:val="00C3610A"/>
  </w:style>
  <w:style w:type="paragraph" w:styleId="ae">
    <w:name w:val="footer"/>
    <w:basedOn w:val="a"/>
    <w:link w:val="Char4"/>
    <w:uiPriority w:val="99"/>
    <w:unhideWhenUsed/>
    <w:rsid w:val="00C3610A"/>
    <w:pPr>
      <w:tabs>
        <w:tab w:val="center" w:pos="4513"/>
        <w:tab w:val="right" w:pos="9026"/>
      </w:tabs>
      <w:snapToGrid w:val="0"/>
    </w:pPr>
  </w:style>
  <w:style w:type="character" w:customStyle="1" w:styleId="Char4">
    <w:name w:val="바닥글 Char"/>
    <w:basedOn w:val="a0"/>
    <w:link w:val="ae"/>
    <w:uiPriority w:val="99"/>
    <w:rsid w:val="00C3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5D7863-4974-8E4D-B344-7A37939EAF48}">
  <we:reference id="WA200010453" version="1.0.0.1" store="Omex" storeType="OMEX"/>
  <we:alternateReferences>
    <we:reference id="WA200010453" version="1.0.0.1" store="WA200010453" storeType="OMEX"/>
  </we:alternateReferences>
  <we:properties>
    <we:property name="claude.fileId" value="&quot;a0189869-d377-4ceb-9c83-8694827632c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18</Pages>
  <Words>7820</Words>
  <Characters>41921</Characters>
  <Application>Microsoft Office Word</Application>
  <DocSecurity>0</DocSecurity>
  <Lines>806</Lines>
  <Paragraphs>414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김미르</dc:creator>
  <cp:keywords/>
  <dc:description/>
  <cp:lastModifiedBy>김미르</cp:lastModifiedBy>
  <cp:revision>4</cp:revision>
  <cp:lastPrinted>2026-06-02T14:55:00Z</cp:lastPrinted>
  <dcterms:created xsi:type="dcterms:W3CDTF">2026-06-02T14:52:00Z</dcterms:created>
  <dcterms:modified xsi:type="dcterms:W3CDTF">2026-06-13T09:42:00Z</dcterms:modified>
</cp:coreProperties>
</file>