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val="0"/>
          <w:sz w:val="24"/>
        </w:rPr>
        <w:t>Jade Zhu (2026846114)</w:t>
      </w:r>
    </w:p>
    <w:p>
      <w:pPr>
        <w:spacing w:after="60"/>
        <w:jc w:val="center"/>
      </w:pPr>
      <w:r>
        <w:rPr>
          <w:rFonts w:ascii="Times New Roman" w:hAnsi="Times New Roman"/>
          <w:b w:val="0"/>
          <w:i w:val="0"/>
          <w:sz w:val="24"/>
        </w:rPr>
        <w:t>Alexandre Godefroy (2026846111)</w:t>
      </w:r>
    </w:p>
    <w:p>
      <w:pPr>
        <w:spacing w:after="60"/>
        <w:jc w:val="center"/>
      </w:pPr>
      <w:r>
        <w:rPr>
          <w:rFonts w:ascii="Times New Roman" w:hAnsi="Times New Roman"/>
          <w:b w:val="0"/>
          <w:i w:val="0"/>
          <w:sz w:val="24"/>
        </w:rPr>
        <w:t>Baptiste Degand (2026847313)</w:t>
      </w:r>
    </w:p>
    <w:p>
      <w:pPr>
        <w:spacing w:after="60"/>
        <w:jc w:val="center"/>
      </w:pPr>
      <w:r>
        <w:rPr>
          <w:rFonts w:ascii="Times New Roman" w:hAnsi="Times New Roman"/>
          <w:b w:val="0"/>
          <w:i w:val="0"/>
          <w:sz w:val="24"/>
        </w:rPr>
        <w:t>Minjin Kim (2025461111)</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June 2026</w:t>
      </w:r>
    </w:p>
    <w:p>
      <w:pPr>
        <w:spacing w:after="120"/>
        <w:jc w:val="center"/>
      </w:pPr>
      <w:r>
        <w:rPr>
          <w:rFonts w:ascii="Times New Roman" w:hAnsi="Times New Roman"/>
          <w:b/>
          <w:i w:val="0"/>
          <w:sz w:val="22"/>
        </w:rPr>
        <w:t xml:space="preserve">JEL Classification: </w:t>
      </w:r>
      <w:r>
        <w:rPr>
          <w:rFonts w:ascii="Times New Roman" w:hAnsi="Times New Roman"/>
          <w:b w:val="0"/>
          <w:i w:val="0"/>
          <w:sz w:val="22"/>
        </w:rPr>
        <w:t>E44, F31, G12, G18, G23</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−7.57, p = 0.004),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0.406, 90% CI: [3.1%, 14.5%]), below which supply growth compresses spreads more strongly (β_ΔlnS = −2.80 vs. +1.63 above). Convergent validity is confirmed by a logistic smooth-transition regression (LSTAR): the transition midpoint c* = 0.1490 is virtually identical to Hansen's q* = 0.1301, and the moderate-sharpness parameter (γ* = 29.8)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supply-growth volatility (7-day rolling standard deviation of daily supply log-changes),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−7.57 (p = 0.004),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0.1490), which independently locates the same tipping point. A buffer-conditioned event study, re-estimated in first differences to remove Fed hiking cycle contamination, yields insignificant CARs but directionally consistent patterns.</w:t>
      </w:r>
    </w:p>
    <w:p>
      <w:pPr>
        <w:spacing w:before="80" w:after="80"/>
        <w:ind w:left="567" w:right="567"/>
      </w:pPr>
      <w:r>
        <w:rPr>
          <w:rFonts w:ascii="Times New Roman" w:hAnsi="Times New Roman"/>
          <w:b/>
          <w:i w:val="0"/>
          <w:sz w:val="22"/>
        </w:rPr>
        <w:t xml:space="preserve">H1 (Privilege Amplification): </w:t>
      </w:r>
      <w:r>
        <w:rPr>
          <w:rFonts w:ascii="Times New Roman" w:hAnsi="Times New Roman"/>
          <w:b w:val="0"/>
          <w:i w:val="0"/>
          <w:sz w:val="22"/>
        </w:rPr>
        <w:t>Stablecoin supply growth compresses OIS–Treasury spreads in normal times (β₁ &lt; 0).</w:t>
      </w:r>
    </w:p>
    <w:p>
      <w:pPr>
        <w:spacing w:before="80" w:after="240"/>
        <w:ind w:left="567" w:right="567"/>
      </w:pPr>
      <w:r>
        <w:rPr>
          <w:rFonts w:ascii="Times New Roman" w:hAnsi="Times New Roman"/>
          <w:b/>
          <w:i w:val="0"/>
          <w:sz w:val="22"/>
        </w:rPr>
        <w:t xml:space="preserve">H2 (Reserve Adequacy Threshold): </w:t>
      </w:r>
      <w:r>
        <w:rPr>
          <w:rFonts w:ascii="Times New Roman" w:hAnsi="Times New Roman"/>
          <w:b w:val="0"/>
          <w:i w:val="0"/>
          <w:sz w:val="22"/>
        </w:rPr>
        <w:t>There exists a threshold L* such that below L*, stablecoin supply growth produces more adverse spread dynamics; above L*, liquid buffer absorption attenuates the crisis transmission.</w:t>
      </w:r>
    </w:p>
    <w:p>
      <w:pPr>
        <w:spacing w:before="0" w:after="200"/>
      </w:pPr>
      <w:r>
        <w:rPr>
          <w:rFonts w:ascii="Times New Roman" w:hAnsi="Times New Roman"/>
          <w:b w:val="0"/>
          <w:i w:val="0"/>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16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0" w:after="160"/>
      </w:pPr>
      <w:r>
        <w:rPr>
          <w:rFonts w:ascii="Times New Roman" w:hAnsi="Times New Roman"/>
          <w:b w:val="0"/>
          <w:i w:val="0"/>
          <w:sz w:val="24"/>
        </w:rPr>
        <w:t>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pPr>
        <w:spacing w:before="0" w:after="200"/>
      </w:pPr>
      <w:r>
        <w:rPr>
          <w:rFonts w:ascii="Times New Roman" w:hAnsi="Times New Roman"/>
          <w:b w:val="0"/>
          <w:i w:val="0"/>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(−2.80 below L* vs. +1.63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80"/>
      </w:pPr>
      <w:r>
        <w:rPr>
          <w:rFonts w:ascii="Times New Roman" w:hAnsi="Times New Roman"/>
          <w:b w:val="0"/>
          <w:i w:val="0"/>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w:t>
      </w:r>
    </w:p>
    <w:p>
      <w:pPr>
        <w:spacing w:before="0" w:after="160"/>
      </w:pPr>
      <w:r>
        <w:rPr>
          <w:rFonts w:ascii="Times New Roman" w:hAnsi="Times New Roman"/>
          <w:b w:val="0"/>
          <w:i w:val="0"/>
          <w:sz w:val="24"/>
        </w:rPr>
        <w:t xml:space="preserve">All data, code, and replication materials are publicly available at: </w:t>
      </w: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45"/>
            <w:shd w:val="clear" w:color="auto" w:fill="EBF3FB"/>
          </w:tcPr>
          <w:p>
            <w:pPr>
              <w:jc w:val="left"/>
            </w:pPr>
            <w:r/>
            <w:r>
              <w:rPr>
                <w:rFonts w:ascii="Times New Roman" w:hAnsi="Times New Roman"/>
                <w:b w:val="0"/>
                <w:i w:val="0"/>
                <w:sz w:val="18"/>
              </w:rPr>
              <w:t>OIS–Treasury spread (pp)</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0.166</w:t>
            </w:r>
          </w:p>
        </w:tc>
        <w:tc>
          <w:tcPr>
            <w:tcW w:type="dxa" w:w="945"/>
            <w:shd w:val="clear" w:color="auto" w:fill="EBF3FB"/>
          </w:tcPr>
          <w:p>
            <w:pPr>
              <w:jc w:val="center"/>
            </w:pPr>
            <w:r/>
            <w:r>
              <w:rPr>
                <w:rFonts w:ascii="Times New Roman" w:hAnsi="Times New Roman"/>
                <w:b w:val="0"/>
                <w:i w:val="0"/>
                <w:sz w:val="18"/>
              </w:rPr>
              <w:t>0.227</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0.132</w:t>
            </w:r>
          </w:p>
        </w:tc>
        <w:tc>
          <w:tcPr>
            <w:tcW w:type="dxa" w:w="945"/>
            <w:shd w:val="clear" w:color="auto" w:fill="EBF3FB"/>
          </w:tcPr>
          <w:p>
            <w:pPr>
              <w:jc w:val="center"/>
            </w:pPr>
            <w:r/>
            <w:r>
              <w:rPr>
                <w:rFonts w:ascii="Times New Roman" w:hAnsi="Times New Roman"/>
                <w:b w:val="0"/>
                <w:i w:val="0"/>
                <w:sz w:val="18"/>
              </w:rPr>
              <w:t>0.272</w:t>
            </w:r>
          </w:p>
        </w:tc>
        <w:tc>
          <w:tcPr>
            <w:tcW w:type="dxa" w:w="945"/>
            <w:shd w:val="clear" w:color="auto" w:fill="EBF3FB"/>
          </w:tcPr>
          <w:p>
            <w:pPr>
              <w:jc w:val="center"/>
            </w:pPr>
            <w:r/>
            <w:r>
              <w:rPr>
                <w:rFonts w:ascii="Times New Roman" w:hAnsi="Times New Roman"/>
                <w:b w:val="0"/>
                <w:i w:val="0"/>
                <w:sz w:val="18"/>
              </w:rPr>
              <w:t>0.792</w:t>
            </w:r>
          </w:p>
        </w:tc>
      </w:tr>
      <w:tr>
        <w:tc>
          <w:tcPr>
            <w:tcW w:type="dxa" w:w="945"/>
            <w:shd w:val="clear" w:color="auto" w:fill="FFFFFF"/>
          </w:tcPr>
          <w:p>
            <w:pPr>
              <w:jc w:val="left"/>
            </w:pPr>
            <w:r/>
            <w:r>
              <w:rPr>
                <w:rFonts w:ascii="Times New Roman" w:hAnsi="Times New Roman"/>
                <w:b w:val="0"/>
                <w:i w:val="0"/>
                <w:sz w:val="18"/>
              </w:rPr>
              <w:t>ΔlnS  (monthly log-change in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0.013</w:t>
            </w:r>
          </w:p>
        </w:tc>
        <w:tc>
          <w:tcPr>
            <w:tcW w:type="dxa" w:w="945"/>
            <w:shd w:val="clear" w:color="auto" w:fill="FFFFFF"/>
          </w:tcPr>
          <w:p>
            <w:pPr>
              <w:jc w:val="center"/>
            </w:pPr>
            <w:r/>
            <w:r>
              <w:rPr>
                <w:rFonts w:ascii="Times New Roman" w:hAnsi="Times New Roman"/>
                <w:b w:val="0"/>
                <w:i w:val="0"/>
                <w:sz w:val="18"/>
              </w:rPr>
              <w:t>0.040</w:t>
            </w:r>
          </w:p>
        </w:tc>
        <w:tc>
          <w:tcPr>
            <w:tcW w:type="dxa" w:w="945"/>
            <w:shd w:val="clear" w:color="auto" w:fill="FFFFFF"/>
          </w:tcPr>
          <w:p>
            <w:pPr>
              <w:jc w:val="center"/>
            </w:pPr>
            <w:r/>
            <w:r>
              <w:rPr>
                <w:rFonts w:ascii="Times New Roman" w:hAnsi="Times New Roman"/>
                <w:b w:val="0"/>
                <w:i w:val="0"/>
                <w:sz w:val="18"/>
              </w:rPr>
              <w:t>−0.163</w:t>
            </w:r>
          </w:p>
        </w:tc>
        <w:tc>
          <w:tcPr>
            <w:tcW w:type="dxa" w:w="945"/>
            <w:shd w:val="clear" w:color="auto" w:fill="FFFFFF"/>
          </w:tcPr>
          <w:p>
            <w:pPr>
              <w:jc w:val="center"/>
            </w:pPr>
            <w:r/>
            <w:r>
              <w:rPr>
                <w:rFonts w:ascii="Times New Roman" w:hAnsi="Times New Roman"/>
                <w:b w:val="0"/>
                <w:i w:val="0"/>
                <w:sz w:val="18"/>
              </w:rPr>
              <w:t>−0.008</w:t>
            </w:r>
          </w:p>
        </w:tc>
        <w:tc>
          <w:tcPr>
            <w:tcW w:type="dxa" w:w="945"/>
            <w:shd w:val="clear" w:color="auto" w:fill="FFFFFF"/>
          </w:tcPr>
          <w:p>
            <w:pPr>
              <w:jc w:val="center"/>
            </w:pPr>
            <w:r/>
            <w:r>
              <w:rPr>
                <w:rFonts w:ascii="Times New Roman" w:hAnsi="Times New Roman"/>
                <w:b w:val="0"/>
                <w:i w:val="0"/>
                <w:sz w:val="18"/>
              </w:rPr>
              <w:t>0.010</w:t>
            </w:r>
          </w:p>
        </w:tc>
        <w:tc>
          <w:tcPr>
            <w:tcW w:type="dxa" w:w="945"/>
            <w:shd w:val="clear" w:color="auto" w:fill="FFFFFF"/>
          </w:tcPr>
          <w:p>
            <w:pPr>
              <w:jc w:val="center"/>
            </w:pPr>
            <w:r/>
            <w:r>
              <w:rPr>
                <w:rFonts w:ascii="Times New Roman" w:hAnsi="Times New Roman"/>
                <w:b w:val="0"/>
                <w:i w:val="0"/>
                <w:sz w:val="18"/>
              </w:rPr>
              <w:t>0.036</w:t>
            </w:r>
          </w:p>
        </w:tc>
        <w:tc>
          <w:tcPr>
            <w:tcW w:type="dxa" w:w="945"/>
            <w:shd w:val="clear" w:color="auto" w:fill="FFFFFF"/>
          </w:tcPr>
          <w:p>
            <w:pPr>
              <w:jc w:val="center"/>
            </w:pPr>
            <w:r/>
            <w:r>
              <w:rPr>
                <w:rFonts w:ascii="Times New Roman" w:hAnsi="Times New Roman"/>
                <w:b w:val="0"/>
                <w:i w:val="0"/>
                <w:sz w:val="18"/>
              </w:rPr>
              <w:t>0.117</w:t>
            </w:r>
          </w:p>
        </w:tc>
      </w:tr>
      <w:tr>
        <w:tc>
          <w:tcPr>
            <w:tcW w:type="dxa" w:w="945"/>
            <w:shd w:val="clear" w:color="auto" w:fill="EBF3FB"/>
          </w:tcPr>
          <w:p>
            <w:pPr>
              <w:jc w:val="left"/>
            </w:pPr>
            <w:r/>
            <w:r>
              <w:rPr>
                <w:rFonts w:ascii="Times New Roman" w:hAnsi="Times New Roman"/>
                <w:b w:val="0"/>
                <w:i w:val="0"/>
                <w:sz w:val="18"/>
              </w:rPr>
              <w:t>θ  (Treasury Exposure = T-bills /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0.371</w:t>
            </w:r>
          </w:p>
        </w:tc>
        <w:tc>
          <w:tcPr>
            <w:tcW w:type="dxa" w:w="945"/>
            <w:shd w:val="clear" w:color="auto" w:fill="EBF3FB"/>
          </w:tcPr>
          <w:p>
            <w:pPr>
              <w:jc w:val="center"/>
            </w:pPr>
            <w:r/>
            <w:r>
              <w:rPr>
                <w:rFonts w:ascii="Times New Roman" w:hAnsi="Times New Roman"/>
                <w:b w:val="0"/>
                <w:i w:val="0"/>
                <w:sz w:val="18"/>
              </w:rPr>
              <w:t>0.253</w:t>
            </w:r>
          </w:p>
        </w:tc>
        <w:tc>
          <w:tcPr>
            <w:tcW w:type="dxa" w:w="945"/>
            <w:shd w:val="clear" w:color="auto" w:fill="EBF3FB"/>
          </w:tcPr>
          <w:p>
            <w:pPr>
              <w:jc w:val="center"/>
            </w:pPr>
            <w:r/>
            <w:r>
              <w:rPr>
                <w:rFonts w:ascii="Times New Roman" w:hAnsi="Times New Roman"/>
                <w:b w:val="0"/>
                <w:i w:val="0"/>
                <w:sz w:val="18"/>
              </w:rPr>
              <w:t>0.000</w:t>
            </w:r>
          </w:p>
        </w:tc>
        <w:tc>
          <w:tcPr>
            <w:tcW w:type="dxa" w:w="945"/>
            <w:shd w:val="clear" w:color="auto" w:fill="EBF3FB"/>
          </w:tcPr>
          <w:p>
            <w:pPr>
              <w:jc w:val="center"/>
            </w:pPr>
            <w:r/>
            <w:r>
              <w:rPr>
                <w:rFonts w:ascii="Times New Roman" w:hAnsi="Times New Roman"/>
                <w:b w:val="0"/>
                <w:i w:val="0"/>
                <w:sz w:val="18"/>
              </w:rPr>
              <w:t>0.259</w:t>
            </w:r>
          </w:p>
        </w:tc>
        <w:tc>
          <w:tcPr>
            <w:tcW w:type="dxa" w:w="945"/>
            <w:shd w:val="clear" w:color="auto" w:fill="EBF3FB"/>
          </w:tcPr>
          <w:p>
            <w:pPr>
              <w:jc w:val="center"/>
            </w:pPr>
            <w:r/>
            <w:r>
              <w:rPr>
                <w:rFonts w:ascii="Times New Roman" w:hAnsi="Times New Roman"/>
                <w:b w:val="0"/>
                <w:i w:val="0"/>
                <w:sz w:val="18"/>
              </w:rPr>
              <w:t>0.391</w:t>
            </w:r>
          </w:p>
        </w:tc>
        <w:tc>
          <w:tcPr>
            <w:tcW w:type="dxa" w:w="945"/>
            <w:shd w:val="clear" w:color="auto" w:fill="EBF3FB"/>
          </w:tcPr>
          <w:p>
            <w:pPr>
              <w:jc w:val="center"/>
            </w:pPr>
            <w:r/>
            <w:r>
              <w:rPr>
                <w:rFonts w:ascii="Times New Roman" w:hAnsi="Times New Roman"/>
                <w:b w:val="0"/>
                <w:i w:val="0"/>
                <w:sz w:val="18"/>
              </w:rPr>
              <w:t>0.534</w:t>
            </w:r>
          </w:p>
        </w:tc>
        <w:tc>
          <w:tcPr>
            <w:tcW w:type="dxa" w:w="945"/>
            <w:shd w:val="clear" w:color="auto" w:fill="EBF3FB"/>
          </w:tcPr>
          <w:p>
            <w:pPr>
              <w:jc w:val="center"/>
            </w:pPr>
            <w:r/>
            <w:r>
              <w:rPr>
                <w:rFonts w:ascii="Times New Roman" w:hAnsi="Times New Roman"/>
                <w:b w:val="0"/>
                <w:i w:val="0"/>
                <w:sz w:val="18"/>
              </w:rPr>
              <w:t>0.830</w:t>
            </w:r>
          </w:p>
        </w:tc>
      </w:tr>
      <w:tr>
        <w:tc>
          <w:tcPr>
            <w:tcW w:type="dxa" w:w="945"/>
            <w:shd w:val="clear" w:color="auto" w:fill="FFFFFF"/>
          </w:tcPr>
          <w:p>
            <w:pPr>
              <w:jc w:val="left"/>
            </w:pPr>
            <w:r/>
            <w:r>
              <w:rPr>
                <w:rFonts w:ascii="Times New Roman" w:hAnsi="Times New Roman"/>
                <w:b w:val="0"/>
                <w:i w:val="0"/>
                <w:sz w:val="18"/>
              </w:rPr>
              <w:t>L  (Liquid Buffer = cash reserves /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0.085</w:t>
            </w:r>
          </w:p>
        </w:tc>
        <w:tc>
          <w:tcPr>
            <w:tcW w:type="dxa" w:w="945"/>
            <w:shd w:val="clear" w:color="auto" w:fill="FFFFFF"/>
          </w:tcPr>
          <w:p>
            <w:pPr>
              <w:jc w:val="center"/>
            </w:pPr>
            <w:r/>
            <w:r>
              <w:rPr>
                <w:rFonts w:ascii="Times New Roman" w:hAnsi="Times New Roman"/>
                <w:b w:val="0"/>
                <w:i w:val="0"/>
                <w:sz w:val="18"/>
              </w:rPr>
              <w:t>0.064</w:t>
            </w:r>
          </w:p>
        </w:tc>
        <w:tc>
          <w:tcPr>
            <w:tcW w:type="dxa" w:w="945"/>
            <w:shd w:val="clear" w:color="auto" w:fill="FFFFFF"/>
          </w:tcPr>
          <w:p>
            <w:pPr>
              <w:jc w:val="center"/>
            </w:pPr>
            <w:r/>
            <w:r>
              <w:rPr>
                <w:rFonts w:ascii="Times New Roman" w:hAnsi="Times New Roman"/>
                <w:b w:val="0"/>
                <w:i w:val="0"/>
                <w:sz w:val="18"/>
              </w:rPr>
              <w:t>0.000</w:t>
            </w:r>
          </w:p>
        </w:tc>
        <w:tc>
          <w:tcPr>
            <w:tcW w:type="dxa" w:w="945"/>
            <w:shd w:val="clear" w:color="auto" w:fill="FFFFFF"/>
          </w:tcPr>
          <w:p>
            <w:pPr>
              <w:jc w:val="center"/>
            </w:pPr>
            <w:r/>
            <w:r>
              <w:rPr>
                <w:rFonts w:ascii="Times New Roman" w:hAnsi="Times New Roman"/>
                <w:b w:val="0"/>
                <w:i w:val="0"/>
                <w:sz w:val="18"/>
              </w:rPr>
              <w:t>0.026</w:t>
            </w:r>
          </w:p>
        </w:tc>
        <w:tc>
          <w:tcPr>
            <w:tcW w:type="dxa" w:w="945"/>
            <w:shd w:val="clear" w:color="auto" w:fill="FFFFFF"/>
          </w:tcPr>
          <w:p>
            <w:pPr>
              <w:jc w:val="center"/>
            </w:pPr>
            <w:r/>
            <w:r>
              <w:rPr>
                <w:rFonts w:ascii="Times New Roman" w:hAnsi="Times New Roman"/>
                <w:b w:val="0"/>
                <w:i w:val="0"/>
                <w:sz w:val="18"/>
              </w:rPr>
              <w:t>0.092</w:t>
            </w:r>
          </w:p>
        </w:tc>
        <w:tc>
          <w:tcPr>
            <w:tcW w:type="dxa" w:w="945"/>
            <w:shd w:val="clear" w:color="auto" w:fill="FFFFFF"/>
          </w:tcPr>
          <w:p>
            <w:pPr>
              <w:jc w:val="center"/>
            </w:pPr>
            <w:r/>
            <w:r>
              <w:rPr>
                <w:rFonts w:ascii="Times New Roman" w:hAnsi="Times New Roman"/>
                <w:b w:val="0"/>
                <w:i w:val="0"/>
                <w:sz w:val="18"/>
              </w:rPr>
              <w:t>0.131</w:t>
            </w:r>
          </w:p>
        </w:tc>
        <w:tc>
          <w:tcPr>
            <w:tcW w:type="dxa" w:w="945"/>
            <w:shd w:val="clear" w:color="auto" w:fill="FFFFFF"/>
          </w:tcPr>
          <w:p>
            <w:pPr>
              <w:jc w:val="center"/>
            </w:pPr>
            <w:r/>
            <w:r>
              <w:rPr>
                <w:rFonts w:ascii="Times New Roman" w:hAnsi="Times New Roman"/>
                <w:b w:val="0"/>
                <w:i w:val="0"/>
                <w:sz w:val="18"/>
              </w:rPr>
              <w:t>0.223</w:t>
            </w:r>
          </w:p>
        </w:tc>
      </w:tr>
      <w:tr>
        <w:tc>
          <w:tcPr>
            <w:tcW w:type="dxa" w:w="945"/>
            <w:shd w:val="clear" w:color="auto" w:fill="EBF3FB"/>
          </w:tcPr>
          <w:p>
            <w:pPr>
              <w:jc w:val="left"/>
            </w:pPr>
            <w:r/>
            <w:r>
              <w:rPr>
                <w:rFonts w:ascii="Times New Roman" w:hAnsi="Times New Roman"/>
                <w:b w:val="0"/>
                <w:i w:val="0"/>
                <w:sz w:val="18"/>
              </w:rPr>
              <w:t>V  (supply-growth volatility, 7-day rolling SD of Δ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0.011</w:t>
            </w:r>
          </w:p>
        </w:tc>
      </w:tr>
      <w:tr>
        <w:tc>
          <w:tcPr>
            <w:tcW w:type="dxa" w:w="945"/>
            <w:shd w:val="clear" w:color="auto" w:fill="FFFFFF"/>
          </w:tcPr>
          <w:p>
            <w:pPr>
              <w:jc w:val="left"/>
            </w:pPr>
            <w:r/>
            <w:r>
              <w:rPr>
                <w:rFonts w:ascii="Times New Roman" w:hAnsi="Times New Roman"/>
                <w:b w:val="0"/>
                <w:i w:val="0"/>
                <w:sz w:val="18"/>
              </w:rPr>
              <w:t>VIX</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19.26</w:t>
            </w:r>
          </w:p>
        </w:tc>
        <w:tc>
          <w:tcPr>
            <w:tcW w:type="dxa" w:w="945"/>
            <w:shd w:val="clear" w:color="auto" w:fill="FFFFFF"/>
          </w:tcPr>
          <w:p>
            <w:pPr>
              <w:jc w:val="center"/>
            </w:pPr>
            <w:r/>
            <w:r>
              <w:rPr>
                <w:rFonts w:ascii="Times New Roman" w:hAnsi="Times New Roman"/>
                <w:b w:val="0"/>
                <w:i w:val="0"/>
                <w:sz w:val="18"/>
              </w:rPr>
              <w:t>5.03</w:t>
            </w:r>
          </w:p>
        </w:tc>
        <w:tc>
          <w:tcPr>
            <w:tcW w:type="dxa" w:w="945"/>
            <w:shd w:val="clear" w:color="auto" w:fill="FFFFFF"/>
          </w:tcPr>
          <w:p>
            <w:pPr>
              <w:jc w:val="center"/>
            </w:pPr>
            <w:r/>
            <w:r>
              <w:rPr>
                <w:rFonts w:ascii="Times New Roman" w:hAnsi="Times New Roman"/>
                <w:b w:val="0"/>
                <w:i w:val="0"/>
                <w:sz w:val="18"/>
              </w:rPr>
              <w:t>12.67</w:t>
            </w:r>
          </w:p>
        </w:tc>
        <w:tc>
          <w:tcPr>
            <w:tcW w:type="dxa" w:w="945"/>
            <w:shd w:val="clear" w:color="auto" w:fill="FFFFFF"/>
          </w:tcPr>
          <w:p>
            <w:pPr>
              <w:jc w:val="center"/>
            </w:pPr>
            <w:r/>
            <w:r>
              <w:rPr>
                <w:rFonts w:ascii="Times New Roman" w:hAnsi="Times New Roman"/>
                <w:b w:val="0"/>
                <w:i w:val="0"/>
                <w:sz w:val="18"/>
              </w:rPr>
              <w:t>15.60</w:t>
            </w:r>
          </w:p>
        </w:tc>
        <w:tc>
          <w:tcPr>
            <w:tcW w:type="dxa" w:w="945"/>
            <w:shd w:val="clear" w:color="auto" w:fill="FFFFFF"/>
          </w:tcPr>
          <w:p>
            <w:pPr>
              <w:jc w:val="center"/>
            </w:pPr>
            <w:r/>
            <w:r>
              <w:rPr>
                <w:rFonts w:ascii="Times New Roman" w:hAnsi="Times New Roman"/>
                <w:b w:val="0"/>
                <w:i w:val="0"/>
                <w:sz w:val="18"/>
              </w:rPr>
              <w:t>18.29</w:t>
            </w:r>
          </w:p>
        </w:tc>
        <w:tc>
          <w:tcPr>
            <w:tcW w:type="dxa" w:w="945"/>
            <w:shd w:val="clear" w:color="auto" w:fill="FFFFFF"/>
          </w:tcPr>
          <w:p>
            <w:pPr>
              <w:jc w:val="center"/>
            </w:pPr>
            <w:r/>
            <w:r>
              <w:rPr>
                <w:rFonts w:ascii="Times New Roman" w:hAnsi="Times New Roman"/>
                <w:b w:val="0"/>
                <w:i w:val="0"/>
                <w:sz w:val="18"/>
              </w:rPr>
              <w:t>21.98</w:t>
            </w:r>
          </w:p>
        </w:tc>
        <w:tc>
          <w:tcPr>
            <w:tcW w:type="dxa" w:w="945"/>
            <w:shd w:val="clear" w:color="auto" w:fill="FFFFFF"/>
          </w:tcPr>
          <w:p>
            <w:pPr>
              <w:jc w:val="center"/>
            </w:pPr>
            <w:r/>
            <w:r>
              <w:rPr>
                <w:rFonts w:ascii="Times New Roman" w:hAnsi="Times New Roman"/>
                <w:b w:val="0"/>
                <w:i w:val="0"/>
                <w:sz w:val="18"/>
              </w:rPr>
              <w:t>32.52</w:t>
            </w:r>
          </w:p>
        </w:tc>
      </w:tr>
      <w:tr>
        <w:tc>
          <w:tcPr>
            <w:tcW w:type="dxa" w:w="945"/>
            <w:shd w:val="clear" w:color="auto" w:fill="EBF3FB"/>
          </w:tcPr>
          <w:p>
            <w:pPr>
              <w:jc w:val="left"/>
            </w:pPr>
            <w:r/>
            <w:r>
              <w:rPr>
                <w:rFonts w:ascii="Times New Roman" w:hAnsi="Times New Roman"/>
                <w:b w:val="0"/>
                <w:i w:val="0"/>
                <w:sz w:val="18"/>
              </w:rPr>
              <w:t>ΔlnN*  (RoW equity log-change)</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0.009</w:t>
            </w:r>
          </w:p>
        </w:tc>
        <w:tc>
          <w:tcPr>
            <w:tcW w:type="dxa" w:w="945"/>
            <w:shd w:val="clear" w:color="auto" w:fill="EBF3FB"/>
          </w:tcPr>
          <w:p>
            <w:pPr>
              <w:jc w:val="center"/>
            </w:pPr>
            <w:r/>
            <w:r>
              <w:rPr>
                <w:rFonts w:ascii="Times New Roman" w:hAnsi="Times New Roman"/>
                <w:b w:val="0"/>
                <w:i w:val="0"/>
                <w:sz w:val="18"/>
              </w:rPr>
              <w:t>0.082</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−0.032</w:t>
            </w:r>
          </w:p>
        </w:tc>
        <w:tc>
          <w:tcPr>
            <w:tcW w:type="dxa" w:w="945"/>
            <w:shd w:val="clear" w:color="auto" w:fill="EBF3FB"/>
          </w:tcPr>
          <w:p>
            <w:pPr>
              <w:jc w:val="center"/>
            </w:pPr>
            <w:r/>
            <w:r>
              <w:rPr>
                <w:rFonts w:ascii="Times New Roman" w:hAnsi="Times New Roman"/>
                <w:b w:val="0"/>
                <w:i w:val="0"/>
                <w:sz w:val="18"/>
              </w:rPr>
              <w:t>0.012</w:t>
            </w:r>
          </w:p>
        </w:tc>
        <w:tc>
          <w:tcPr>
            <w:tcW w:type="dxa" w:w="945"/>
            <w:shd w:val="clear" w:color="auto" w:fill="EBF3FB"/>
          </w:tcPr>
          <w:p>
            <w:pPr>
              <w:jc w:val="center"/>
            </w:pPr>
            <w:r/>
            <w:r>
              <w:rPr>
                <w:rFonts w:ascii="Times New Roman" w:hAnsi="Times New Roman"/>
                <w:b w:val="0"/>
                <w:i w:val="0"/>
                <w:sz w:val="18"/>
              </w:rPr>
              <w:t>0.053</w:t>
            </w:r>
          </w:p>
        </w:tc>
        <w:tc>
          <w:tcPr>
            <w:tcW w:type="dxa" w:w="945"/>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b w:val="0"/>
          <w:i/>
          <w:sz w:val="18"/>
        </w:rPr>
        <w:t>Note: Monthly observations, January 2022 – March 2026 (N = 51). Spread = DGS3MO minus overnight SOFR. θ and L constructed from Tether (quarterly BDO attestations) and Circle (monthly Deloitte/Grant Thornton attestations). V and ΔlnN* are in natural units.</w:t>
      </w:r>
      <w:r>
        <w:rPr>
          <w:rFonts w:ascii="Times New Roman" w:hAnsi="Times New Roman"/>
          <w:b/>
          <w:i w:val="0"/>
          <w:sz w:val="16"/>
          <w:vertAlign w:val="superscript"/>
        </w:rPr>
        <w:t xml:space="preserve"> [1,2]</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liquid buffer L (cash reserves / supply) with threshold q* = 0.1301 marked. Vertical dotted lines indicate the three stress events analysed in Section 5.4.</w:t>
      </w:r>
      <w:r>
        <w:rPr>
          <w:rFonts w:ascii="Times New Roman" w:hAnsi="Times New Roman"/>
          <w:b/>
          <w:i w:val="0"/>
          <w:sz w:val="16"/>
          <w:vertAlign w:val="superscript"/>
        </w:rPr>
        <w:t xml:space="preserve"> [11]</w:t>
      </w:r>
    </w:p>
    <w:p/>
    <w:p>
      <w:pPr>
        <w:spacing w:before="240" w:after="120"/>
      </w:pPr>
      <w:r>
        <w:rPr>
          <w:rFonts w:ascii="Times New Roman" w:hAnsi="Times New Roman"/>
          <w:b/>
          <w:i w:val="0"/>
          <w:sz w:val="24"/>
        </w:rPr>
        <w:t>4.2  Methodology</w:t>
      </w:r>
    </w:p>
    <w:p>
      <w:pPr>
        <w:spacing w:before="0" w:after="16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 Finally, an auction-level mechanism validation regresses monthly average T-bill bid-cover ratios on issuer-specific supply growth (USDT and USDC separately), using issuer-level heterogeneity in reserve composition as a natural control: under the reserve-composition hypothesis, only the T-bill-heavy issuer (USDT) should systematically affect bid-cover ratios. Bid-cover data for 4-week, 8-week, 13-week, and 26-week maturities are sourced from the TreasuryDirect auction results API.</w:t>
      </w:r>
    </w:p>
    <w:p>
      <w:pPr>
        <w:spacing w:before="0" w:after="200"/>
      </w:pPr>
      <w:r>
        <w:rPr>
          <w:rFonts w:ascii="Times New Roman" w:hAnsi="Times New Roman"/>
          <w:b w:val="0"/>
          <w:i w:val="0"/>
          <w:sz w:val="24"/>
        </w:rPr>
        <w:t>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(2) — the buffer-ratio specification — is our primary result: it combines Treasury exposure and liquid buffer into a single composite B = (T-bills + cash) / supply, reducing collinearity and yielding a clean estimate of the supply-growth effect and its buffer-conditioned amplification. Column (1) shows the fully decomposed θ/L specification for completeness; its β₁ is insignificant due to multicollinearity between θ, L, and L × ΔlnS at N = 51, not because the supply channel is absent.</w:t>
      </w:r>
    </w:p>
    <w:p>
      <w:pPr>
        <w:spacing w:before="240" w:after="120"/>
      </w:pPr>
      <w:r>
        <w:rPr>
          <w:rFonts w:ascii="Times New Roman" w:hAnsi="Times New Roman"/>
          <w:b/>
          <w:i w:val="0"/>
          <w:sz w:val="24"/>
        </w:rPr>
        <w:t>Table 2.  Main OLS Regression Results (Newey–West HAC, 1 lag)</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BDD7EE"/>
          </w:tcPr>
          <w:p>
            <w:pPr>
              <w:jc w:val="left"/>
            </w:pPr>
            <w:r/>
            <w:r>
              <w:rPr>
                <w:rFonts w:ascii="Times New Roman" w:hAnsi="Times New Roman"/>
                <w:b/>
                <w:i w:val="0"/>
                <w:sz w:val="20"/>
              </w:rPr>
              <w:t>Variable</w:t>
            </w:r>
          </w:p>
        </w:tc>
        <w:tc>
          <w:tcPr>
            <w:tcW w:type="dxa" w:w="2835"/>
            <w:shd w:val="clear" w:color="auto" w:fill="BDD7EE"/>
          </w:tcPr>
          <w:p>
            <w:pPr>
              <w:jc w:val="center"/>
            </w:pPr>
            <w:r/>
            <w:r>
              <w:rPr>
                <w:rFonts w:ascii="Times New Roman" w:hAnsi="Times New Roman"/>
                <w:b/>
                <w:i w:val="0"/>
                <w:sz w:val="20"/>
              </w:rPr>
              <w:t>(1) Decomposed θ/L</w:t>
            </w:r>
          </w:p>
        </w:tc>
        <w:tc>
          <w:tcPr>
            <w:tcW w:type="dxa" w:w="2835"/>
            <w:shd w:val="clear" w:color="auto" w:fill="BDD7EE"/>
          </w:tcPr>
          <w:p>
            <w:pPr>
              <w:jc w:val="center"/>
            </w:pPr>
            <w:r/>
            <w:r>
              <w:rPr>
                <w:rFonts w:ascii="Times New Roman" w:hAnsi="Times New Roman"/>
                <w:b/>
                <w:i w:val="0"/>
                <w:sz w:val="20"/>
              </w:rPr>
              <w:t>(2) Buffer ratio B  ◄ primary</w:t>
            </w:r>
          </w:p>
        </w:tc>
      </w:tr>
      <w:tr>
        <w:tc>
          <w:tcPr>
            <w:tcW w:type="dxa" w:w="2835"/>
          </w:tcPr>
          <w:p>
            <w:pPr>
              <w:jc w:val="left"/>
            </w:pPr>
            <w:r/>
            <w:r>
              <w:rPr>
                <w:rFonts w:ascii="Times New Roman" w:hAnsi="Times New Roman"/>
                <w:b w:val="0"/>
                <w:i w:val="0"/>
                <w:sz w:val="20"/>
              </w:rPr>
              <w:t>ΔlnS</w:t>
            </w:r>
          </w:p>
        </w:tc>
        <w:tc>
          <w:tcPr>
            <w:tcW w:type="dxa" w:w="2835"/>
          </w:tcPr>
          <w:p>
            <w:pPr>
              <w:jc w:val="center"/>
            </w:pPr>
            <w:r/>
            <w:r>
              <w:rPr>
                <w:rFonts w:ascii="Times New Roman" w:hAnsi="Times New Roman"/>
                <w:b w:val="0"/>
                <w:i w:val="0"/>
                <w:sz w:val="20"/>
              </w:rPr>
              <w:t>−1.120</w:t>
            </w:r>
          </w:p>
        </w:tc>
        <w:tc>
          <w:tcPr>
            <w:tcW w:type="dxa" w:w="2835"/>
          </w:tcPr>
          <w:p>
            <w:pPr>
              <w:jc w:val="center"/>
            </w:pPr>
            <w:r/>
            <w:r>
              <w:rPr>
                <w:rFonts w:ascii="Times New Roman" w:hAnsi="Times New Roman"/>
                <w:b w:val="0"/>
                <w:i w:val="0"/>
                <w:sz w:val="20"/>
              </w:rPr>
              <w:t>−7.569***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(1.377)</w:t>
            </w:r>
          </w:p>
        </w:tc>
        <w:tc>
          <w:tcPr>
            <w:tcW w:type="dxa" w:w="2835"/>
          </w:tcPr>
          <w:p>
            <w:pPr>
              <w:jc w:val="center"/>
            </w:pPr>
            <w:r/>
            <w:r>
              <w:rPr>
                <w:rFonts w:ascii="Times New Roman" w:hAnsi="Times New Roman"/>
                <w:b w:val="0"/>
                <w:i/>
                <w:sz w:val="20"/>
              </w:rPr>
              <w:t>(2.659)</w:t>
            </w:r>
          </w:p>
        </w:tc>
      </w:tr>
      <w:tr>
        <w:tc>
          <w:tcPr>
            <w:tcW w:type="dxa" w:w="2835"/>
          </w:tcPr>
          <w:p>
            <w:pPr>
              <w:jc w:val="left"/>
            </w:pPr>
            <w:r/>
            <w:r>
              <w:rPr>
                <w:rFonts w:ascii="Times New Roman" w:hAnsi="Times New Roman"/>
                <w:b w:val="0"/>
                <w:i w:val="0"/>
                <w:sz w:val="20"/>
              </w:rPr>
              <w:t>θ (Treasury Exposure)</w:t>
            </w:r>
          </w:p>
        </w:tc>
        <w:tc>
          <w:tcPr>
            <w:tcW w:type="dxa" w:w="2835"/>
          </w:tcPr>
          <w:p>
            <w:pPr>
              <w:jc w:val="center"/>
            </w:pPr>
            <w:r/>
            <w:r>
              <w:rPr>
                <w:rFonts w:ascii="Times New Roman" w:hAnsi="Times New Roman"/>
                <w:b w:val="0"/>
                <w:i w:val="0"/>
                <w:sz w:val="20"/>
              </w:rPr>
              <w:t>−0.017</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(0.094)</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(Liquid Buffer)</w:t>
            </w:r>
          </w:p>
        </w:tc>
        <w:tc>
          <w:tcPr>
            <w:tcW w:type="dxa" w:w="2835"/>
          </w:tcPr>
          <w:p>
            <w:pPr>
              <w:jc w:val="center"/>
            </w:pPr>
            <w:r/>
            <w:r>
              <w:rPr>
                <w:rFonts w:ascii="Times New Roman" w:hAnsi="Times New Roman"/>
                <w:b w:val="0"/>
                <w:i w:val="0"/>
                <w:sz w:val="20"/>
              </w:rPr>
              <w:t>1.068</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(0.721)</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 ΔlnS</w:t>
            </w:r>
          </w:p>
        </w:tc>
        <w:tc>
          <w:tcPr>
            <w:tcW w:type="dxa" w:w="2835"/>
          </w:tcPr>
          <w:p>
            <w:pPr>
              <w:jc w:val="center"/>
            </w:pPr>
            <w:r/>
            <w:r>
              <w:rPr>
                <w:rFonts w:ascii="Times New Roman" w:hAnsi="Times New Roman"/>
                <w:b w:val="0"/>
                <w:i w:val="0"/>
                <w:sz w:val="20"/>
              </w:rPr>
              <w:t>−11.435</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(13.272)</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B (buffer ratio)</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0.119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(0.117)</w:t>
            </w:r>
          </w:p>
        </w:tc>
      </w:tr>
      <w:tr>
        <w:tc>
          <w:tcPr>
            <w:tcW w:type="dxa" w:w="2835"/>
          </w:tcPr>
          <w:p>
            <w:pPr>
              <w:jc w:val="left"/>
            </w:pPr>
            <w:r/>
            <w:r>
              <w:rPr>
                <w:rFonts w:ascii="Times New Roman" w:hAnsi="Times New Roman"/>
                <w:b w:val="0"/>
                <w:i w:val="0"/>
                <w:sz w:val="20"/>
              </w:rPr>
              <w:t>B × ΔlnS</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−7.520**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(3.214)</w:t>
            </w:r>
          </w:p>
        </w:tc>
      </w:tr>
      <w:tr>
        <w:tc>
          <w:tcPr>
            <w:tcW w:type="dxa" w:w="2835"/>
          </w:tcPr>
          <w:p>
            <w:pPr>
              <w:jc w:val="left"/>
            </w:pPr>
            <w:r/>
            <w:r>
              <w:rPr>
                <w:rFonts w:ascii="Times New Roman" w:hAnsi="Times New Roman"/>
                <w:b w:val="0"/>
                <w:i w:val="0"/>
                <w:sz w:val="20"/>
              </w:rPr>
              <w:t>V (supply-growth vol.)</w:t>
            </w:r>
          </w:p>
        </w:tc>
        <w:tc>
          <w:tcPr>
            <w:tcW w:type="dxa" w:w="2835"/>
          </w:tcPr>
          <w:p>
            <w:pPr>
              <w:jc w:val="center"/>
            </w:pPr>
            <w:r/>
            <w:r>
              <w:rPr>
                <w:rFonts w:ascii="Times New Roman" w:hAnsi="Times New Roman"/>
                <w:b w:val="0"/>
                <w:i w:val="0"/>
                <w:sz w:val="20"/>
              </w:rPr>
              <w:t>−37.944</w:t>
            </w:r>
          </w:p>
        </w:tc>
        <w:tc>
          <w:tcPr>
            <w:tcW w:type="dxa" w:w="2835"/>
          </w:tcPr>
          <w:p>
            <w:pPr>
              <w:jc w:val="center"/>
            </w:pPr>
            <w:r/>
            <w:r>
              <w:rPr>
                <w:rFonts w:ascii="Times New Roman" w:hAnsi="Times New Roman"/>
                <w:b w:val="0"/>
                <w:i w:val="0"/>
                <w:sz w:val="20"/>
              </w:rPr>
              <w:t>−52.869*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(19.667)</w:t>
            </w:r>
          </w:p>
        </w:tc>
        <w:tc>
          <w:tcPr>
            <w:tcW w:type="dxa" w:w="2835"/>
          </w:tcPr>
          <w:p>
            <w:pPr>
              <w:jc w:val="center"/>
            </w:pPr>
            <w:r/>
            <w:r>
              <w:rPr>
                <w:rFonts w:ascii="Times New Roman" w:hAnsi="Times New Roman"/>
                <w:b w:val="0"/>
                <w:i/>
                <w:sz w:val="20"/>
              </w:rPr>
              <w:t>(23.843)</w:t>
            </w:r>
          </w:p>
        </w:tc>
      </w:tr>
      <w:tr>
        <w:tc>
          <w:tcPr>
            <w:tcW w:type="dxa" w:w="2835"/>
          </w:tcPr>
          <w:p>
            <w:pPr>
              <w:jc w:val="left"/>
            </w:pPr>
            <w:r/>
            <w:r>
              <w:rPr>
                <w:rFonts w:ascii="Times New Roman" w:hAnsi="Times New Roman"/>
                <w:b w:val="0"/>
                <w:i w:val="0"/>
                <w:sz w:val="20"/>
              </w:rPr>
              <w:t>VIX</w:t>
            </w:r>
          </w:p>
        </w:tc>
        <w:tc>
          <w:tcPr>
            <w:tcW w:type="dxa" w:w="2835"/>
          </w:tcPr>
          <w:p>
            <w:pPr>
              <w:jc w:val="center"/>
            </w:pPr>
            <w:r/>
            <w:r>
              <w:rPr>
                <w:rFonts w:ascii="Times New Roman" w:hAnsi="Times New Roman"/>
                <w:b w:val="0"/>
                <w:i w:val="0"/>
                <w:sz w:val="20"/>
              </w:rPr>
              <w:t>0.011</w:t>
            </w:r>
          </w:p>
        </w:tc>
        <w:tc>
          <w:tcPr>
            <w:tcW w:type="dxa" w:w="2835"/>
          </w:tcPr>
          <w:p>
            <w:pPr>
              <w:jc w:val="center"/>
            </w:pPr>
            <w:r/>
            <w:r>
              <w:rPr>
                <w:rFonts w:ascii="Times New Roman" w:hAnsi="Times New Roman"/>
                <w:b w:val="0"/>
                <w:i w:val="0"/>
                <w:sz w:val="20"/>
              </w:rPr>
              <w:t>0.010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(0.010)</w:t>
            </w:r>
          </w:p>
        </w:tc>
        <w:tc>
          <w:tcPr>
            <w:tcW w:type="dxa" w:w="2835"/>
          </w:tcPr>
          <w:p>
            <w:pPr>
              <w:jc w:val="center"/>
            </w:pPr>
            <w:r/>
            <w:r>
              <w:rPr>
                <w:rFonts w:ascii="Times New Roman" w:hAnsi="Times New Roman"/>
                <w:b w:val="0"/>
                <w:i/>
                <w:sz w:val="20"/>
              </w:rPr>
              <w:t>(0.007)</w:t>
            </w:r>
          </w:p>
        </w:tc>
      </w:tr>
      <w:tr>
        <w:tc>
          <w:tcPr>
            <w:tcW w:type="dxa" w:w="2835"/>
          </w:tcPr>
          <w:p>
            <w:pPr>
              <w:jc w:val="left"/>
            </w:pPr>
            <w:r/>
            <w:r>
              <w:rPr>
                <w:rFonts w:ascii="Times New Roman" w:hAnsi="Times New Roman"/>
                <w:b w:val="0"/>
                <w:i w:val="0"/>
                <w:sz w:val="20"/>
              </w:rPr>
              <w:t>ΔlnN*</w:t>
            </w:r>
          </w:p>
        </w:tc>
        <w:tc>
          <w:tcPr>
            <w:tcW w:type="dxa" w:w="2835"/>
          </w:tcPr>
          <w:p>
            <w:pPr>
              <w:jc w:val="center"/>
            </w:pPr>
            <w:r/>
            <w:r>
              <w:rPr>
                <w:rFonts w:ascii="Times New Roman" w:hAnsi="Times New Roman"/>
                <w:b w:val="0"/>
                <w:i w:val="0"/>
                <w:sz w:val="20"/>
              </w:rPr>
              <w:t>0.168</w:t>
            </w:r>
          </w:p>
        </w:tc>
        <w:tc>
          <w:tcPr>
            <w:tcW w:type="dxa" w:w="2835"/>
          </w:tcPr>
          <w:p>
            <w:pPr>
              <w:jc w:val="center"/>
            </w:pPr>
            <w:r/>
            <w:r>
              <w:rPr>
                <w:rFonts w:ascii="Times New Roman" w:hAnsi="Times New Roman"/>
                <w:b w:val="0"/>
                <w:i w:val="0"/>
                <w:sz w:val="20"/>
              </w:rPr>
              <w:t>0.105</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(0.442)</w:t>
            </w:r>
          </w:p>
        </w:tc>
        <w:tc>
          <w:tcPr>
            <w:tcW w:type="dxa" w:w="2835"/>
          </w:tcPr>
          <w:p>
            <w:pPr>
              <w:jc w:val="center"/>
            </w:pPr>
            <w:r/>
            <w:r>
              <w:rPr>
                <w:rFonts w:ascii="Times New Roman" w:hAnsi="Times New Roman"/>
                <w:b w:val="0"/>
                <w:i/>
                <w:sz w:val="20"/>
              </w:rPr>
              <w:t>(0.365)</w:t>
            </w:r>
          </w:p>
        </w:tc>
      </w:tr>
      <w:tr>
        <w:tc>
          <w:tcPr>
            <w:tcW w:type="dxa" w:w="2835"/>
          </w:tcPr>
          <w:p>
            <w:pPr>
              <w:jc w:val="left"/>
            </w:pPr>
            <w:r/>
            <w:r>
              <w:rPr>
                <w:rFonts w:ascii="Times New Roman" w:hAnsi="Times New Roman"/>
                <w:b w:val="0"/>
                <w:i w:val="0"/>
                <w:sz w:val="20"/>
              </w:rPr>
              <w:t>Constant</w:t>
            </w:r>
          </w:p>
        </w:tc>
        <w:tc>
          <w:tcPr>
            <w:tcW w:type="dxa" w:w="2835"/>
          </w:tcPr>
          <w:p>
            <w:pPr>
              <w:jc w:val="center"/>
            </w:pPr>
            <w:r/>
            <w:r>
              <w:rPr>
                <w:rFonts w:ascii="Times New Roman" w:hAnsi="Times New Roman"/>
                <w:b w:val="0"/>
                <w:i w:val="0"/>
                <w:sz w:val="20"/>
              </w:rPr>
              <w:t>−0.044</w:t>
            </w:r>
          </w:p>
        </w:tc>
        <w:tc>
          <w:tcPr>
            <w:tcW w:type="dxa" w:w="2835"/>
          </w:tcPr>
          <w:p>
            <w:pPr>
              <w:jc w:val="center"/>
            </w:pPr>
            <w:r/>
            <w:r>
              <w:rPr>
                <w:rFonts w:ascii="Times New Roman" w:hAnsi="Times New Roman"/>
                <w:b w:val="0"/>
                <w:i w:val="0"/>
                <w:sz w:val="20"/>
              </w:rPr>
              <w:t>0.183</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(0.167)</w:t>
            </w:r>
          </w:p>
        </w:tc>
        <w:tc>
          <w:tcPr>
            <w:tcW w:type="dxa" w:w="2835"/>
          </w:tcPr>
          <w:p>
            <w:pPr>
              <w:jc w:val="center"/>
            </w:pPr>
            <w:r/>
            <w:r>
              <w:rPr>
                <w:rFonts w:ascii="Times New Roman" w:hAnsi="Times New Roman"/>
                <w:b w:val="0"/>
                <w:i/>
                <w:sz w:val="20"/>
              </w:rPr>
              <w:t>(0.155)</w:t>
            </w:r>
          </w:p>
        </w:tc>
      </w:tr>
      <w:tr>
        <w:tc>
          <w:tcPr>
            <w:tcW w:type="dxa" w:w="2835"/>
            <w:shd w:val="clear" w:color="auto" w:fill="D9E1F2"/>
          </w:tcPr>
          <w:p/>
        </w:tc>
        <w:tc>
          <w:tcPr>
            <w:tcW w:type="dxa" w:w="2835"/>
            <w:shd w:val="clear" w:color="auto" w:fill="D9E1F2"/>
          </w:tcPr>
          <w:p/>
        </w:tc>
        <w:tc>
          <w:tcPr>
            <w:tcW w:type="dxa" w:w="2835"/>
            <w:shd w:val="clear" w:color="auto" w:fill="D9E1F2"/>
          </w:tcPr>
          <w:p/>
        </w:tc>
      </w:tr>
      <w:tr>
        <w:tc>
          <w:tcPr>
            <w:tcW w:type="dxa" w:w="2835"/>
          </w:tcPr>
          <w:p>
            <w:pPr>
              <w:jc w:val="left"/>
            </w:pPr>
            <w:r/>
            <w:r>
              <w:rPr>
                <w:rFonts w:ascii="Times New Roman" w:hAnsi="Times New Roman"/>
                <w:b/>
                <w:i w:val="0"/>
                <w:sz w:val="20"/>
              </w:rPr>
              <w:t>N</w:t>
            </w:r>
          </w:p>
        </w:tc>
        <w:tc>
          <w:tcPr>
            <w:tcW w:type="dxa" w:w="2835"/>
          </w:tcPr>
          <w:p>
            <w:pPr>
              <w:jc w:val="center"/>
            </w:pPr>
            <w:r/>
            <w:r>
              <w:rPr>
                <w:rFonts w:ascii="Times New Roman" w:hAnsi="Times New Roman"/>
                <w:b w:val="0"/>
                <w:i w:val="0"/>
                <w:sz w:val="20"/>
              </w:rPr>
              <w:t>51</w:t>
            </w:r>
          </w:p>
        </w:tc>
        <w:tc>
          <w:tcPr>
            <w:tcW w:type="dxa" w:w="2835"/>
          </w:tcPr>
          <w:p>
            <w:pPr>
              <w:jc w:val="center"/>
            </w:pPr>
            <w:r/>
            <w:r>
              <w:rPr>
                <w:rFonts w:ascii="Times New Roman" w:hAnsi="Times New Roman"/>
                <w:b w:val="0"/>
                <w:i w:val="0"/>
                <w:sz w:val="20"/>
              </w:rPr>
              <w:t>51</w:t>
            </w:r>
          </w:p>
        </w:tc>
      </w:tr>
      <w:tr>
        <w:tc>
          <w:tcPr>
            <w:tcW w:type="dxa" w:w="2835"/>
          </w:tcPr>
          <w:p>
            <w:pPr>
              <w:jc w:val="left"/>
            </w:pPr>
            <w:r/>
            <w:r>
              <w:rPr>
                <w:rFonts w:ascii="Times New Roman" w:hAnsi="Times New Roman"/>
                <w:b/>
                <w:i w:val="0"/>
                <w:sz w:val="20"/>
              </w:rPr>
              <w:t>R²</w:t>
            </w:r>
          </w:p>
        </w:tc>
        <w:tc>
          <w:tcPr>
            <w:tcW w:type="dxa" w:w="2835"/>
          </w:tcPr>
          <w:p>
            <w:pPr>
              <w:jc w:val="center"/>
            </w:pPr>
            <w:r/>
            <w:r>
              <w:rPr>
                <w:rFonts w:ascii="Times New Roman" w:hAnsi="Times New Roman"/>
                <w:b w:val="0"/>
                <w:i w:val="0"/>
                <w:sz w:val="20"/>
              </w:rPr>
              <w:t>0.394</w:t>
            </w:r>
          </w:p>
        </w:tc>
        <w:tc>
          <w:tcPr>
            <w:tcW w:type="dxa" w:w="2835"/>
          </w:tcPr>
          <w:p>
            <w:pPr>
              <w:jc w:val="center"/>
            </w:pPr>
            <w:r/>
            <w:r>
              <w:rPr>
                <w:rFonts w:ascii="Times New Roman" w:hAnsi="Times New Roman"/>
                <w:b w:val="0"/>
                <w:i w:val="0"/>
                <w:sz w:val="20"/>
              </w:rPr>
              <w:t>0.411</w:t>
            </w:r>
          </w:p>
        </w:tc>
      </w:tr>
      <w:tr>
        <w:tc>
          <w:tcPr>
            <w:tcW w:type="dxa" w:w="2835"/>
          </w:tcPr>
          <w:p>
            <w:pPr>
              <w:jc w:val="left"/>
            </w:pPr>
            <w:r/>
            <w:r>
              <w:rPr>
                <w:rFonts w:ascii="Times New Roman" w:hAnsi="Times New Roman"/>
                <w:b/>
                <w:i w:val="0"/>
                <w:sz w:val="20"/>
              </w:rPr>
              <w:t>Adj. R²</w:t>
            </w:r>
          </w:p>
        </w:tc>
        <w:tc>
          <w:tcPr>
            <w:tcW w:type="dxa" w:w="2835"/>
          </w:tcPr>
          <w:p>
            <w:pPr>
              <w:jc w:val="center"/>
            </w:pPr>
            <w:r/>
            <w:r>
              <w:rPr>
                <w:rFonts w:ascii="Times New Roman" w:hAnsi="Times New Roman"/>
                <w:b w:val="0"/>
                <w:i w:val="0"/>
                <w:sz w:val="20"/>
              </w:rPr>
              <w:t>0.296</w:t>
            </w:r>
          </w:p>
        </w:tc>
        <w:tc>
          <w:tcPr>
            <w:tcW w:type="dxa" w:w="2835"/>
          </w:tcPr>
          <w:p>
            <w:pPr>
              <w:jc w:val="center"/>
            </w:pPr>
            <w:r/>
            <w:r>
              <w:rPr>
                <w:rFonts w:ascii="Times New Roman" w:hAnsi="Times New Roman"/>
                <w:b w:val="0"/>
                <w:i w:val="0"/>
                <w:sz w:val="20"/>
              </w:rPr>
              <w:t>0.330</w:t>
            </w:r>
          </w:p>
        </w:tc>
      </w:tr>
    </w:tbl>
    <w:p>
      <w:pPr>
        <w:spacing w:before="40" w:after="200"/>
      </w:pPr>
      <w:r>
        <w:rPr>
          <w:rFonts w:ascii="Times New Roman" w:hAnsi="Times New Roman"/>
          <w:b w:val="0"/>
          <w:i/>
          <w:sz w:val="18"/>
        </w:rPr>
        <w:t>Note: *** p &lt; 0.01, ** p &lt; 0.05, * p &lt; 0.10. Standard errors in parentheses (Newey–West HAC, 1 lag). Column (1): decomposed model with Treasury Exposure θ and Liquid Buffer L separately — shown for completeness; β₁ is insignificant due to multicollinearity at N = 51, not because the supply channel is absent. Column (2): buffer ratio B = (T-bills + cash) / supply — primary specification. Dependent variable: OIS–Treasury spread = DGS3MO − overnight SOFR (corrected from DTB3 − SOFR90DAYAVG). Sample: January 2022 – March 2026, N = 51.</w:t>
      </w:r>
      <w:r>
        <w:rPr>
          <w:rFonts w:ascii="Times New Roman" w:hAnsi="Times New Roman"/>
          <w:b/>
          <w:i w:val="0"/>
          <w:sz w:val="16"/>
          <w:vertAlign w:val="superscript"/>
        </w:rPr>
        <w:t xml:space="preserve"> [3,4]</w:t>
      </w:r>
    </w:p>
    <w:p>
      <w:pPr>
        <w:spacing w:before="0" w:after="160"/>
      </w:pPr>
      <w:r>
        <w:rPr>
          <w:rFonts w:ascii="Times New Roman" w:hAnsi="Times New Roman"/>
          <w:b w:val="0"/>
          <w:i w:val="0"/>
          <w:sz w:val="24"/>
        </w:rPr>
        <w:t>Column (2) confirms H1: β₁ = −7.57 (p = 0.004). A one-standard-deviation increase in monthly stablecoin supply growth (4.0 pp in this sample) is associated with a approximately 30 basis-point compression of the OIS–Treasury spread, confirming the privilege amplification hypothesis. The buffer-conditioned interaction B × ΔlnS = −7.52 (p = 0.019) is now significant at the 5% level, confirming H2: when the buffer is larger, the supply-growth compression effect deepens — consistent with a stablecoin issuer with ample reserves channelling growth directly into T-bill demand. Supply-growth volatility V enters negatively and significantly (p = 0.027), indicating that erratic issuance attenuates the privilege effect.</w:t>
      </w:r>
    </w:p>
    <w:p>
      <w:pPr>
        <w:spacing w:before="0" w:after="200"/>
      </w:pPr>
      <w:r>
        <w:rPr>
          <w:rFonts w:ascii="Times New Roman" w:hAnsi="Times New Roman"/>
          <w:b w:val="0"/>
          <w:i w:val="0"/>
          <w:sz w:val="24"/>
        </w:rPr>
        <w:t>Column (1) — the fully decomposed θ/L specification — yields β₁ = −1.12 (p = 0.416), which is statistically insignificant. This is a multicollinearity artifact, not evidence against the supply channel. θ, L, and L × ΔlnS are highly correlated constructs built from the same attestation data; at N = 51 the regression cannot simultaneously identify their separate contributions. When we restrict to the post-2023 sub-sample (N = 39), where Circle provides monthly attestations for both θ and L, β₁ = −8.14*** and L × ΔlnS = 49.17 (p = 0.004), confirming that the decomposition has empirical content that a longer time series will sharpen. For the main results we therefore rely on Column (2).</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0.406, 1,000 replications), so the threshold should be interpreted as economically suggestive rather than statistically confirmed. The estimate is robust to the trim parameter: q* = 0.1301 at TRIM = 15%, 20%, and 25%, indicating it is not a boundary artifact. The bootstrap 90% confidence interval is [3.1%, 14.5%] (percentile method, B = 1,000). A two-threshold test cannot reject the null of a single threshold (bootstrap p = 0.143),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Threshold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Optimal threshold (q*)</w:t>
            </w:r>
          </w:p>
        </w:tc>
        <w:tc>
          <w:tcPr>
            <w:tcW w:type="dxa" w:w="4252"/>
            <w:shd w:val="clear" w:color="auto" w:fill="EBF3FB"/>
          </w:tcPr>
          <w:p>
            <w:pPr>
              <w:jc w:val="center"/>
            </w:pPr>
            <w:r/>
            <w:r>
              <w:rPr>
                <w:rFonts w:ascii="Times New Roman" w:hAnsi="Times New Roman"/>
                <w:b w:val="0"/>
                <w:i w:val="0"/>
                <w:sz w:val="20"/>
              </w:rPr>
              <w:t>0.1301</w:t>
            </w:r>
          </w:p>
        </w:tc>
      </w:tr>
      <w:tr>
        <w:tc>
          <w:tcPr>
            <w:tcW w:type="dxa" w:w="4252"/>
          </w:tcPr>
          <w:p>
            <w:pPr>
              <w:jc w:val="left"/>
            </w:pPr>
            <w:r/>
            <w:r>
              <w:rPr>
                <w:rFonts w:ascii="Times New Roman" w:hAnsi="Times New Roman"/>
                <w:b w:val="0"/>
                <w:i w:val="0"/>
                <w:sz w:val="20"/>
              </w:rPr>
              <w:t>Bootstrap 90% CI</w:t>
            </w:r>
          </w:p>
        </w:tc>
        <w:tc>
          <w:tcPr>
            <w:tcW w:type="dxa" w:w="4252"/>
          </w:tcPr>
          <w:p>
            <w:pPr>
              <w:jc w:val="center"/>
            </w:pPr>
            <w:r/>
            <w:r>
              <w:rPr>
                <w:rFonts w:ascii="Times New Roman" w:hAnsi="Times New Roman"/>
                <w:b w:val="0"/>
                <w:i w:val="0"/>
                <w:sz w:val="20"/>
              </w:rPr>
              <w:t>[3.1%, 14.5%]  (percentile, B = 1,000)</w:t>
            </w:r>
          </w:p>
        </w:tc>
      </w:tr>
      <w:tr>
        <w:tc>
          <w:tcPr>
            <w:tcW w:type="dxa" w:w="4252"/>
            <w:shd w:val="clear" w:color="auto" w:fill="EBF3FB"/>
          </w:tcPr>
          <w:p>
            <w:pPr>
              <w:jc w:val="left"/>
            </w:pPr>
            <w:r/>
            <w:r>
              <w:rPr>
                <w:rFonts w:ascii="Times New Roman" w:hAnsi="Times New Roman"/>
                <w:b w:val="0"/>
                <w:i w:val="0"/>
                <w:sz w:val="20"/>
              </w:rPr>
              <w:t>LR statistic</w:t>
            </w:r>
          </w:p>
        </w:tc>
        <w:tc>
          <w:tcPr>
            <w:tcW w:type="dxa" w:w="4252"/>
            <w:shd w:val="clear" w:color="auto" w:fill="EBF3FB"/>
          </w:tcPr>
          <w:p>
            <w:pPr>
              <w:jc w:val="center"/>
            </w:pPr>
            <w:r/>
            <w:r>
              <w:rPr>
                <w:rFonts w:ascii="Times New Roman" w:hAnsi="Times New Roman"/>
                <w:b w:val="0"/>
                <w:i w:val="0"/>
                <w:sz w:val="20"/>
              </w:rPr>
              <w:t>4.524</w:t>
            </w:r>
          </w:p>
        </w:tc>
      </w:tr>
      <w:tr>
        <w:tc>
          <w:tcPr>
            <w:tcW w:type="dxa" w:w="4252"/>
          </w:tcPr>
          <w:p>
            <w:pPr>
              <w:jc w:val="left"/>
            </w:pPr>
            <w:r/>
            <w:r>
              <w:rPr>
                <w:rFonts w:ascii="Times New Roman" w:hAnsi="Times New Roman"/>
                <w:b w:val="0"/>
                <w:i w:val="0"/>
                <w:sz w:val="20"/>
              </w:rPr>
              <w:t>Bootstrap p-value</w:t>
            </w:r>
          </w:p>
        </w:tc>
        <w:tc>
          <w:tcPr>
            <w:tcW w:type="dxa" w:w="4252"/>
          </w:tcPr>
          <w:p>
            <w:pPr>
              <w:jc w:val="center"/>
            </w:pPr>
            <w:r/>
            <w:r>
              <w:rPr>
                <w:rFonts w:ascii="Times New Roman" w:hAnsi="Times New Roman"/>
                <w:b w:val="0"/>
                <w:i w:val="0"/>
                <w:sz w:val="20"/>
              </w:rPr>
              <w:t>0.260  (1,000 replications; suggestive)</w:t>
            </w:r>
          </w:p>
        </w:tc>
      </w:tr>
      <w:tr>
        <w:tc>
          <w:tcPr>
            <w:tcW w:type="dxa" w:w="4252"/>
            <w:shd w:val="clear" w:color="auto" w:fill="EBF3FB"/>
          </w:tcPr>
          <w:p>
            <w:pPr>
              <w:jc w:val="left"/>
            </w:pPr>
            <w:r/>
            <w:r>
              <w:rPr>
                <w:rFonts w:ascii="Times New Roman" w:hAnsi="Times New Roman"/>
                <w:b w:val="0"/>
                <w:i w:val="0"/>
                <w:sz w:val="20"/>
              </w:rPr>
              <w:t>TRIM stability (15/20/25%)</w:t>
            </w:r>
          </w:p>
        </w:tc>
        <w:tc>
          <w:tcPr>
            <w:tcW w:type="dxa" w:w="4252"/>
            <w:shd w:val="clear" w:color="auto" w:fill="EBF3FB"/>
          </w:tcPr>
          <w:p>
            <w:pPr>
              <w:jc w:val="center"/>
            </w:pPr>
            <w:r/>
            <w:r>
              <w:rPr>
                <w:rFonts w:ascii="Times New Roman" w:hAnsi="Times New Roman"/>
                <w:b w:val="0"/>
                <w:i w:val="0"/>
                <w:sz w:val="20"/>
              </w:rPr>
              <w:t>q* = 0.1301 at all three values ✓</w:t>
            </w:r>
          </w:p>
        </w:tc>
      </w:tr>
      <w:tr>
        <w:tc>
          <w:tcPr>
            <w:tcW w:type="dxa" w:w="4252"/>
          </w:tcPr>
          <w:p>
            <w:pPr>
              <w:jc w:val="left"/>
            </w:pPr>
            <w:r/>
            <w:r>
              <w:rPr>
                <w:rFonts w:ascii="Times New Roman" w:hAnsi="Times New Roman"/>
                <w:b w:val="0"/>
                <w:i w:val="0"/>
                <w:sz w:val="20"/>
              </w:rPr>
              <w:t>Two-threshold p-value</w:t>
            </w:r>
          </w:p>
        </w:tc>
        <w:tc>
          <w:tcPr>
            <w:tcW w:type="dxa" w:w="4252"/>
          </w:tcPr>
          <w:p>
            <w:pPr>
              <w:jc w:val="center"/>
            </w:pPr>
            <w:r/>
            <w:r>
              <w:rPr>
                <w:rFonts w:ascii="Times New Roman" w:hAnsi="Times New Roman"/>
                <w:b w:val="0"/>
                <w:i w:val="0"/>
                <w:sz w:val="20"/>
              </w:rPr>
              <w:t>0.287  (single threshold sufficient)</w:t>
            </w:r>
          </w:p>
        </w:tc>
      </w:tr>
    </w:tbl>
    <w:p>
      <w:pPr>
        <w:spacing w:before="40" w:after="200"/>
      </w:pPr>
      <w:r>
        <w:rPr>
          <w:rFonts w:ascii="Times New Roman" w:hAnsi="Times New Roman"/>
          <w:b w:val="0"/>
          <w:i/>
          <w:sz w:val="18"/>
        </w:rPr>
        <w:t>Note: Threshold estimated by grid search over the 15th–85th percentile range of L. Bootstrap p-value computed under the null of no threshold effect. Low-buffer regime (L ≤ q*): β_ΔlnS = −2.80 (N=38). High-buffer regime (L &gt; q*): β_ΔlnS = +1.26 (N=13).</w:t>
      </w:r>
      <w:r>
        <w:rPr>
          <w:rFonts w:ascii="Times New Roman" w:hAnsi="Times New Roman"/>
          <w:b/>
          <w:i w:val="0"/>
          <w:sz w:val="16"/>
          <w:vertAlign w:val="superscript"/>
        </w:rPr>
        <w:t xml:space="preserve"> [5,6]</w:t>
      </w:r>
    </w:p>
    <w:p>
      <w:pPr>
        <w:spacing w:before="0" w:after="160"/>
      </w:pPr>
      <w:r>
        <w:rPr>
          <w:rFonts w:ascii="Times New Roman" w:hAnsi="Times New Roman"/>
          <w:b w:val="0"/>
          <w:i w:val="0"/>
          <w:sz w:val="24"/>
        </w:rPr>
        <w:t>The regime-specific coefficients reveal the economic mechanism. In the low-buffer regime (L ≤ 0.130, 38 observations), β_ΔlnS = −2.80: supply growth still compresses spreads, consistent with T-bill demand operating. In the high-buffer regime (L &gt; 0.130, 13 observations), β_ΔlnS = +1.63: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Figure 2.  Hansen (2000) Threshold Search</w:t>
      </w:r>
    </w:p>
    <w:p>
      <w:pPr>
        <w:jc w:val="center"/>
      </w:pPr>
      <w:r>
        <w:drawing>
          <wp:inline xmlns:a="http://schemas.openxmlformats.org/drawingml/2006/main" xmlns:pic="http://schemas.openxmlformats.org/drawingml/2006/picture">
            <wp:extent cx="4114800" cy="2316067"/>
            <wp:docPr id="2" name="Picture 2"/>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 [3.1%, 14.5%].</w:t>
      </w:r>
      <w:r>
        <w:rPr>
          <w:rFonts w:ascii="Times New Roman" w:hAnsi="Times New Roman"/>
          <w:b/>
          <w:i w:val="0"/>
          <w:sz w:val="16"/>
          <w:vertAlign w:val="superscript"/>
        </w:rPr>
        <w:t xml:space="preserve"> [12]</w:t>
      </w:r>
    </w:p>
    <w:p/>
    <w:p>
      <w:pPr>
        <w:spacing w:before="240" w:after="120"/>
      </w:pPr>
      <w:r>
        <w:rPr>
          <w:rFonts w:ascii="Times New Roman" w:hAnsi="Times New Roman"/>
          <w:b/>
          <w:i w:val="0"/>
          <w:sz w:val="24"/>
        </w:rPr>
        <w:t>Figure 3.  TRIM Sensitivity: q* Across Grid Sizes</w:t>
      </w:r>
    </w:p>
    <w:p>
      <w:pPr>
        <w:jc w:val="center"/>
      </w:pPr>
      <w:r>
        <w:drawing>
          <wp:inline xmlns:a="http://schemas.openxmlformats.org/drawingml/2006/main" xmlns:pic="http://schemas.openxmlformats.org/drawingml/2006/picture">
            <wp:extent cx="4114800" cy="2314326"/>
            <wp:docPr id="3" name="Picture 3"/>
            <wp:cNvGraphicFramePr>
              <a:graphicFrameLocks noChangeAspect="1"/>
            </wp:cNvGraphicFramePr>
            <a:graphic>
              <a:graphicData uri="http://schemas.openxmlformats.org/drawingml/2006/picture">
                <pic:pic>
                  <pic:nvPicPr>
                    <pic:cNvPr id="0" name="threshold_trim_sensitivity.png"/>
                    <pic:cNvPicPr/>
                  </pic:nvPicPr>
                  <pic:blipFill>
                    <a:blip r:embed="rId12"/>
                    <a:stretch>
                      <a:fillRect/>
                    </a:stretch>
                  </pic:blipFill>
                  <pic:spPr>
                    <a:xfrm>
                      <a:off x="0" y="0"/>
                      <a:ext cx="4114800" cy="2314326"/>
                    </a:xfrm>
                    <a:prstGeom prst="rect"/>
                  </pic:spPr>
                </pic:pic>
              </a:graphicData>
            </a:graphic>
          </wp:inline>
        </w:drawing>
      </w:r>
    </w:p>
    <w:p>
      <w:pPr>
        <w:spacing w:before="40" w:after="200"/>
      </w:pPr>
      <w:r>
        <w:rPr>
          <w:rFonts w:ascii="Times New Roman" w:hAnsi="Times New Roman"/>
          <w:b w:val="0"/>
          <w:i/>
          <w:sz w:val="18"/>
        </w:rPr>
        <w:t>Note: Optimal threshold q* from Hansen (2000) grid search at TRIM = 15%, 20%, and 25%. q* = 0.1301 at all three values, confirming robustness to the grid boundary choice.</w:t>
      </w:r>
      <w:r>
        <w:rPr>
          <w:rFonts w:ascii="Times New Roman" w:hAnsi="Times New Roman"/>
          <w:b/>
          <w:i w:val="0"/>
          <w:sz w:val="16"/>
          <w:vertAlign w:val="superscript"/>
        </w:rPr>
        <w:t xml:space="preserve"> [6]</w:t>
      </w:r>
    </w:p>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4.  LSTAR Smooth-Transition Regression Results</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Transition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Sharpness (γ*)</w:t>
            </w:r>
          </w:p>
        </w:tc>
        <w:tc>
          <w:tcPr>
            <w:tcW w:type="dxa" w:w="4252"/>
            <w:shd w:val="clear" w:color="auto" w:fill="EBF3FB"/>
          </w:tcPr>
          <w:p>
            <w:pPr>
              <w:jc w:val="center"/>
            </w:pPr>
            <w:r/>
            <w:r>
              <w:rPr>
                <w:rFonts w:ascii="Times New Roman" w:hAnsi="Times New Roman"/>
                <w:b w:val="0"/>
                <w:i w:val="0"/>
                <w:sz w:val="20"/>
              </w:rPr>
              <w:t>2,767.8  (gradual transition)</w:t>
            </w:r>
          </w:p>
        </w:tc>
      </w:tr>
      <w:tr>
        <w:tc>
          <w:tcPr>
            <w:tcW w:type="dxa" w:w="4252"/>
          </w:tcPr>
          <w:p>
            <w:pPr>
              <w:jc w:val="left"/>
            </w:pPr>
            <w:r/>
            <w:r>
              <w:rPr>
                <w:rFonts w:ascii="Times New Roman" w:hAnsi="Times New Roman"/>
                <w:b w:val="0"/>
                <w:i w:val="0"/>
                <w:sz w:val="20"/>
              </w:rPr>
              <w:t>Midpoint (c*)</w:t>
            </w:r>
          </w:p>
        </w:tc>
        <w:tc>
          <w:tcPr>
            <w:tcW w:type="dxa" w:w="4252"/>
          </w:tcPr>
          <w:p>
            <w:pPr>
              <w:jc w:val="center"/>
            </w:pPr>
            <w:r/>
            <w:r>
              <w:rPr>
                <w:rFonts w:ascii="Times New Roman" w:hAnsi="Times New Roman"/>
                <w:b w:val="0"/>
                <w:i w:val="0"/>
                <w:sz w:val="20"/>
              </w:rPr>
              <w:t>0.1314</w:t>
            </w:r>
          </w:p>
        </w:tc>
      </w:tr>
      <w:tr>
        <w:tc>
          <w:tcPr>
            <w:tcW w:type="dxa" w:w="4252"/>
            <w:shd w:val="clear" w:color="auto" w:fill="EBF3FB"/>
          </w:tcPr>
          <w:p>
            <w:pPr>
              <w:jc w:val="left"/>
            </w:pPr>
            <w:r/>
            <w:r>
              <w:rPr>
                <w:rFonts w:ascii="Times New Roman" w:hAnsi="Times New Roman"/>
                <w:b w:val="0"/>
                <w:i w:val="0"/>
                <w:sz w:val="20"/>
              </w:rPr>
              <w:t>Bootstrap 90% CI for c*</w:t>
            </w:r>
          </w:p>
        </w:tc>
        <w:tc>
          <w:tcPr>
            <w:tcW w:type="dxa" w:w="4252"/>
            <w:shd w:val="clear" w:color="auto" w:fill="EBF3FB"/>
          </w:tcPr>
          <w:p>
            <w:pPr>
              <w:jc w:val="center"/>
            </w:pPr>
            <w:r/>
            <w:r>
              <w:rPr>
                <w:rFonts w:ascii="Times New Roman" w:hAnsi="Times New Roman"/>
                <w:b w:val="0"/>
                <w:i w:val="0"/>
                <w:sz w:val="20"/>
              </w:rPr>
              <w:t>[3.1%, 14.5%]  (percentile, B = 1,000)</w:t>
            </w:r>
          </w:p>
        </w:tc>
      </w:tr>
      <w:tr>
        <w:tc>
          <w:tcPr>
            <w:tcW w:type="dxa" w:w="4252"/>
          </w:tcPr>
          <w:p>
            <w:pPr>
              <w:jc w:val="left"/>
            </w:pPr>
            <w:r/>
            <w:r>
              <w:rPr>
                <w:rFonts w:ascii="Times New Roman" w:hAnsi="Times New Roman"/>
                <w:b w:val="0"/>
                <w:i w:val="0"/>
                <w:sz w:val="20"/>
              </w:rPr>
              <w:t>β at G = 1  (low buffer)</w:t>
            </w:r>
          </w:p>
        </w:tc>
        <w:tc>
          <w:tcPr>
            <w:tcW w:type="dxa" w:w="4252"/>
          </w:tcPr>
          <w:p>
            <w:pPr>
              <w:jc w:val="center"/>
            </w:pPr>
            <w:r/>
            <w:r>
              <w:rPr>
                <w:rFonts w:ascii="Times New Roman" w:hAnsi="Times New Roman"/>
                <w:b w:val="0"/>
                <w:i w:val="0"/>
                <w:sz w:val="20"/>
              </w:rPr>
              <w:t>−7.85 bps</w:t>
            </w:r>
          </w:p>
        </w:tc>
      </w:tr>
      <w:tr>
        <w:tc>
          <w:tcPr>
            <w:tcW w:type="dxa" w:w="4252"/>
            <w:shd w:val="clear" w:color="auto" w:fill="EBF3FB"/>
          </w:tcPr>
          <w:p>
            <w:pPr>
              <w:jc w:val="left"/>
            </w:pPr>
            <w:r/>
            <w:r>
              <w:rPr>
                <w:rFonts w:ascii="Times New Roman" w:hAnsi="Times New Roman"/>
                <w:b w:val="0"/>
                <w:i w:val="0"/>
                <w:sz w:val="20"/>
              </w:rPr>
              <w:t>β at G = 0  (high buffer)</w:t>
            </w:r>
          </w:p>
        </w:tc>
        <w:tc>
          <w:tcPr>
            <w:tcW w:type="dxa" w:w="4252"/>
            <w:shd w:val="clear" w:color="auto" w:fill="EBF3FB"/>
          </w:tcPr>
          <w:p>
            <w:pPr>
              <w:jc w:val="center"/>
            </w:pPr>
            <w:r/>
            <w:r>
              <w:rPr>
                <w:rFonts w:ascii="Times New Roman" w:hAnsi="Times New Roman"/>
                <w:b w:val="0"/>
                <w:i w:val="0"/>
                <w:sz w:val="20"/>
              </w:rPr>
              <w:t>−1.84 bps</w:t>
            </w:r>
          </w:p>
        </w:tc>
      </w:tr>
      <w:tr>
        <w:tc>
          <w:tcPr>
            <w:tcW w:type="dxa" w:w="4252"/>
          </w:tcPr>
          <w:p>
            <w:pPr>
              <w:jc w:val="left"/>
            </w:pPr>
            <w:r/>
            <w:r>
              <w:rPr>
                <w:rFonts w:ascii="Times New Roman" w:hAnsi="Times New Roman"/>
                <w:b w:val="0"/>
                <w:i w:val="0"/>
                <w:sz w:val="20"/>
              </w:rPr>
              <w:t>Hansen q* inside LSTAR CI?</w:t>
            </w:r>
          </w:p>
        </w:tc>
        <w:tc>
          <w:tcPr>
            <w:tcW w:type="dxa" w:w="4252"/>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0.051 for numerical stability. Bootstrap CI uses percentile method with B = 1,000 replications.</w:t>
      </w:r>
      <w:r>
        <w:rPr>
          <w:rFonts w:ascii="Times New Roman" w:hAnsi="Times New Roman"/>
          <w:b/>
          <w:i w:val="0"/>
          <w:sz w:val="16"/>
          <w:vertAlign w:val="superscript"/>
        </w:rPr>
        <w:t xml:space="preserve"> [7]</w:t>
      </w:r>
    </w:p>
    <w:p>
      <w:pPr>
        <w:spacing w:before="0" w:after="160"/>
      </w:pPr>
      <w:r>
        <w:rPr>
          <w:rFonts w:ascii="Times New Roman" w:hAnsi="Times New Roman"/>
          <w:b w:val="0"/>
          <w:i w:val="0"/>
          <w:sz w:val="24"/>
        </w:rPr>
        <w:t>The LSTAR results provide convergent support for the threshold region near 13–15%. The transition midpoint c* = 0.1490 (14.9%) is somewhat above Hansen's q* = 0.1301 (13%), with a difference of 0.0189. This divergence is modest and expected: the two models estimate different objects — Hansen finds the sharp-switch point that minimises SSR, while LSTAR finds the smooth-curve midpoint where the regime weight is 0.5. With the corrected spread, the sharpness γ* = 29.8 indicates a genuinely gradual transition rather than a near-step function, which is the more credible finding at N = 51 and consistent with a real economic mechanism that operates continuously rather than discretely. Crucially, Hansen's q* = 13.0% still lies inside the LSTAR bootstrap 90% CI [3.1%, 14.5%], confirming that both models are estimating the same underlying fragility threshold. The effective β at low buffer (−1.81) and high buffer (−12.59) confirm the asymmetric transmission mechanism, directionally consistent with Hansen.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4" name="Picture 4"/>
            <wp:cNvGraphicFramePr>
              <a:graphicFrameLocks noChangeAspect="1"/>
            </wp:cNvGraphicFramePr>
            <a:graphic>
              <a:graphicData uri="http://schemas.openxmlformats.org/drawingml/2006/picture">
                <pic:pic>
                  <pic:nvPicPr>
                    <pic:cNvPr id="0" name="star_transition.png"/>
                    <pic:cNvPicPr/>
                  </pic:nvPicPr>
                  <pic:blipFill>
                    <a:blip r:embed="rId13"/>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0.1490 (13.0%) marked with dashed vertical line.</w:t>
      </w:r>
      <w:r>
        <w:rPr>
          <w:rFonts w:ascii="Times New Roman" w:hAnsi="Times New Roman"/>
          <w:b/>
          <w:i w:val="0"/>
          <w:sz w:val="16"/>
          <w:vertAlign w:val="superscript"/>
        </w:rPr>
        <w:t xml:space="preserve"> [13]</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5 and Figures 5–7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pPr>
        <w:spacing w:before="240" w:after="120"/>
      </w:pPr>
      <w:r>
        <w:rPr>
          <w:rFonts w:ascii="Times New Roman" w:hAnsi="Times New Roman"/>
          <w:b/>
          <w:i w:val="0"/>
          <w:sz w:val="24"/>
        </w:rPr>
        <w:t>Table 5.  Buffer-Conditioned Event Study Results</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shd w:val="clear" w:color="auto" w:fill="BDD7EE"/>
          </w:tcPr>
          <w:p>
            <w:pPr>
              <w:jc w:val="left"/>
            </w:pPr>
            <w:r/>
            <w:r>
              <w:rPr>
                <w:rFonts w:ascii="Times New Roman" w:hAnsi="Times New Roman"/>
                <w:b/>
                <w:i w:val="0"/>
                <w:sz w:val="20"/>
              </w:rPr>
              <w:t>Event</w:t>
            </w:r>
          </w:p>
        </w:tc>
        <w:tc>
          <w:tcPr>
            <w:tcW w:type="dxa" w:w="1417"/>
            <w:shd w:val="clear" w:color="auto" w:fill="BDD7EE"/>
          </w:tcPr>
          <w:p>
            <w:pPr>
              <w:jc w:val="center"/>
            </w:pPr>
            <w:r/>
            <w:r>
              <w:rPr>
                <w:rFonts w:ascii="Times New Roman" w:hAnsi="Times New Roman"/>
                <w:b/>
                <w:i w:val="0"/>
                <w:sz w:val="20"/>
              </w:rPr>
              <w:t>Date</w:t>
            </w:r>
          </w:p>
        </w:tc>
        <w:tc>
          <w:tcPr>
            <w:tcW w:type="dxa" w:w="1417"/>
            <w:shd w:val="clear" w:color="auto" w:fill="BDD7EE"/>
          </w:tcPr>
          <w:p>
            <w:pPr>
              <w:jc w:val="center"/>
            </w:pPr>
            <w:r/>
            <w:r>
              <w:rPr>
                <w:rFonts w:ascii="Times New Roman" w:hAnsi="Times New Roman"/>
                <w:b/>
                <w:i w:val="0"/>
                <w:sz w:val="20"/>
              </w:rPr>
              <w:t>Buffer</w:t>
            </w:r>
          </w:p>
        </w:tc>
        <w:tc>
          <w:tcPr>
            <w:tcW w:type="dxa" w:w="1417"/>
            <w:shd w:val="clear" w:color="auto" w:fill="BDD7EE"/>
          </w:tcPr>
          <w:p>
            <w:pPr>
              <w:jc w:val="center"/>
            </w:pPr>
            <w:r/>
            <w:r>
              <w:rPr>
                <w:rFonts w:ascii="Times New Roman" w:hAnsi="Times New Roman"/>
                <w:b/>
                <w:i w:val="0"/>
                <w:sz w:val="20"/>
              </w:rPr>
              <w:t>CAR[−5,+20]</w:t>
            </w:r>
          </w:p>
        </w:tc>
        <w:tc>
          <w:tcPr>
            <w:tcW w:type="dxa" w:w="1417"/>
            <w:shd w:val="clear" w:color="auto" w:fill="BDD7EE"/>
          </w:tcPr>
          <w:p>
            <w:pPr>
              <w:jc w:val="center"/>
            </w:pPr>
            <w:r/>
            <w:r>
              <w:rPr>
                <w:rFonts w:ascii="Times New Roman" w:hAnsi="Times New Roman"/>
                <w:b/>
                <w:i w:val="0"/>
                <w:sz w:val="20"/>
              </w:rPr>
              <w:t>t-statistic</w:t>
            </w:r>
          </w:p>
        </w:tc>
        <w:tc>
          <w:tcPr>
            <w:tcW w:type="dxa" w:w="1417"/>
            <w:shd w:val="clear" w:color="auto" w:fill="BDD7EE"/>
          </w:tcPr>
          <w:p>
            <w:pPr>
              <w:jc w:val="center"/>
            </w:pPr>
            <w:r/>
            <w:r>
              <w:rPr>
                <w:rFonts w:ascii="Times New Roman" w:hAnsi="Times New Roman"/>
                <w:b/>
                <w:i w:val="0"/>
                <w:sz w:val="20"/>
              </w:rPr>
              <w:t>p-value</w:t>
            </w:r>
          </w:p>
        </w:tc>
      </w:tr>
      <w:tr>
        <w:tc>
          <w:tcPr>
            <w:tcW w:type="dxa" w:w="1417"/>
            <w:shd w:val="clear" w:color="auto" w:fill="EBF3FB"/>
          </w:tcPr>
          <w:p>
            <w:pPr>
              <w:jc w:val="left"/>
            </w:pPr>
            <w:r/>
            <w:r>
              <w:rPr>
                <w:rFonts w:ascii="Times New Roman" w:hAnsi="Times New Roman"/>
                <w:b w:val="0"/>
                <w:i w:val="0"/>
                <w:sz w:val="20"/>
              </w:rPr>
              <w:t>LUNA/UST Collapse</w:t>
            </w:r>
          </w:p>
        </w:tc>
        <w:tc>
          <w:tcPr>
            <w:tcW w:type="dxa" w:w="1417"/>
            <w:shd w:val="clear" w:color="auto" w:fill="EBF3FB"/>
          </w:tcPr>
          <w:p>
            <w:pPr>
              <w:jc w:val="center"/>
            </w:pPr>
            <w:r/>
            <w:r>
              <w:rPr>
                <w:rFonts w:ascii="Times New Roman" w:hAnsi="Times New Roman"/>
                <w:b w:val="0"/>
                <w:i w:val="0"/>
                <w:sz w:val="20"/>
              </w:rPr>
              <w:t>2022-05-09</w:t>
            </w:r>
          </w:p>
        </w:tc>
        <w:tc>
          <w:tcPr>
            <w:tcW w:type="dxa" w:w="1417"/>
            <w:shd w:val="clear" w:color="auto" w:fill="EBF3FB"/>
          </w:tcPr>
          <w:p>
            <w:pPr>
              <w:jc w:val="center"/>
            </w:pPr>
            <w:r/>
            <w:r>
              <w:rPr>
                <w:rFonts w:ascii="Times New Roman" w:hAnsi="Times New Roman"/>
                <w:b w:val="0"/>
                <w:i w:val="0"/>
                <w:sz w:val="20"/>
              </w:rPr>
              <w:t>Low</w:t>
            </w:r>
          </w:p>
        </w:tc>
        <w:tc>
          <w:tcPr>
            <w:tcW w:type="dxa" w:w="1417"/>
            <w:shd w:val="clear" w:color="auto" w:fill="EBF3FB"/>
          </w:tcPr>
          <w:p>
            <w:pPr>
              <w:jc w:val="center"/>
            </w:pPr>
            <w:r/>
            <w:r>
              <w:rPr>
                <w:rFonts w:ascii="Times New Roman" w:hAnsi="Times New Roman"/>
                <w:b w:val="0"/>
                <w:i w:val="0"/>
                <w:sz w:val="20"/>
              </w:rPr>
              <w:t>−15.3 bps</w:t>
            </w:r>
          </w:p>
        </w:tc>
        <w:tc>
          <w:tcPr>
            <w:tcW w:type="dxa" w:w="1417"/>
            <w:shd w:val="clear" w:color="auto" w:fill="EBF3FB"/>
          </w:tcPr>
          <w:p>
            <w:pPr>
              <w:jc w:val="center"/>
            </w:pPr>
            <w:r/>
            <w:r>
              <w:rPr>
                <w:rFonts w:ascii="Times New Roman" w:hAnsi="Times New Roman"/>
                <w:b w:val="0"/>
                <w:i w:val="0"/>
                <w:sz w:val="20"/>
              </w:rPr>
              <w:t>−1.07</w:t>
            </w:r>
          </w:p>
        </w:tc>
        <w:tc>
          <w:tcPr>
            <w:tcW w:type="dxa" w:w="1417"/>
            <w:shd w:val="clear" w:color="auto" w:fill="EBF3FB"/>
          </w:tcPr>
          <w:p>
            <w:pPr>
              <w:jc w:val="center"/>
            </w:pPr>
            <w:r/>
            <w:r>
              <w:rPr>
                <w:rFonts w:ascii="Times New Roman" w:hAnsi="Times New Roman"/>
                <w:b w:val="0"/>
                <w:i w:val="0"/>
                <w:sz w:val="20"/>
              </w:rPr>
              <w:t>0.295  n.s.</w:t>
            </w:r>
          </w:p>
        </w:tc>
      </w:tr>
      <w:tr>
        <w:tc>
          <w:tcPr>
            <w:tcW w:type="dxa" w:w="1417"/>
            <w:shd w:val="clear" w:color="auto" w:fill="FFFFFF"/>
          </w:tcPr>
          <w:p>
            <w:pPr>
              <w:jc w:val="left"/>
            </w:pPr>
            <w:r/>
            <w:r>
              <w:rPr>
                <w:rFonts w:ascii="Times New Roman" w:hAnsi="Times New Roman"/>
                <w:b w:val="0"/>
                <w:i w:val="0"/>
                <w:sz w:val="20"/>
              </w:rPr>
              <w:t>USDT Partial Depeg</w:t>
            </w:r>
          </w:p>
        </w:tc>
        <w:tc>
          <w:tcPr>
            <w:tcW w:type="dxa" w:w="1417"/>
            <w:shd w:val="clear" w:color="auto" w:fill="FFFFFF"/>
          </w:tcPr>
          <w:p>
            <w:pPr>
              <w:jc w:val="center"/>
            </w:pPr>
            <w:r/>
            <w:r>
              <w:rPr>
                <w:rFonts w:ascii="Times New Roman" w:hAnsi="Times New Roman"/>
                <w:b w:val="0"/>
                <w:i w:val="0"/>
                <w:sz w:val="20"/>
              </w:rPr>
              <w:t>2022-05-12</w:t>
            </w:r>
          </w:p>
        </w:tc>
        <w:tc>
          <w:tcPr>
            <w:tcW w:type="dxa" w:w="1417"/>
            <w:shd w:val="clear" w:color="auto" w:fill="FFFFFF"/>
          </w:tcPr>
          <w:p>
            <w:pPr>
              <w:jc w:val="center"/>
            </w:pPr>
            <w:r/>
            <w:r>
              <w:rPr>
                <w:rFonts w:ascii="Times New Roman" w:hAnsi="Times New Roman"/>
                <w:b w:val="0"/>
                <w:i w:val="0"/>
                <w:sz w:val="20"/>
              </w:rPr>
              <w:t>Low</w:t>
            </w:r>
          </w:p>
        </w:tc>
        <w:tc>
          <w:tcPr>
            <w:tcW w:type="dxa" w:w="1417"/>
            <w:shd w:val="clear" w:color="auto" w:fill="FFFFFF"/>
          </w:tcPr>
          <w:p>
            <w:pPr>
              <w:jc w:val="center"/>
            </w:pPr>
            <w:r/>
            <w:r>
              <w:rPr>
                <w:rFonts w:ascii="Times New Roman" w:hAnsi="Times New Roman"/>
                <w:b w:val="0"/>
                <w:i w:val="0"/>
                <w:sz w:val="20"/>
              </w:rPr>
              <w:t>−4.3 bps</w:t>
            </w:r>
          </w:p>
        </w:tc>
        <w:tc>
          <w:tcPr>
            <w:tcW w:type="dxa" w:w="1417"/>
            <w:shd w:val="clear" w:color="auto" w:fill="FFFFFF"/>
          </w:tcPr>
          <w:p>
            <w:pPr>
              <w:jc w:val="center"/>
            </w:pPr>
            <w:r/>
            <w:r>
              <w:rPr>
                <w:rFonts w:ascii="Times New Roman" w:hAnsi="Times New Roman"/>
                <w:b w:val="0"/>
                <w:i w:val="0"/>
                <w:sz w:val="20"/>
              </w:rPr>
              <w:t>−0.31</w:t>
            </w:r>
          </w:p>
        </w:tc>
        <w:tc>
          <w:tcPr>
            <w:tcW w:type="dxa" w:w="1417"/>
            <w:shd w:val="clear" w:color="auto" w:fill="FFFFFF"/>
          </w:tcPr>
          <w:p>
            <w:pPr>
              <w:jc w:val="center"/>
            </w:pPr>
            <w:r/>
            <w:r>
              <w:rPr>
                <w:rFonts w:ascii="Times New Roman" w:hAnsi="Times New Roman"/>
                <w:b w:val="0"/>
                <w:i w:val="0"/>
                <w:sz w:val="20"/>
              </w:rPr>
              <w:t>0.759  n.s.</w:t>
            </w:r>
          </w:p>
        </w:tc>
      </w:tr>
      <w:tr>
        <w:tc>
          <w:tcPr>
            <w:tcW w:type="dxa" w:w="1417"/>
            <w:shd w:val="clear" w:color="auto" w:fill="EBF3FB"/>
          </w:tcPr>
          <w:p>
            <w:pPr>
              <w:jc w:val="left"/>
            </w:pPr>
            <w:r/>
            <w:r>
              <w:rPr>
                <w:rFonts w:ascii="Times New Roman" w:hAnsi="Times New Roman"/>
                <w:b w:val="0"/>
                <w:i w:val="0"/>
                <w:sz w:val="20"/>
              </w:rPr>
              <w:t>USDC / SVB Failure</w:t>
            </w:r>
          </w:p>
        </w:tc>
        <w:tc>
          <w:tcPr>
            <w:tcW w:type="dxa" w:w="1417"/>
            <w:shd w:val="clear" w:color="auto" w:fill="EBF3FB"/>
          </w:tcPr>
          <w:p>
            <w:pPr>
              <w:jc w:val="center"/>
            </w:pPr>
            <w:r/>
            <w:r>
              <w:rPr>
                <w:rFonts w:ascii="Times New Roman" w:hAnsi="Times New Roman"/>
                <w:b w:val="0"/>
                <w:i w:val="0"/>
                <w:sz w:val="20"/>
              </w:rPr>
              <w:t>2023-03-11</w:t>
            </w:r>
          </w:p>
        </w:tc>
        <w:tc>
          <w:tcPr>
            <w:tcW w:type="dxa" w:w="1417"/>
            <w:shd w:val="clear" w:color="auto" w:fill="EBF3FB"/>
          </w:tcPr>
          <w:p>
            <w:pPr>
              <w:jc w:val="center"/>
            </w:pPr>
            <w:r/>
            <w:r>
              <w:rPr>
                <w:rFonts w:ascii="Times New Roman" w:hAnsi="Times New Roman"/>
                <w:b w:val="0"/>
                <w:i w:val="0"/>
                <w:sz w:val="20"/>
              </w:rPr>
              <w:t>High</w:t>
            </w:r>
          </w:p>
        </w:tc>
        <w:tc>
          <w:tcPr>
            <w:tcW w:type="dxa" w:w="1417"/>
            <w:shd w:val="clear" w:color="auto" w:fill="EBF3FB"/>
          </w:tcPr>
          <w:p>
            <w:pPr>
              <w:jc w:val="center"/>
            </w:pPr>
            <w:r/>
            <w:r>
              <w:rPr>
                <w:rFonts w:ascii="Times New Roman" w:hAnsi="Times New Roman"/>
                <w:b w:val="0"/>
                <w:i w:val="0"/>
                <w:sz w:val="20"/>
              </w:rPr>
              <w:t>−2.4 bps</w:t>
            </w:r>
          </w:p>
        </w:tc>
        <w:tc>
          <w:tcPr>
            <w:tcW w:type="dxa" w:w="1417"/>
            <w:shd w:val="clear" w:color="auto" w:fill="EBF3FB"/>
          </w:tcPr>
          <w:p>
            <w:pPr>
              <w:jc w:val="center"/>
            </w:pPr>
            <w:r/>
            <w:r>
              <w:rPr>
                <w:rFonts w:ascii="Times New Roman" w:hAnsi="Times New Roman"/>
                <w:b w:val="0"/>
                <w:i w:val="0"/>
                <w:sz w:val="20"/>
              </w:rPr>
              <w:t>−0.04</w:t>
            </w:r>
          </w:p>
        </w:tc>
        <w:tc>
          <w:tcPr>
            <w:tcW w:type="dxa" w:w="1417"/>
            <w:shd w:val="clear" w:color="auto" w:fill="EBF3FB"/>
          </w:tcPr>
          <w:p>
            <w:pPr>
              <w:jc w:val="center"/>
            </w:pPr>
            <w:r/>
            <w:r>
              <w:rPr>
                <w:rFonts w:ascii="Times New Roman" w:hAnsi="Times New Roman"/>
                <w:b w:val="0"/>
                <w:i w:val="0"/>
                <w:sz w:val="20"/>
              </w:rPr>
              <w:t>0.967  n.s.</w:t>
            </w:r>
          </w:p>
        </w:tc>
      </w:tr>
      <w:tr>
        <w:tc>
          <w:tcPr>
            <w:tcW w:type="dxa" w:w="1417"/>
            <w:shd w:val="clear" w:color="auto" w:fill="FFFFFF"/>
          </w:tcPr>
          <w:p>
            <w:pPr>
              <w:jc w:val="left"/>
            </w:pPr>
            <w:r/>
            <w:r>
              <w:rPr>
                <w:rFonts w:ascii="Times New Roman" w:hAnsi="Times New Roman"/>
                <w:b w:val="0"/>
                <w:i w:val="0"/>
                <w:sz w:val="20"/>
              </w:rPr>
              <w:t>Low vs. High (diff test)</w:t>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t>−0.13</w:t>
            </w:r>
          </w:p>
        </w:tc>
        <w:tc>
          <w:tcPr>
            <w:tcW w:type="dxa" w:w="1417"/>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r>
        <w:rPr>
          <w:rFonts w:ascii="Times New Roman" w:hAnsi="Times New Roman"/>
          <w:b/>
          <w:i w:val="0"/>
          <w:sz w:val="16"/>
          <w:vertAlign w:val="superscript"/>
        </w:rPr>
        <w:t xml:space="preserve"> [8,9,10]</w:t>
      </w:r>
    </w:p>
    <w:p>
      <w:pPr>
        <w:spacing w:before="0" w:after="160"/>
      </w:pPr>
      <w:r>
        <w:rPr>
          <w:rFonts w:ascii="Times New Roman" w:hAnsi="Times New Roman"/>
          <w:b w:val="0"/>
          <w:i w:val="0"/>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pPr>
        <w:spacing w:before="0" w:after="160"/>
      </w:pPr>
      <w:r>
        <w:rPr>
          <w:rFonts w:ascii="Times New Roman" w:hAnsi="Times New Roman"/>
          <w:b w:val="0"/>
          <w:i w:val="0"/>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14.9% (Section 5.3).</w:t>
      </w:r>
    </w:p>
    <w:p>
      <w:pPr>
        <w:spacing w:before="240" w:after="120"/>
      </w:pPr>
      <w:r>
        <w:rPr>
          <w:rFonts w:ascii="Times New Roman" w:hAnsi="Times New Roman"/>
          <w:b/>
          <w:i w:val="0"/>
          <w:sz w:val="24"/>
        </w:rPr>
        <w:t>Figure 5.  Event Study: Level Model vs. First-Difference Correction</w:t>
      </w:r>
    </w:p>
    <w:p>
      <w:pPr>
        <w:jc w:val="center"/>
      </w:pPr>
      <w:r>
        <w:drawing>
          <wp:inline xmlns:a="http://schemas.openxmlformats.org/drawingml/2006/main" xmlns:pic="http://schemas.openxmlformats.org/drawingml/2006/picture">
            <wp:extent cx="5303520" cy="2502301"/>
            <wp:docPr id="5" name="Picture 5"/>
            <wp:cNvGraphicFramePr>
              <a:graphicFrameLocks noChangeAspect="1"/>
            </wp:cNvGraphicFramePr>
            <a:graphic>
              <a:graphicData uri="http://schemas.openxmlformats.org/drawingml/2006/picture">
                <pic:pic>
                  <pic:nvPicPr>
                    <pic:cNvPr id="0" name="car_comparison.png"/>
                    <pic:cNvPicPr/>
                  </pic:nvPicPr>
                  <pic:blipFill>
                    <a:blip r:embed="rId14"/>
                    <a:stretch>
                      <a:fillRect/>
                    </a:stretch>
                  </pic:blipFill>
                  <pic:spPr>
                    <a:xfrm>
                      <a:off x="0" y="0"/>
                      <a:ext cx="5303520" cy="2502301"/>
                    </a:xfrm>
                    <a:prstGeom prst="rect"/>
                  </pic:spPr>
                </pic:pic>
              </a:graphicData>
            </a:graphic>
          </wp:inline>
        </w:drawing>
      </w:r>
    </w:p>
    <w:p>
      <w:pPr>
        <w:spacing w:before="40" w:after="200"/>
      </w:pPr>
      <w:r>
        <w:rPr>
          <w:rFonts w:ascii="Times New Roman" w:hAnsi="Times New Roman"/>
          <w:b w:val="0"/>
          <w:i/>
          <w:sz w:val="18"/>
        </w:rPr>
        <w:t>Note: CARs from the original level-model specification (left bars) vs. the corrected first-difference specification (right bars) for each of the three stress episodes. The level model CARs were inflated ~120× by the Fed hiking trend in the estimation window.</w:t>
      </w:r>
      <w:r>
        <w:rPr>
          <w:rFonts w:ascii="Times New Roman" w:hAnsi="Times New Roman"/>
          <w:b/>
          <w:i w:val="0"/>
          <w:sz w:val="16"/>
          <w:vertAlign w:val="superscript"/>
        </w:rPr>
        <w:t xml:space="preserve"> [9]</w:t>
      </w:r>
    </w:p>
    <w:p/>
    <w:p>
      <w:pPr>
        <w:spacing w:before="240" w:after="120"/>
      </w:pPr>
      <w:r>
        <w:rPr>
          <w:rFonts w:ascii="Times New Roman" w:hAnsi="Times New Roman"/>
          <w:b/>
          <w:i w:val="0"/>
          <w:sz w:val="24"/>
        </w:rPr>
        <w:t>Figure 6.  Cumulative Abnormal Spread: Corrected Event Study</w:t>
      </w:r>
    </w:p>
    <w:p>
      <w:pPr>
        <w:jc w:val="center"/>
      </w:pPr>
      <w:r>
        <w:drawing>
          <wp:inline xmlns:a="http://schemas.openxmlformats.org/drawingml/2006/main" xmlns:pic="http://schemas.openxmlformats.org/drawingml/2006/picture">
            <wp:extent cx="5303520" cy="1407783"/>
            <wp:docPr id="6" name="Picture 6"/>
            <wp:cNvGraphicFramePr>
              <a:graphicFrameLocks noChangeAspect="1"/>
            </wp:cNvGraphicFramePr>
            <a:graphic>
              <a:graphicData uri="http://schemas.openxmlformats.org/drawingml/2006/picture">
                <pic:pic>
                  <pic:nvPicPr>
                    <pic:cNvPr id="0" name="event_study_cars.png"/>
                    <pic:cNvPicPr/>
                  </pic:nvPicPr>
                  <pic:blipFill>
                    <a:blip r:embed="rId15"/>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(bps) over [−5, +20] trading days. First-difference normal model. Red: low-buffer events (LUNA/UST, USDT depeg). Blue: high-buffer event (USDC/SVB). τ = 0 is the event date. All CARs are insignificant.</w:t>
      </w:r>
      <w:r>
        <w:rPr>
          <w:rFonts w:ascii="Times New Roman" w:hAnsi="Times New Roman"/>
          <w:b/>
          <w:i w:val="0"/>
          <w:sz w:val="16"/>
          <w:vertAlign w:val="superscript"/>
        </w:rPr>
        <w:t xml:space="preserve"> [8]</w:t>
      </w:r>
    </w:p>
    <w:p/>
    <w:p>
      <w:pPr>
        <w:spacing w:before="240" w:after="120"/>
      </w:pPr>
      <w:r>
        <w:rPr>
          <w:rFonts w:ascii="Times New Roman" w:hAnsi="Times New Roman"/>
          <w:b/>
          <w:i w:val="0"/>
          <w:sz w:val="24"/>
        </w:rPr>
        <w:t>Figure 7.  Placebo Test: Actual vs. Pseudo-Event CARs</w:t>
      </w:r>
    </w:p>
    <w:p>
      <w:pPr>
        <w:jc w:val="center"/>
      </w:pPr>
      <w:r>
        <w:drawing>
          <wp:inline xmlns:a="http://schemas.openxmlformats.org/drawingml/2006/main" xmlns:pic="http://schemas.openxmlformats.org/drawingml/2006/picture">
            <wp:extent cx="5303520" cy="2627665"/>
            <wp:docPr id="7" name="Picture 7"/>
            <wp:cNvGraphicFramePr>
              <a:graphicFrameLocks noChangeAspect="1"/>
            </wp:cNvGraphicFramePr>
            <a:graphic>
              <a:graphicData uri="http://schemas.openxmlformats.org/drawingml/2006/picture">
                <pic:pic>
                  <pic:nvPicPr>
                    <pic:cNvPr id="0" name="placebo_cars.png"/>
                    <pic:cNvPicPr/>
                  </pic:nvPicPr>
                  <pic:blipFill>
                    <a:blip r:embed="rId16"/>
                    <a:stretch>
                      <a:fillRect/>
                    </a:stretch>
                  </pic:blipFill>
                  <pic:spPr>
                    <a:xfrm>
                      <a:off x="0" y="0"/>
                      <a:ext cx="5303520" cy="2627665"/>
                    </a:xfrm>
                    <a:prstGeom prst="rect"/>
                  </pic:spPr>
                </pic:pic>
              </a:graphicData>
            </a:graphic>
          </wp:inline>
        </w:drawing>
      </w:r>
    </w:p>
    <w:p>
      <w:pPr>
        <w:spacing w:before="40" w:after="200"/>
      </w:pPr>
      <w:r>
        <w:rPr>
          <w:rFonts w:ascii="Times New Roman" w:hAnsi="Times New Roman"/>
          <w:b w:val="0"/>
          <w:i/>
          <w:sz w:val="18"/>
        </w:rPr>
        <w:t>Note: Comparison of mean absolute CARs for the three actual stress episodes versus three placebo pseudo-events drawn from quiet periods. Mean |CAR|: actual = 7.3 bps, placebo = 4.8 bps (ratio 1.5×). Actual events are indistinguishable from noise.</w:t>
      </w:r>
    </w:p>
    <w:p/>
    <w:p>
      <w:pPr>
        <w:spacing w:before="240" w:after="120"/>
      </w:pPr>
      <w:r>
        <w:rPr>
          <w:rFonts w:ascii="Times New Roman" w:hAnsi="Times New Roman"/>
          <w:b/>
          <w:i w:val="0"/>
          <w:sz w:val="24"/>
        </w:rPr>
        <w:t>5.5  Auction-Level Mechanism Validation</w:t>
      </w:r>
    </w:p>
    <w:p>
      <w:pPr>
        <w:spacing w:before="0" w:after="120"/>
      </w:pPr>
      <w:r>
        <w:rPr>
          <w:rFonts w:ascii="Times New Roman" w:hAnsi="Times New Roman"/>
          <w:b w:val="0"/>
          <w:i w:val="0"/>
          <w:sz w:val="24"/>
        </w:rPr>
        <w:t>The regression in Section 5.1 establishes that aggregate stablecoin supply growth compresses the OIS–Treasury spread. A remaining identification concern is whether this operates through the T-bill demand channel — as the theoretical framework predicts — or through a common macro factor that simultaneously drives supply growth and spread compression. To test the mechanism more directly, we exploit issuer-level heterogeneity in reserve composition. Tether (USDT) holds approximately 80% of reserves in T-bills, while Circle (USDC) holds 30–40% in T-bills and the remainder in cash and money market funds. If the spread compression is reserve-composition driven, USDT supply growth should reduce bid-cover ratios at T-bill primary auctions — when secondary-market T-bill prices are bid up by USDT reserve purchases, primary-market competitive bidding weakens — while USDC supply growth should show no consistent pattern. This issuer-level contrast functions as a natural control: both issuers share the same macro environment, so any systematic difference in their auction-level effects isolates the reserve-composition channel.</w:t>
      </w:r>
    </w:p>
    <w:p>
      <w:pPr>
        <w:spacing w:before="240" w:after="120"/>
      </w:pPr>
      <w:r>
        <w:rPr>
          <w:rFonts w:ascii="Times New Roman" w:hAnsi="Times New Roman"/>
          <w:b/>
          <w:i w:val="0"/>
          <w:sz w:val="24"/>
        </w:rPr>
        <w:t>Table 7.  Bid-Cover Mechanism Validation: USDT vs. USDC</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color="auto" w:fill="BDD7EE"/>
          </w:tcPr>
          <w:p>
            <w:pPr>
              <w:jc w:val="left"/>
            </w:pPr>
            <w:r/>
            <w:r>
              <w:rPr>
                <w:rFonts w:ascii="Times New Roman" w:hAnsi="Times New Roman"/>
                <w:b/>
                <w:i w:val="0"/>
                <w:sz w:val="20"/>
              </w:rPr>
              <w:t>Maturity</w:t>
            </w:r>
          </w:p>
        </w:tc>
        <w:tc>
          <w:tcPr>
            <w:tcW w:type="dxa" w:w="1063"/>
            <w:shd w:val="clear" w:color="auto" w:fill="BDD7EE"/>
          </w:tcPr>
          <w:p>
            <w:pPr>
              <w:jc w:val="center"/>
            </w:pPr>
            <w:r/>
            <w:r>
              <w:rPr>
                <w:rFonts w:ascii="Times New Roman" w:hAnsi="Times New Roman"/>
                <w:b/>
                <w:i w:val="0"/>
                <w:sz w:val="20"/>
              </w:rPr>
              <w:t>N</w:t>
            </w:r>
          </w:p>
        </w:tc>
        <w:tc>
          <w:tcPr>
            <w:tcW w:type="dxa" w:w="1063"/>
            <w:shd w:val="clear" w:color="auto" w:fill="BDD7EE"/>
          </w:tcPr>
          <w:p>
            <w:pPr>
              <w:jc w:val="center"/>
            </w:pPr>
            <w:r/>
            <w:r>
              <w:rPr>
                <w:rFonts w:ascii="Times New Roman" w:hAnsi="Times New Roman"/>
                <w:b/>
                <w:i w:val="0"/>
                <w:sz w:val="20"/>
              </w:rPr>
              <w:t>β_USDT</w:t>
            </w:r>
          </w:p>
        </w:tc>
        <w:tc>
          <w:tcPr>
            <w:tcW w:type="dxa" w:w="1063"/>
            <w:shd w:val="clear" w:color="auto" w:fill="BDD7EE"/>
          </w:tcPr>
          <w:p>
            <w:pPr>
              <w:jc w:val="center"/>
            </w:pPr>
            <w:r/>
            <w:r>
              <w:rPr>
                <w:rFonts w:ascii="Times New Roman" w:hAnsi="Times New Roman"/>
                <w:b/>
                <w:i w:val="0"/>
                <w:sz w:val="20"/>
              </w:rPr>
              <w:t>p_USDT</w:t>
            </w:r>
          </w:p>
        </w:tc>
        <w:tc>
          <w:tcPr>
            <w:tcW w:type="dxa" w:w="1063"/>
            <w:shd w:val="clear" w:color="auto" w:fill="BDD7EE"/>
          </w:tcPr>
          <w:p>
            <w:pPr>
              <w:jc w:val="center"/>
            </w:pPr>
            <w:r/>
            <w:r>
              <w:rPr>
                <w:rFonts w:ascii="Times New Roman" w:hAnsi="Times New Roman"/>
                <w:b/>
                <w:i w:val="0"/>
                <w:sz w:val="20"/>
              </w:rPr>
              <w:t>β_USDC</w:t>
            </w:r>
          </w:p>
        </w:tc>
        <w:tc>
          <w:tcPr>
            <w:tcW w:type="dxa" w:w="1063"/>
            <w:shd w:val="clear" w:color="auto" w:fill="BDD7EE"/>
          </w:tcPr>
          <w:p>
            <w:pPr>
              <w:jc w:val="center"/>
            </w:pPr>
            <w:r/>
            <w:r>
              <w:rPr>
                <w:rFonts w:ascii="Times New Roman" w:hAnsi="Times New Roman"/>
                <w:b/>
                <w:i w:val="0"/>
                <w:sz w:val="20"/>
              </w:rPr>
              <w:t>p_USDC</w:t>
            </w:r>
          </w:p>
        </w:tc>
        <w:tc>
          <w:tcPr>
            <w:tcW w:type="dxa" w:w="1063"/>
            <w:shd w:val="clear" w:color="auto" w:fill="BDD7EE"/>
          </w:tcPr>
          <w:p>
            <w:pPr>
              <w:jc w:val="center"/>
            </w:pPr>
            <w:r/>
            <w:r>
              <w:rPr>
                <w:rFonts w:ascii="Times New Roman" w:hAnsi="Times New Roman"/>
                <w:b/>
                <w:i w:val="0"/>
                <w:sz w:val="20"/>
              </w:rPr>
              <w:t>Wald p</w:t>
            </w:r>
          </w:p>
        </w:tc>
        <w:tc>
          <w:tcPr>
            <w:tcW w:type="dxa" w:w="1063"/>
            <w:shd w:val="clear" w:color="auto" w:fill="BDD7EE"/>
          </w:tcPr>
          <w:p>
            <w:pPr>
              <w:jc w:val="center"/>
            </w:pPr>
            <w:r/>
            <w:r>
              <w:rPr>
                <w:rFonts w:ascii="Times New Roman" w:hAnsi="Times New Roman"/>
                <w:b/>
                <w:i w:val="0"/>
                <w:sz w:val="20"/>
              </w:rPr>
              <w:t>R²</w:t>
            </w:r>
          </w:p>
        </w:tc>
      </w:tr>
      <w:tr>
        <w:tc>
          <w:tcPr>
            <w:tcW w:type="dxa" w:w="1063"/>
            <w:shd w:val="clear" w:color="auto" w:fill="EBF3FB"/>
          </w:tcPr>
          <w:p>
            <w:pPr>
              <w:jc w:val="left"/>
            </w:pPr>
            <w:r/>
            <w:r>
              <w:rPr>
                <w:rFonts w:ascii="Times New Roman" w:hAnsi="Times New Roman"/>
                <w:b w:val="0"/>
                <w:i w:val="0"/>
                <w:sz w:val="20"/>
              </w:rPr>
              <w:t>4-Week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−1.225</w:t>
            </w:r>
          </w:p>
        </w:tc>
        <w:tc>
          <w:tcPr>
            <w:tcW w:type="dxa" w:w="1063"/>
            <w:shd w:val="clear" w:color="auto" w:fill="EBF3FB"/>
          </w:tcPr>
          <w:p>
            <w:pPr>
              <w:jc w:val="center"/>
            </w:pPr>
            <w:r/>
            <w:r>
              <w:rPr>
                <w:rFonts w:ascii="Times New Roman" w:hAnsi="Times New Roman"/>
                <w:b w:val="0"/>
                <w:i w:val="0"/>
                <w:sz w:val="20"/>
              </w:rPr>
              <w:t>0.010**</w:t>
            </w:r>
          </w:p>
        </w:tc>
        <w:tc>
          <w:tcPr>
            <w:tcW w:type="dxa" w:w="1063"/>
            <w:shd w:val="clear" w:color="auto" w:fill="EBF3FB"/>
          </w:tcPr>
          <w:p>
            <w:pPr>
              <w:jc w:val="center"/>
            </w:pPr>
            <w:r/>
            <w:r>
              <w:rPr>
                <w:rFonts w:ascii="Times New Roman" w:hAnsi="Times New Roman"/>
                <w:b w:val="0"/>
                <w:i w:val="0"/>
                <w:sz w:val="20"/>
              </w:rPr>
              <w:t>+0.452</w:t>
            </w:r>
          </w:p>
        </w:tc>
        <w:tc>
          <w:tcPr>
            <w:tcW w:type="dxa" w:w="1063"/>
            <w:shd w:val="clear" w:color="auto" w:fill="EBF3FB"/>
          </w:tcPr>
          <w:p>
            <w:pPr>
              <w:jc w:val="center"/>
            </w:pPr>
            <w:r/>
            <w:r>
              <w:rPr>
                <w:rFonts w:ascii="Times New Roman" w:hAnsi="Times New Roman"/>
                <w:b w:val="0"/>
                <w:i w:val="0"/>
                <w:sz w:val="20"/>
              </w:rPr>
              <w:t>0.060</w:t>
            </w:r>
          </w:p>
        </w:tc>
        <w:tc>
          <w:tcPr>
            <w:tcW w:type="dxa" w:w="1063"/>
            <w:shd w:val="clear" w:color="auto" w:fill="EBF3FB"/>
          </w:tcPr>
          <w:p>
            <w:pPr>
              <w:jc w:val="center"/>
            </w:pPr>
            <w:r/>
            <w:r>
              <w:rPr>
                <w:rFonts w:ascii="Times New Roman" w:hAnsi="Times New Roman"/>
                <w:b w:val="0"/>
                <w:i w:val="0"/>
                <w:sz w:val="20"/>
              </w:rPr>
              <w:t>0.001***</w:t>
            </w:r>
          </w:p>
        </w:tc>
        <w:tc>
          <w:tcPr>
            <w:tcW w:type="dxa" w:w="1063"/>
            <w:shd w:val="clear" w:color="auto" w:fill="EBF3FB"/>
          </w:tcPr>
          <w:p>
            <w:pPr>
              <w:jc w:val="center"/>
            </w:pPr>
            <w:r/>
            <w:r>
              <w:rPr>
                <w:rFonts w:ascii="Times New Roman" w:hAnsi="Times New Roman"/>
                <w:b w:val="0"/>
                <w:i w:val="0"/>
                <w:sz w:val="20"/>
              </w:rPr>
              <w:t>0.391</w:t>
            </w:r>
          </w:p>
        </w:tc>
      </w:tr>
      <w:tr>
        <w:tc>
          <w:tcPr>
            <w:tcW w:type="dxa" w:w="1063"/>
            <w:shd w:val="clear" w:color="auto" w:fill="FFFFFF"/>
          </w:tcPr>
          <w:p>
            <w:pPr>
              <w:jc w:val="left"/>
            </w:pPr>
            <w:r/>
            <w:r>
              <w:rPr>
                <w:rFonts w:ascii="Times New Roman" w:hAnsi="Times New Roman"/>
                <w:b w:val="0"/>
                <w:i w:val="0"/>
                <w:sz w:val="20"/>
              </w:rPr>
              <w:t>8-Week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−1.553</w:t>
            </w:r>
          </w:p>
        </w:tc>
        <w:tc>
          <w:tcPr>
            <w:tcW w:type="dxa" w:w="1063"/>
            <w:shd w:val="clear" w:color="auto" w:fill="FFFFFF"/>
          </w:tcPr>
          <w:p>
            <w:pPr>
              <w:jc w:val="center"/>
            </w:pPr>
            <w:r/>
            <w:r>
              <w:rPr>
                <w:rFonts w:ascii="Times New Roman" w:hAnsi="Times New Roman"/>
                <w:b w:val="0"/>
                <w:i w:val="0"/>
                <w:sz w:val="20"/>
              </w:rPr>
              <w:t>0.007***</w:t>
            </w:r>
          </w:p>
        </w:tc>
        <w:tc>
          <w:tcPr>
            <w:tcW w:type="dxa" w:w="1063"/>
            <w:shd w:val="clear" w:color="auto" w:fill="FFFFFF"/>
          </w:tcPr>
          <w:p>
            <w:pPr>
              <w:jc w:val="center"/>
            </w:pPr>
            <w:r/>
            <w:r>
              <w:rPr>
                <w:rFonts w:ascii="Times New Roman" w:hAnsi="Times New Roman"/>
                <w:b w:val="0"/>
                <w:i w:val="0"/>
                <w:sz w:val="20"/>
              </w:rPr>
              <w:t>+0.145</w:t>
            </w:r>
          </w:p>
        </w:tc>
        <w:tc>
          <w:tcPr>
            <w:tcW w:type="dxa" w:w="1063"/>
            <w:shd w:val="clear" w:color="auto" w:fill="FFFFFF"/>
          </w:tcPr>
          <w:p>
            <w:pPr>
              <w:jc w:val="center"/>
            </w:pPr>
            <w:r/>
            <w:r>
              <w:rPr>
                <w:rFonts w:ascii="Times New Roman" w:hAnsi="Times New Roman"/>
                <w:b w:val="0"/>
                <w:i w:val="0"/>
                <w:sz w:val="20"/>
              </w:rPr>
              <w:t>0.516</w:t>
            </w:r>
          </w:p>
        </w:tc>
        <w:tc>
          <w:tcPr>
            <w:tcW w:type="dxa" w:w="1063"/>
            <w:shd w:val="clear" w:color="auto" w:fill="FFFFFF"/>
          </w:tcPr>
          <w:p>
            <w:pPr>
              <w:jc w:val="center"/>
            </w:pPr>
            <w:r/>
            <w:r>
              <w:rPr>
                <w:rFonts w:ascii="Times New Roman" w:hAnsi="Times New Roman"/>
                <w:b w:val="0"/>
                <w:i w:val="0"/>
                <w:sz w:val="20"/>
              </w:rPr>
              <w:t>0.003***</w:t>
            </w:r>
          </w:p>
        </w:tc>
        <w:tc>
          <w:tcPr>
            <w:tcW w:type="dxa" w:w="1063"/>
            <w:shd w:val="clear" w:color="auto" w:fill="FFFFFF"/>
          </w:tcPr>
          <w:p>
            <w:pPr>
              <w:jc w:val="center"/>
            </w:pPr>
            <w:r/>
            <w:r>
              <w:rPr>
                <w:rFonts w:ascii="Times New Roman" w:hAnsi="Times New Roman"/>
                <w:b w:val="0"/>
                <w:i w:val="0"/>
                <w:sz w:val="20"/>
              </w:rPr>
              <w:t>0.385</w:t>
            </w:r>
          </w:p>
        </w:tc>
      </w:tr>
      <w:tr>
        <w:tc>
          <w:tcPr>
            <w:tcW w:type="dxa" w:w="1063"/>
            <w:shd w:val="clear" w:color="auto" w:fill="EBF3FB"/>
          </w:tcPr>
          <w:p>
            <w:pPr>
              <w:jc w:val="left"/>
            </w:pPr>
            <w:r/>
            <w:r>
              <w:rPr>
                <w:rFonts w:ascii="Times New Roman" w:hAnsi="Times New Roman"/>
                <w:b w:val="0"/>
                <w:i w:val="0"/>
                <w:sz w:val="20"/>
              </w:rPr>
              <w:t>13-Week</w:t>
            </w:r>
          </w:p>
        </w:tc>
        <w:tc>
          <w:tcPr>
            <w:tcW w:type="dxa" w:w="1063"/>
            <w:shd w:val="clear" w:color="auto" w:fill="EBF3FB"/>
          </w:tcPr>
          <w:p>
            <w:pPr>
              <w:jc w:val="center"/>
            </w:pPr>
            <w:r/>
            <w:r>
              <w:rPr>
                <w:rFonts w:ascii="Times New Roman" w:hAnsi="Times New Roman"/>
                <w:b w:val="0"/>
                <w:i w:val="0"/>
                <w:sz w:val="20"/>
              </w:rPr>
              <w:t>51</w:t>
            </w:r>
          </w:p>
        </w:tc>
        <w:tc>
          <w:tcPr>
            <w:tcW w:type="dxa" w:w="1063"/>
            <w:shd w:val="clear" w:color="auto" w:fill="EBF3FB"/>
          </w:tcPr>
          <w:p>
            <w:pPr>
              <w:jc w:val="center"/>
            </w:pPr>
            <w:r/>
            <w:r>
              <w:rPr>
                <w:rFonts w:ascii="Times New Roman" w:hAnsi="Times New Roman"/>
                <w:b w:val="0"/>
                <w:i w:val="0"/>
                <w:sz w:val="20"/>
              </w:rPr>
              <w:t>−1.366</w:t>
            </w:r>
          </w:p>
        </w:tc>
        <w:tc>
          <w:tcPr>
            <w:tcW w:type="dxa" w:w="1063"/>
            <w:shd w:val="clear" w:color="auto" w:fill="EBF3FB"/>
          </w:tcPr>
          <w:p>
            <w:pPr>
              <w:jc w:val="center"/>
            </w:pPr>
            <w:r/>
            <w:r>
              <w:rPr>
                <w:rFonts w:ascii="Times New Roman" w:hAnsi="Times New Roman"/>
                <w:b w:val="0"/>
                <w:i w:val="0"/>
                <w:sz w:val="20"/>
              </w:rPr>
              <w:t>0.003***</w:t>
            </w:r>
          </w:p>
        </w:tc>
        <w:tc>
          <w:tcPr>
            <w:tcW w:type="dxa" w:w="1063"/>
            <w:shd w:val="clear" w:color="auto" w:fill="EBF3FB"/>
          </w:tcPr>
          <w:p>
            <w:pPr>
              <w:jc w:val="center"/>
            </w:pPr>
            <w:r/>
            <w:r>
              <w:rPr>
                <w:rFonts w:ascii="Times New Roman" w:hAnsi="Times New Roman"/>
                <w:b w:val="0"/>
                <w:i w:val="0"/>
                <w:sz w:val="20"/>
              </w:rPr>
              <w:t>+0.338</w:t>
            </w:r>
          </w:p>
        </w:tc>
        <w:tc>
          <w:tcPr>
            <w:tcW w:type="dxa" w:w="1063"/>
            <w:shd w:val="clear" w:color="auto" w:fill="EBF3FB"/>
          </w:tcPr>
          <w:p>
            <w:pPr>
              <w:jc w:val="center"/>
            </w:pPr>
            <w:r/>
            <w:r>
              <w:rPr>
                <w:rFonts w:ascii="Times New Roman" w:hAnsi="Times New Roman"/>
                <w:b w:val="0"/>
                <w:i w:val="0"/>
                <w:sz w:val="20"/>
              </w:rPr>
              <w:t>0.131</w:t>
            </w:r>
          </w:p>
        </w:tc>
        <w:tc>
          <w:tcPr>
            <w:tcW w:type="dxa" w:w="1063"/>
            <w:shd w:val="clear" w:color="auto" w:fill="EBF3FB"/>
          </w:tcPr>
          <w:p>
            <w:pPr>
              <w:jc w:val="center"/>
            </w:pPr>
            <w:r/>
            <w:r>
              <w:rPr>
                <w:rFonts w:ascii="Times New Roman" w:hAnsi="Times New Roman"/>
                <w:b w:val="0"/>
                <w:i w:val="0"/>
                <w:sz w:val="20"/>
              </w:rPr>
              <w:t>0.000***</w:t>
            </w:r>
          </w:p>
        </w:tc>
        <w:tc>
          <w:tcPr>
            <w:tcW w:type="dxa" w:w="1063"/>
            <w:shd w:val="clear" w:color="auto" w:fill="EBF3FB"/>
          </w:tcPr>
          <w:p>
            <w:pPr>
              <w:jc w:val="center"/>
            </w:pPr>
            <w:r/>
            <w:r>
              <w:rPr>
                <w:rFonts w:ascii="Times New Roman" w:hAnsi="Times New Roman"/>
                <w:b w:val="0"/>
                <w:i w:val="0"/>
                <w:sz w:val="20"/>
              </w:rPr>
              <w:t>0.406</w:t>
            </w:r>
          </w:p>
        </w:tc>
      </w:tr>
      <w:tr>
        <w:tc>
          <w:tcPr>
            <w:tcW w:type="dxa" w:w="1063"/>
            <w:shd w:val="clear" w:color="auto" w:fill="FFFFFF"/>
          </w:tcPr>
          <w:p>
            <w:pPr>
              <w:jc w:val="left"/>
            </w:pPr>
            <w:r/>
            <w:r>
              <w:rPr>
                <w:rFonts w:ascii="Times New Roman" w:hAnsi="Times New Roman"/>
                <w:b w:val="0"/>
                <w:i w:val="0"/>
                <w:sz w:val="20"/>
              </w:rPr>
              <w:t>26-Week</w:t>
            </w:r>
          </w:p>
        </w:tc>
        <w:tc>
          <w:tcPr>
            <w:tcW w:type="dxa" w:w="1063"/>
            <w:shd w:val="clear" w:color="auto" w:fill="FFFFFF"/>
          </w:tcPr>
          <w:p>
            <w:pPr>
              <w:jc w:val="center"/>
            </w:pPr>
            <w:r/>
            <w:r>
              <w:rPr>
                <w:rFonts w:ascii="Times New Roman" w:hAnsi="Times New Roman"/>
                <w:b w:val="0"/>
                <w:i w:val="0"/>
                <w:sz w:val="20"/>
              </w:rPr>
              <w:t>51</w:t>
            </w:r>
          </w:p>
        </w:tc>
        <w:tc>
          <w:tcPr>
            <w:tcW w:type="dxa" w:w="1063"/>
            <w:shd w:val="clear" w:color="auto" w:fill="FFFFFF"/>
          </w:tcPr>
          <w:p>
            <w:pPr>
              <w:jc w:val="center"/>
            </w:pPr>
            <w:r/>
            <w:r>
              <w:rPr>
                <w:rFonts w:ascii="Times New Roman" w:hAnsi="Times New Roman"/>
                <w:b w:val="0"/>
                <w:i w:val="0"/>
                <w:sz w:val="20"/>
              </w:rPr>
              <w:t>−1.587</w:t>
            </w:r>
          </w:p>
        </w:tc>
        <w:tc>
          <w:tcPr>
            <w:tcW w:type="dxa" w:w="1063"/>
            <w:shd w:val="clear" w:color="auto" w:fill="FFFFFF"/>
          </w:tcPr>
          <w:p>
            <w:pPr>
              <w:jc w:val="center"/>
            </w:pPr>
            <w:r/>
            <w:r>
              <w:rPr>
                <w:rFonts w:ascii="Times New Roman" w:hAnsi="Times New Roman"/>
                <w:b w:val="0"/>
                <w:i w:val="0"/>
                <w:sz w:val="20"/>
              </w:rPr>
              <w:t>0.000***</w:t>
            </w:r>
          </w:p>
        </w:tc>
        <w:tc>
          <w:tcPr>
            <w:tcW w:type="dxa" w:w="1063"/>
            <w:shd w:val="clear" w:color="auto" w:fill="FFFFFF"/>
          </w:tcPr>
          <w:p>
            <w:pPr>
              <w:jc w:val="center"/>
            </w:pPr>
            <w:r/>
            <w:r>
              <w:rPr>
                <w:rFonts w:ascii="Times New Roman" w:hAnsi="Times New Roman"/>
                <w:b w:val="0"/>
                <w:i w:val="0"/>
                <w:sz w:val="20"/>
              </w:rPr>
              <w:t>−0.016</w:t>
            </w:r>
          </w:p>
        </w:tc>
        <w:tc>
          <w:tcPr>
            <w:tcW w:type="dxa" w:w="1063"/>
            <w:shd w:val="clear" w:color="auto" w:fill="FFFFFF"/>
          </w:tcPr>
          <w:p>
            <w:pPr>
              <w:jc w:val="center"/>
            </w:pPr>
            <w:r/>
            <w:r>
              <w:rPr>
                <w:rFonts w:ascii="Times New Roman" w:hAnsi="Times New Roman"/>
                <w:b w:val="0"/>
                <w:i w:val="0"/>
                <w:sz w:val="20"/>
              </w:rPr>
              <w:t>0.937</w:t>
            </w:r>
          </w:p>
        </w:tc>
        <w:tc>
          <w:tcPr>
            <w:tcW w:type="dxa" w:w="1063"/>
            <w:shd w:val="clear" w:color="auto" w:fill="FFFFFF"/>
          </w:tcPr>
          <w:p>
            <w:pPr>
              <w:jc w:val="center"/>
            </w:pPr>
            <w:r/>
            <w:r>
              <w:rPr>
                <w:rFonts w:ascii="Times New Roman" w:hAnsi="Times New Roman"/>
                <w:b w:val="0"/>
                <w:i w:val="0"/>
                <w:sz w:val="20"/>
              </w:rPr>
              <w:t>0.001***</w:t>
            </w:r>
          </w:p>
        </w:tc>
        <w:tc>
          <w:tcPr>
            <w:tcW w:type="dxa" w:w="1063"/>
            <w:shd w:val="clear" w:color="auto" w:fill="FFFFFF"/>
          </w:tcPr>
          <w:p>
            <w:pPr>
              <w:jc w:val="center"/>
            </w:pPr>
            <w:r/>
            <w:r>
              <w:rPr>
                <w:rFonts w:ascii="Times New Roman" w:hAnsi="Times New Roman"/>
                <w:b w:val="0"/>
                <w:i w:val="0"/>
                <w:sz w:val="20"/>
              </w:rPr>
              <w:t>0.361</w:t>
            </w:r>
          </w:p>
        </w:tc>
      </w:tr>
    </w:tbl>
    <w:p>
      <w:pPr>
        <w:spacing w:before="40" w:after="200"/>
      </w:pPr>
      <w:r>
        <w:rPr>
          <w:rFonts w:ascii="Times New Roman" w:hAnsi="Times New Roman"/>
          <w:b w:val="0"/>
          <w:i/>
          <w:sz w:val="18"/>
        </w:rPr>
        <w:t>Note: OLS with Newey–West HAC standard errors (1 lag). Dependent variable: monthly average T-bill bid-cover ratio (source: TreasuryDirect auction results API). Regressors: dln_supply_USDT and dln_supply_USDC (log monthly supply growth from daily panel month-end values), plus controls: θ, L, V, VIX, ΔlnN*, Δfed funds. Wald p: p-value for H₀: β_USDT = β_USDC. N = 51 months, January 2022 – March 2026. *** p &lt; 0.01, ** p &lt; 0.05, * p &lt; 0.10.</w:t>
      </w:r>
      <w:r>
        <w:rPr>
          <w:rFonts w:ascii="Times New Roman" w:hAnsi="Times New Roman"/>
          <w:b/>
          <w:i w:val="0"/>
          <w:sz w:val="16"/>
          <w:vertAlign w:val="superscript"/>
        </w:rPr>
        <w:t xml:space="preserve"> [14]</w:t>
      </w:r>
    </w:p>
    <w:p>
      <w:pPr>
        <w:spacing w:before="0" w:after="160"/>
      </w:pPr>
      <w:r>
        <w:rPr>
          <w:rFonts w:ascii="Times New Roman" w:hAnsi="Times New Roman"/>
          <w:b w:val="0"/>
          <w:i w:val="0"/>
          <w:sz w:val="24"/>
        </w:rPr>
        <w:t>The results are consistent with the reserve-composition mechanism. USDT supply growth is negative and statistically significant across all four maturities tested (β ranging from −1.23 to −1.59, p &lt; 0.01 for 13-week and 26-week, p &lt; 0.011 for 4-week and 8-week). USDC supply growth is statistically insignificant at all four maturities (p ranging from 0.06 to 0.94). The Wald test strongly rejects equality of the two issuer coefficients at each maturity (p &lt; 0.004 in all cases), confirming that the differential is not sampling noise.</w:t>
      </w:r>
    </w:p>
    <w:p>
      <w:pPr>
        <w:spacing w:before="0" w:after="200"/>
      </w:pPr>
      <w:r>
        <w:rPr>
          <w:rFonts w:ascii="Times New Roman" w:hAnsi="Times New Roman"/>
          <w:b w:val="0"/>
          <w:i w:val="0"/>
          <w:sz w:val="24"/>
        </w:rPr>
        <w:t>This finding provides more direct evidence for the T-bill demand channel than the spread regression alone. The mechanism operates specifically through the issuer whose reserve policy mechanically requires T-bill purchases on each unit of supply growth; the issuer whose reserves are held mostly in cash does not produce the same auction-level signal. We describe this as mechanism-consistent evidence rather than definitive causal identification: bid-cover reflects primary-market competition, while our main result is in secondary-market spreads, so the connection is indirect. Nevertheless, the consistency across four maturities and the sharp issuer-level contrast strengthen confidence in the proposed channel.</w:t>
      </w:r>
    </w:p>
    <w:p/>
    <w:p>
      <w:pPr>
        <w:spacing w:before="240" w:after="120"/>
      </w:pPr>
      <w:r>
        <w:rPr>
          <w:rFonts w:ascii="Times New Roman" w:hAnsi="Times New Roman"/>
          <w:b/>
          <w:i w:val="0"/>
          <w:sz w:val="24"/>
        </w:rPr>
        <w:t>Table 6.  Key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60"/>
            <w:shd w:val="clear" w:color="auto" w:fill="BDD7EE"/>
          </w:tcPr>
          <w:p>
            <w:pPr>
              <w:jc w:val="left"/>
            </w:pPr>
            <w:r/>
            <w:r>
              <w:rPr>
                <w:rFonts w:ascii="Times New Roman" w:hAnsi="Times New Roman"/>
                <w:b/>
                <w:i w:val="0"/>
                <w:sz w:val="20"/>
              </w:rPr>
              <w:t>Finding</w:t>
            </w:r>
          </w:p>
        </w:tc>
        <w:tc>
          <w:tcPr>
            <w:tcW w:type="dxa" w:w="2592"/>
            <w:shd w:val="clear" w:color="auto" w:fill="BDD7EE"/>
          </w:tcPr>
          <w:p>
            <w:pPr>
              <w:jc w:val="center"/>
            </w:pPr>
            <w:r/>
            <w:r>
              <w:rPr>
                <w:rFonts w:ascii="Times New Roman" w:hAnsi="Times New Roman"/>
                <w:b/>
                <w:i w:val="0"/>
                <w:sz w:val="20"/>
              </w:rPr>
              <w:t>Method</w:t>
            </w:r>
          </w:p>
        </w:tc>
        <w:tc>
          <w:tcPr>
            <w:tcW w:type="dxa" w:w="3168"/>
            <w:shd w:val="clear" w:color="auto" w:fill="BDD7EE"/>
          </w:tcPr>
          <w:p>
            <w:pPr>
              <w:jc w:val="center"/>
            </w:pPr>
            <w:r/>
            <w:r>
              <w:rPr>
                <w:rFonts w:ascii="Times New Roman" w:hAnsi="Times New Roman"/>
                <w:b/>
                <w:i w:val="0"/>
                <w:sz w:val="20"/>
              </w:rPr>
              <w:t>Estimate</w:t>
            </w:r>
          </w:p>
        </w:tc>
        <w:tc>
          <w:tcPr>
            <w:tcW w:type="dxa" w:w="2160"/>
            <w:shd w:val="clear" w:color="auto" w:fill="BDD7EE"/>
          </w:tcPr>
          <w:p>
            <w:pPr>
              <w:jc w:val="center"/>
            </w:pPr>
            <w:r/>
            <w:r>
              <w:rPr>
                <w:rFonts w:ascii="Times New Roman" w:hAnsi="Times New Roman"/>
                <w:b/>
                <w:i w:val="0"/>
                <w:sz w:val="20"/>
              </w:rPr>
              <w:t>Status</w:t>
            </w:r>
          </w:p>
        </w:tc>
      </w:tr>
      <w:tr>
        <w:tc>
          <w:tcPr>
            <w:tcW w:type="dxa" w:w="2126"/>
            <w:shd w:val="clear" w:color="auto" w:fill="EBF3FB"/>
          </w:tcPr>
          <w:p>
            <w:pPr>
              <w:jc w:val="left"/>
            </w:pPr>
            <w:r/>
            <w:r>
              <w:rPr>
                <w:rFonts w:ascii="Times New Roman" w:hAnsi="Times New Roman"/>
                <w:b w:val="0"/>
                <w:i w:val="0"/>
                <w:sz w:val="20"/>
              </w:rPr>
              <w:t>Privilege amplification</w:t>
            </w:r>
          </w:p>
        </w:tc>
        <w:tc>
          <w:tcPr>
            <w:tcW w:type="dxa" w:w="2126"/>
            <w:shd w:val="clear" w:color="auto" w:fill="EBF3FB"/>
          </w:tcPr>
          <w:p>
            <w:pPr>
              <w:jc w:val="center"/>
            </w:pPr>
            <w:r/>
            <w:r>
              <w:rPr>
                <w:rFonts w:ascii="Times New Roman" w:hAnsi="Times New Roman"/>
                <w:b w:val="0"/>
                <w:i w:val="0"/>
                <w:sz w:val="20"/>
              </w:rPr>
              <w:t>OLS (Newey–West, 1 lag)</w:t>
            </w:r>
          </w:p>
        </w:tc>
        <w:tc>
          <w:tcPr>
            <w:tcW w:type="dxa" w:w="2126"/>
            <w:shd w:val="clear" w:color="auto" w:fill="EBF3FB"/>
          </w:tcPr>
          <w:p>
            <w:pPr>
              <w:jc w:val="center"/>
            </w:pPr>
            <w:r/>
            <w:r>
              <w:rPr>
                <w:rFonts w:ascii="Times New Roman" w:hAnsi="Times New Roman"/>
                <w:b w:val="0"/>
                <w:i w:val="0"/>
                <w:sz w:val="20"/>
              </w:rPr>
              <w:t>β₁ = −7.57*** (p = 0.004)</w:t>
            </w:r>
          </w:p>
        </w:tc>
        <w:tc>
          <w:tcPr>
            <w:tcW w:type="dxa" w:w="2126"/>
            <w:shd w:val="clear" w:color="auto" w:fill="EBF3FB"/>
          </w:tcPr>
          <w:p>
            <w:pPr>
              <w:jc w:val="center"/>
            </w:pPr>
            <w:r/>
            <w:r>
              <w:rPr>
                <w:rFonts w:ascii="Times New Roman" w:hAnsi="Times New Roman"/>
                <w:b w:val="0"/>
                <w:i w:val="0"/>
                <w:sz w:val="20"/>
              </w:rPr>
              <w:t>✓  Confirmed</w:t>
            </w:r>
          </w:p>
        </w:tc>
      </w:tr>
      <w:tr>
        <w:tc>
          <w:tcPr>
            <w:tcW w:type="dxa" w:w="2126"/>
            <w:shd w:val="clear" w:color="auto" w:fill="FFFFFF"/>
          </w:tcPr>
          <w:p>
            <w:pPr>
              <w:jc w:val="left"/>
            </w:pPr>
            <w:r/>
            <w:r>
              <w:rPr>
                <w:rFonts w:ascii="Times New Roman" w:hAnsi="Times New Roman"/>
                <w:b w:val="0"/>
                <w:i w:val="0"/>
                <w:sz w:val="20"/>
              </w:rPr>
              <w:t>Reserve threshold</w:t>
            </w:r>
          </w:p>
        </w:tc>
        <w:tc>
          <w:tcPr>
            <w:tcW w:type="dxa" w:w="2126"/>
            <w:shd w:val="clear" w:color="auto" w:fill="FFFFFF"/>
          </w:tcPr>
          <w:p>
            <w:pPr>
              <w:jc w:val="center"/>
            </w:pPr>
            <w:r/>
            <w:r>
              <w:rPr>
                <w:rFonts w:ascii="Times New Roman" w:hAnsi="Times New Roman"/>
                <w:b w:val="0"/>
                <w:i w:val="0"/>
                <w:sz w:val="20"/>
              </w:rPr>
              <w:t>Hansen (2000) grid search</w:t>
            </w:r>
          </w:p>
        </w:tc>
        <w:tc>
          <w:tcPr>
            <w:tcW w:type="dxa" w:w="2126"/>
            <w:shd w:val="clear" w:color="auto" w:fill="FFFFFF"/>
          </w:tcPr>
          <w:p>
            <w:pPr>
              <w:jc w:val="center"/>
            </w:pPr>
            <w:r/>
            <w:r>
              <w:rPr>
                <w:rFonts w:ascii="Times New Roman" w:hAnsi="Times New Roman"/>
                <w:b w:val="0"/>
                <w:i w:val="0"/>
                <w:sz w:val="20"/>
              </w:rPr>
              <w:t>q* = 13.0%  (p = 0.406, suggestive)</w:t>
            </w:r>
          </w:p>
        </w:tc>
        <w:tc>
          <w:tcPr>
            <w:tcW w:type="dxa" w:w="2126"/>
            <w:shd w:val="clear" w:color="auto" w:fill="FFFFFF"/>
          </w:tcPr>
          <w:p>
            <w:pPr>
              <w:jc w:val="center"/>
            </w:pPr>
            <w:r/>
            <w:r>
              <w:rPr>
                <w:rFonts w:ascii="Times New Roman" w:hAnsi="Times New Roman"/>
                <w:b w:val="0"/>
                <w:i w:val="0"/>
                <w:sz w:val="20"/>
              </w:rPr>
              <w:t>Economically meaningful</w:t>
            </w:r>
          </w:p>
        </w:tc>
      </w:tr>
      <w:tr>
        <w:tc>
          <w:tcPr>
            <w:tcW w:type="dxa" w:w="2126"/>
            <w:shd w:val="clear" w:color="auto" w:fill="EBF3FB"/>
          </w:tcPr>
          <w:p>
            <w:pPr>
              <w:jc w:val="left"/>
            </w:pPr>
            <w:r/>
            <w:r>
              <w:rPr>
                <w:rFonts w:ascii="Times New Roman" w:hAnsi="Times New Roman"/>
                <w:b w:val="0"/>
                <w:i w:val="0"/>
                <w:sz w:val="20"/>
              </w:rPr>
              <w:t>Threshold robustness</w:t>
            </w:r>
          </w:p>
        </w:tc>
        <w:tc>
          <w:tcPr>
            <w:tcW w:type="dxa" w:w="2126"/>
            <w:shd w:val="clear" w:color="auto" w:fill="EBF3FB"/>
          </w:tcPr>
          <w:p>
            <w:pPr>
              <w:jc w:val="center"/>
            </w:pPr>
            <w:r/>
            <w:r>
              <w:rPr>
                <w:rFonts w:ascii="Times New Roman" w:hAnsi="Times New Roman"/>
                <w:b w:val="0"/>
                <w:i w:val="0"/>
                <w:sz w:val="20"/>
              </w:rPr>
              <w:t>TRIM 15%/20%/25%</w:t>
            </w:r>
          </w:p>
        </w:tc>
        <w:tc>
          <w:tcPr>
            <w:tcW w:type="dxa" w:w="2126"/>
            <w:shd w:val="clear" w:color="auto" w:fill="EBF3FB"/>
          </w:tcPr>
          <w:p>
            <w:pPr>
              <w:jc w:val="center"/>
            </w:pPr>
            <w:r/>
            <w:r>
              <w:rPr>
                <w:rFonts w:ascii="Times New Roman" w:hAnsi="Times New Roman"/>
                <w:b w:val="0"/>
                <w:i w:val="0"/>
                <w:sz w:val="20"/>
              </w:rPr>
              <w:t>q* = 0.1301 at all three values</w:t>
            </w:r>
          </w:p>
        </w:tc>
        <w:tc>
          <w:tcPr>
            <w:tcW w:type="dxa" w:w="2126"/>
            <w:shd w:val="clear" w:color="auto" w:fill="EBF3FB"/>
          </w:tcPr>
          <w:p>
            <w:pPr>
              <w:jc w:val="center"/>
            </w:pPr>
            <w:r/>
            <w:r>
              <w:rPr>
                <w:rFonts w:ascii="Times New Roman" w:hAnsi="Times New Roman"/>
                <w:b w:val="0"/>
                <w:i w:val="0"/>
                <w:sz w:val="20"/>
              </w:rPr>
              <w:t>✓  Stable</w:t>
            </w:r>
          </w:p>
        </w:tc>
      </w:tr>
      <w:tr>
        <w:tc>
          <w:tcPr>
            <w:tcW w:type="dxa" w:w="2126"/>
            <w:shd w:val="clear" w:color="auto" w:fill="FFFFFF"/>
          </w:tcPr>
          <w:p>
            <w:pPr>
              <w:jc w:val="left"/>
            </w:pPr>
            <w:r/>
            <w:r>
              <w:rPr>
                <w:rFonts w:ascii="Times New Roman" w:hAnsi="Times New Roman"/>
                <w:b w:val="0"/>
                <w:i w:val="0"/>
                <w:sz w:val="20"/>
              </w:rPr>
              <w:t>Smooth-transition check</w:t>
            </w:r>
          </w:p>
        </w:tc>
        <w:tc>
          <w:tcPr>
            <w:tcW w:type="dxa" w:w="2126"/>
            <w:shd w:val="clear" w:color="auto" w:fill="FFFFFF"/>
          </w:tcPr>
          <w:p>
            <w:pPr>
              <w:jc w:val="center"/>
            </w:pPr>
            <w:r/>
            <w:r>
              <w:rPr>
                <w:rFonts w:ascii="Times New Roman" w:hAnsi="Times New Roman"/>
                <w:b w:val="0"/>
                <w:i w:val="0"/>
                <w:sz w:val="20"/>
              </w:rPr>
              <w:t>LSTAR (NLS)</w:t>
            </w:r>
          </w:p>
        </w:tc>
        <w:tc>
          <w:tcPr>
            <w:tcW w:type="dxa" w:w="2126"/>
            <w:shd w:val="clear" w:color="auto" w:fill="FFFFFF"/>
          </w:tcPr>
          <w:p>
            <w:pPr>
              <w:jc w:val="center"/>
            </w:pPr>
            <w:r/>
            <w:r>
              <w:rPr>
                <w:rFonts w:ascii="Times New Roman" w:hAnsi="Times New Roman"/>
                <w:b w:val="0"/>
                <w:i w:val="0"/>
                <w:sz w:val="20"/>
              </w:rPr>
              <w:t>c* = 14.9%  (γ* = 29.8)</w:t>
            </w:r>
          </w:p>
        </w:tc>
        <w:tc>
          <w:tcPr>
            <w:tcW w:type="dxa" w:w="2126"/>
            <w:shd w:val="clear" w:color="auto" w:fill="FFFFFF"/>
          </w:tcPr>
          <w:p>
            <w:pPr>
              <w:jc w:val="center"/>
            </w:pPr>
            <w:r/>
            <w:r>
              <w:rPr>
                <w:rFonts w:ascii="Times New Roman" w:hAnsi="Times New Roman"/>
                <w:b w:val="0"/>
                <w:i w:val="0"/>
                <w:sz w:val="20"/>
              </w:rPr>
              <w:t>✓  Convergent validity</w:t>
            </w:r>
          </w:p>
        </w:tc>
      </w:tr>
      <w:tr>
        <w:tc>
          <w:tcPr>
            <w:tcW w:type="dxa" w:w="2126"/>
            <w:shd w:val="clear" w:color="auto" w:fill="EBF3FB"/>
          </w:tcPr>
          <w:p>
            <w:pPr>
              <w:jc w:val="left"/>
            </w:pPr>
            <w:r/>
            <w:r>
              <w:rPr>
                <w:rFonts w:ascii="Times New Roman" w:hAnsi="Times New Roman"/>
                <w:b w:val="0"/>
                <w:i w:val="0"/>
                <w:sz w:val="20"/>
              </w:rPr>
              <w:t>Mechanism validation</w:t>
            </w:r>
          </w:p>
        </w:tc>
        <w:tc>
          <w:tcPr>
            <w:tcW w:type="dxa" w:w="2126"/>
            <w:shd w:val="clear" w:color="auto" w:fill="EBF3FB"/>
          </w:tcPr>
          <w:p>
            <w:pPr>
              <w:jc w:val="center"/>
            </w:pPr>
            <w:r/>
            <w:r>
              <w:rPr>
                <w:rFonts w:ascii="Times New Roman" w:hAnsi="Times New Roman"/>
                <w:b w:val="0"/>
                <w:i w:val="0"/>
                <w:sz w:val="20"/>
              </w:rPr>
              <w:t>Bid-cover, USDT vs. USDC</w:t>
            </w:r>
          </w:p>
        </w:tc>
        <w:tc>
          <w:tcPr>
            <w:tcW w:type="dxa" w:w="2126"/>
            <w:shd w:val="clear" w:color="auto" w:fill="EBF3FB"/>
          </w:tcPr>
          <w:p>
            <w:pPr>
              <w:jc w:val="center"/>
            </w:pPr>
            <w:r/>
            <w:r>
              <w:rPr>
                <w:rFonts w:ascii="Times New Roman" w:hAnsi="Times New Roman"/>
                <w:b w:val="0"/>
                <w:i w:val="0"/>
                <w:sz w:val="20"/>
              </w:rPr>
              <w:t>β_USDT &lt; 0** at 4 maturities; USDC n.s.</w:t>
            </w:r>
          </w:p>
        </w:tc>
        <w:tc>
          <w:tcPr>
            <w:tcW w:type="dxa" w:w="2126"/>
            <w:shd w:val="clear" w:color="auto" w:fill="EBF3FB"/>
          </w:tcPr>
          <w:p>
            <w:pPr>
              <w:jc w:val="center"/>
            </w:pPr>
            <w:r/>
            <w:r>
              <w:rPr>
                <w:rFonts w:ascii="Times New Roman" w:hAnsi="Times New Roman"/>
                <w:b w:val="0"/>
                <w:i w:val="0"/>
                <w:sz w:val="20"/>
              </w:rPr>
              <w:t>✓  Reserve-composition channel</w:t>
            </w:r>
          </w:p>
        </w:tc>
      </w:tr>
      <w:tr>
        <w:tc>
          <w:tcPr>
            <w:tcW w:type="dxa" w:w="2126"/>
            <w:shd w:val="clear" w:color="auto" w:fill="FFFFFF"/>
          </w:tcPr>
          <w:p>
            <w:pPr>
              <w:jc w:val="left"/>
            </w:pPr>
            <w:r/>
            <w:r>
              <w:rPr>
                <w:rFonts w:ascii="Times New Roman" w:hAnsi="Times New Roman"/>
                <w:b w:val="0"/>
                <w:i w:val="0"/>
                <w:sz w:val="20"/>
              </w:rPr>
              <w:t>Event study</w:t>
            </w:r>
          </w:p>
        </w:tc>
        <w:tc>
          <w:tcPr>
            <w:tcW w:type="dxa" w:w="2126"/>
            <w:shd w:val="clear" w:color="auto" w:fill="FFFFFF"/>
          </w:tcPr>
          <w:p>
            <w:pPr>
              <w:jc w:val="center"/>
            </w:pPr>
            <w:r/>
            <w:r>
              <w:rPr>
                <w:rFonts w:ascii="Times New Roman" w:hAnsi="Times New Roman"/>
                <w:b w:val="0"/>
                <w:i w:val="0"/>
                <w:sz w:val="20"/>
              </w:rPr>
              <w:t>First-diff normal model</w:t>
            </w:r>
          </w:p>
        </w:tc>
        <w:tc>
          <w:tcPr>
            <w:tcW w:type="dxa" w:w="2126"/>
            <w:shd w:val="clear" w:color="auto" w:fill="FFFFFF"/>
          </w:tcPr>
          <w:p>
            <w:pPr>
              <w:jc w:val="center"/>
            </w:pPr>
            <w:r/>
            <w:r>
              <w:rPr>
                <w:rFonts w:ascii="Times New Roman" w:hAnsi="Times New Roman"/>
                <w:b w:val="0"/>
                <w:i w:val="0"/>
                <w:sz w:val="20"/>
              </w:rPr>
              <w:t>CARs all n.s. — qualitative only</w:t>
            </w:r>
          </w:p>
        </w:tc>
        <w:tc>
          <w:tcPr>
            <w:tcW w:type="dxa" w:w="2126"/>
            <w:shd w:val="clear" w:color="auto" w:fill="FFFFFF"/>
          </w:tcPr>
          <w:p>
            <w:pPr>
              <w:jc w:val="center"/>
            </w:pPr>
            <w:r/>
            <w:r>
              <w:rPr>
                <w:rFonts w:ascii="Times New Roman" w:hAnsi="Times New Roman"/>
                <w:b w:val="0"/>
                <w:i w:val="0"/>
                <w:sz w:val="20"/>
              </w:rPr>
              <w:t>Directional context</w:t>
            </w:r>
          </w:p>
        </w:tc>
      </w:tr>
    </w:tbl>
    <w:p>
      <w:pPr>
        <w:spacing w:before="40" w:after="200"/>
      </w:pPr>
      <w:r>
        <w:rPr>
          <w:rFonts w:ascii="Times New Roman" w:hAnsi="Times New Roman"/>
          <w:b w:val="0"/>
          <w:i/>
          <w:sz w:val="18"/>
        </w:rPr>
        <w:t>Note: Summary of the five complementary results in Section 5. The bid-cover validation uses a separate dependent variable (T-bill auction bid-cover ratio) and does not affect the spread regression, threshold, or LSTAR estimates — it provides independent mechanism-consistent evidence for the T-bill demand channel.</w:t>
      </w:r>
    </w:p>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−7.57, p = 0.004).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−2.80), while above it the effect reverses (β_ΔlnS = +1.63), suggesting forced liquidation dynamics take hold once liquid buffers are depleted. Convergent validity is confirmed by a logistic smooth-transition regression (LSTAR): the transition midpoint c* = 0.1490 is virtually identical to Hansen's q* = 0.1301, and the moderate-sharpness (γ* = 29.8) independently validates the sharp-switch assumption. Three independent methods — OLS regression, Hansen threshold, and LSTAR — all locate the tipping point near 13%. An auction-level mechanism validation further confirms that the channel operates through reserve composition: USDT supply growth significantly reduces T-bill bid-cover ratios at all four maturities tested, while USDC supply growth does not — consistent with Tether's T-bill-heavy reserve policy driving the auction-side T-bill demand that underlies our spread result.</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[3.1%, 14.5%] reflects the uncertainty in this estimate given N = 51, and the threshold is economically suggestive rather than statistically confirmed (bootstrap p = 0.406).</w:t>
      </w:r>
    </w:p>
    <w:p>
      <w:pPr>
        <w:spacing w:before="0" w:after="200"/>
      </w:pPr>
      <w:r>
        <w:rPr>
          <w:rFonts w:ascii="Times New Roman" w:hAnsi="Times New Roman"/>
          <w:b w:val="0"/>
          <w:i w:val="0"/>
          <w:sz w:val="24"/>
        </w:rPr>
        <w:t>Several limitations warrant acknowledgment. First, the dependent variable — OIS–Treasury spread — is constructed as DGS3MO minus overnight SOFR, which is an improvement over the original DTB3 − SOFR90DAYAVG specification but still not the ideal construction. The proper OIS leg is a forward-looking 3-month Term SOFR rate (CME TSFR3M), which is not available on the FRED public data endpoint for our full sample. Overnight SOFR is current but not term-matched; DGS3MO prices in three months of expected rate moves while overnight SOFR reflects only today's rate. The residual term premium in our spread is an acknowledged limitation. Second, the monthly sample of 51 observations limits statistical power; the decomposed buffer variables θ and L are individually insignificant in the full sample due to multicollinearity, though the post-2023 sub-sample (N = 39) confirms the decomposition has empirical content. Third, the liquid buffer L is observed at monthly frequency for Circle but only quarterly for Tether; 13 of 51 months use forward-filled values, introducing mild serial correlation that Newey–West HAC errors partially address. Fourth, the event study yields noisy CARs with the corrected spread and only three events — per the professor's recommendation, the raw daily spread around each event (shown in Figures 5–6) provides more interpretable evidence than cumulative abnormal returns. Future work should obtain Term SOFR 3M for a fully term-matched spread, extend the sample as attestation data accumulates, and incorporate non-USD stablecoin ecosystems.</w:t>
      </w:r>
    </w:p>
    <w:p>
      <w:r>
        <w:br w:type="page"/>
      </w:r>
    </w:p>
    <w:p>
      <w:pPr>
        <w:spacing w:before="240" w:after="120"/>
      </w:pPr>
      <w:r>
        <w:rPr>
          <w:rFonts w:ascii="Times New Roman" w:hAnsi="Times New Roman"/>
          <w:b/>
          <w:i w:val="0"/>
          <w:sz w:val="26"/>
        </w:rPr>
        <w:t>Acknowledgments</w:t>
      </w:r>
    </w:p>
    <w:p>
      <w:pPr>
        <w:spacing w:before="0" w:after="0"/>
      </w:pPr>
      <w:r>
        <w:rPr>
          <w:rFonts w:ascii="Times New Roman" w:hAnsi="Times New Roman"/>
          <w:b w:val="0"/>
          <w:i w:val="0"/>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pPr>
        <w:spacing w:before="0" w:after="200"/>
      </w:pP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Duffie, D. (2022). Digital currencies and fast payment systems: Disruption is coming. Working Paper, Stanford University.</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MacKinlay, A.C. (1997). Event studies in economics and finance. Journal of Economic Literature, 35(1), 13–39.</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Methodological Notes</w:t>
      </w:r>
    </w:p>
    <w:p>
      <w:pPr>
        <w:spacing w:before="0" w:after="160"/>
      </w:pPr>
      <w:r>
        <w:rPr>
          <w:rFonts w:ascii="Times New Roman" w:hAnsi="Times New Roman"/>
          <w:b w:val="0"/>
          <w:i w:val="0"/>
          <w:sz w:val="24"/>
        </w:rPr>
        <w:t>The following notes explain the justification, construction, and axis definitions for the tools and measures used in this paper. Numbers in brackets such as [1] or [1,2] in table and figure notes refer to the entries below.</w:t>
      </w:r>
    </w:p>
    <w:p>
      <w:pPr>
        <w:spacing w:before="40" w:after="120"/>
        <w:ind w:left="340" w:hanging="340"/>
      </w:pPr>
      <w:r>
        <w:rPr>
          <w:rFonts w:ascii="Times New Roman" w:hAnsi="Times New Roman"/>
          <w:b/>
          <w:i w:val="0"/>
          <w:sz w:val="20"/>
        </w:rPr>
        <w:t xml:space="preserve">[1] OIS–Treasury Spread — What It Measures and Why. </w:t>
      </w:r>
      <w:r>
        <w:rPr>
          <w:rFonts w:ascii="Times New Roman" w:hAnsi="Times New Roman"/>
          <w:b w:val="0"/>
          <w:i w:val="0"/>
          <w:sz w:val="20"/>
        </w:rPr>
        <w:t>The OIS–Treasury spread measures the T-bill convenience yield: the premium investors accept to hold risk-free government paper relative to an uncollateralised overnight-indexed swap of the same tenor. A negative spread means T-bills trade 'rich' to the risk-free rate, reflecting strong safe-asset demand — the channel this paper studies. We use DGS3MO (3-month constant-maturity, bond-equivalent yield) rather than DTB3 (discount basis) for the T-bill leg: discount-basis yields understate the true return by approximately 5–10 bps, creating a systematic downward bias in the spread. In all figures the y-axis is in percentage points (pp); 0.10 pp = 10 basis points. A value near zero is normal; 10 bps is economically large for a convenience yield.</w:t>
      </w:r>
    </w:p>
    <w:p>
      <w:pPr>
        <w:spacing w:before="40" w:after="120"/>
        <w:ind w:left="340" w:hanging="340"/>
      </w:pPr>
      <w:r>
        <w:rPr>
          <w:rFonts w:ascii="Times New Roman" w:hAnsi="Times New Roman"/>
          <w:b/>
          <w:i w:val="0"/>
          <w:sz w:val="20"/>
        </w:rPr>
        <w:t xml:space="preserve">[2] Overnight SOFR as OIS Proxy — Why Not Term SOFR 3M?. </w:t>
      </w:r>
      <w:r>
        <w:rPr>
          <w:rFonts w:ascii="Times New Roman" w:hAnsi="Times New Roman"/>
          <w:b w:val="0"/>
          <w:i w:val="0"/>
          <w:sz w:val="20"/>
        </w:rPr>
        <w:t>The ideal OIS leg is CME Term SOFR 3M — a forward-looking 3-month overnight-indexed swap rate published since July 2021, not available on FRED for our full sample. Overnight SOFR is the best available alternative: it is current (not backward-looking), but lags the 3-month T-bill by the market’s expectation of future hikes, leaving a residual term premium. The original SOFR90DAYAVG (90-day trailing average) was far worse: it lagged overnight SOFR by up to 119 bps during the 2022 hiking cycle, inflating the spread to 84 bps mean — a Fed-policy artifact. Overnight SOFR reduces this to 16.6 bps mean.</w:t>
      </w:r>
    </w:p>
    <w:p>
      <w:pPr>
        <w:spacing w:before="40" w:after="120"/>
        <w:ind w:left="340" w:hanging="340"/>
      </w:pPr>
      <w:r>
        <w:rPr>
          <w:rFonts w:ascii="Times New Roman" w:hAnsi="Times New Roman"/>
          <w:b/>
          <w:i w:val="0"/>
          <w:sz w:val="20"/>
        </w:rPr>
        <w:t xml:space="preserve">[3] Newey–West HAC Standard Errors — Why and Lag Choice. </w:t>
      </w:r>
      <w:r>
        <w:rPr>
          <w:rFonts w:ascii="Times New Roman" w:hAnsi="Times New Roman"/>
          <w:b w:val="0"/>
          <w:i w:val="0"/>
          <w:sz w:val="20"/>
        </w:rPr>
        <w:t>OLS standard errors are inconsistent under autocorrelation or heteroscedasticity, both typical in monthly macro panels. Newey and West (1987) provide a consistent covariance estimator under both problems simultaneously. We use 1 lag following the rule-of-thumb T^(1/4) ≈ 2.7 for N = 51. Robustness checks at 2 and 3 lags produce materially similar inference. HAC corrects only for error-term properties — it does not address endogeneity or omitted variables.</w:t>
      </w:r>
    </w:p>
    <w:p>
      <w:pPr>
        <w:spacing w:before="40" w:after="120"/>
        <w:ind w:left="340" w:hanging="340"/>
      </w:pPr>
      <w:r>
        <w:rPr>
          <w:rFonts w:ascii="Times New Roman" w:hAnsi="Times New Roman"/>
          <w:b/>
          <w:i w:val="0"/>
          <w:sz w:val="20"/>
        </w:rPr>
        <w:t xml:space="preserve">[4] Buffer-Ratio Spec as Primary Result — Multicollinearity Explained. </w:t>
      </w:r>
      <w:r>
        <w:rPr>
          <w:rFonts w:ascii="Times New Roman" w:hAnsi="Times New Roman"/>
          <w:b w:val="0"/>
          <w:i w:val="0"/>
          <w:sz w:val="20"/>
        </w:rPr>
        <w:t>Column (1) includes θ, L, and L×ΔlnS separately. All three are built from the same quarterly attestation data and share denominator S, making them highly correlated. At N = 51 the regression cannot identify their separate contributions, producing inflated standard errors and insignificant β₁. Column (2) uses B = (T-bills + cash)/supply, collapsing the three into one composite and resolving the collinearity. The post-2023 sub-sample (N = 39) shows the decomposed spec becomes significant as the time series lengthens and multicollinearity weakens.</w:t>
      </w:r>
    </w:p>
    <w:p>
      <w:pPr>
        <w:spacing w:before="40" w:after="120"/>
        <w:ind w:left="340" w:hanging="340"/>
      </w:pPr>
      <w:r>
        <w:rPr>
          <w:rFonts w:ascii="Times New Roman" w:hAnsi="Times New Roman"/>
          <w:b/>
          <w:i w:val="0"/>
          <w:sz w:val="20"/>
        </w:rPr>
        <w:t xml:space="preserve">[5] Hansen (2000) Threshold Regression — Methodology and Inference. </w:t>
      </w:r>
      <w:r>
        <w:rPr>
          <w:rFonts w:ascii="Times New Roman" w:hAnsi="Times New Roman"/>
          <w:b w:val="0"/>
          <w:i w:val="0"/>
          <w:sz w:val="20"/>
        </w:rPr>
        <w:t>Hansen (2000) estimates a structural break in regression coefficients at an unknown threshold in a continuous variable — here the liquid buffer L. The threshold q* minimises the residual sum of squares (SSR) over a grid of candidate values (Figure 2). Standard asymptotic inference does not apply under H₀: no threshold (the threshold parameter is unidentified under the null), so we use bootstrap likelihood-ratio statistics: 1,000 bootstrap samples, re-estimate each time, p-value from the empirical LR distribution. This is preferable to arbitrary thresholds (e.g. median) because q* is estimated endogenously from the data.</w:t>
      </w:r>
    </w:p>
    <w:p>
      <w:pPr>
        <w:spacing w:before="40" w:after="120"/>
        <w:ind w:left="340" w:hanging="340"/>
      </w:pPr>
      <w:r>
        <w:rPr>
          <w:rFonts w:ascii="Times New Roman" w:hAnsi="Times New Roman"/>
          <w:b/>
          <w:i w:val="0"/>
          <w:sz w:val="20"/>
        </w:rPr>
        <w:t xml:space="preserve">[6] TRIM Parameter — What It Is and Why 15%. </w:t>
      </w:r>
      <w:r>
        <w:rPr>
          <w:rFonts w:ascii="Times New Roman" w:hAnsi="Times New Roman"/>
          <w:b w:val="0"/>
          <w:i w:val="0"/>
          <w:sz w:val="20"/>
        </w:rPr>
        <w:t>TRIM excludes the outermost fraction of the threshold variable from the candidate grid, preventing the estimated threshold from splitting the sample into very small regimes where coefficient estimates are unreliable. Hansen’s recommended 15% is our baseline. Figure 3 shows q* = 0.1301 at TRIM = 15%, 20%, and 25%, ruling out a grid-boundary artifact. X-axis in Figure 3: TRIM value. Y-axis: estimated q*.</w:t>
      </w:r>
    </w:p>
    <w:p>
      <w:pPr>
        <w:spacing w:before="40" w:after="120"/>
        <w:ind w:left="340" w:hanging="340"/>
      </w:pPr>
      <w:r>
        <w:rPr>
          <w:rFonts w:ascii="Times New Roman" w:hAnsi="Times New Roman"/>
          <w:b/>
          <w:i w:val="0"/>
          <w:sz w:val="20"/>
        </w:rPr>
        <w:t xml:space="preserve">[7] LSTAR — Why Smooth Transition? What Does γ* Mean?. </w:t>
      </w:r>
      <w:r>
        <w:rPr>
          <w:rFonts w:ascii="Times New Roman" w:hAnsi="Times New Roman"/>
          <w:b w:val="0"/>
          <w:i w:val="0"/>
          <w:sz w:val="20"/>
        </w:rPr>
        <w:t>Hansen (2000) forces a binary regime switch. LSTAR (Teräsvirta 1994) replaces the step function with G(L; γ, c) = [1 + exp(−γ(L−c))]⁻¹. As γ → ∞, G(L) → step function, recovering Hansen’s model. c is the L value where regime weight = 0.5 (transition midpoint). γ* = 29.8 indicates a gradual transition — the corrected spread supports a continuous mechanism rather than a discrete switch. Both models are estimated independently; Hansen q* inside LSTAR CI provides cross-model validation. Figure 4 left panel y-axis: G(L) ∈ [0,1]; right panel y-axis: effective β (marginal effect of ΔlnS on spread); dashed line marks c* = 14.9%.</w:t>
      </w:r>
    </w:p>
    <w:p>
      <w:pPr>
        <w:spacing w:before="40" w:after="120"/>
        <w:ind w:left="340" w:hanging="340"/>
      </w:pPr>
      <w:r>
        <w:rPr>
          <w:rFonts w:ascii="Times New Roman" w:hAnsi="Times New Roman"/>
          <w:b/>
          <w:i w:val="0"/>
          <w:sz w:val="20"/>
        </w:rPr>
        <w:t xml:space="preserve">[8] CAR — Definition, Justification, and Axis Interpretation. </w:t>
      </w:r>
      <w:r>
        <w:rPr>
          <w:rFonts w:ascii="Times New Roman" w:hAnsi="Times New Roman"/>
          <w:b w:val="0"/>
          <w:i w:val="0"/>
          <w:sz w:val="20"/>
        </w:rPr>
        <w:t>Cumulative Abnormal Return (CAR) = cumulative sum of daily abnormal spread changes over the event window, following MacKinlay (1997). 'Abnormal' = actual daily change minus predicted change from a normal model estimated pre-event. Construction: (1) Estimate Δspread = f(ΔVIX, ΔlnN*) on [−0, −6]; (2) predict for each day in [−5, +20]; (3) sum residuals. Figure 6 x-axis (τ): trading days relative to event date (τ = 0). Y-axis: cumulative abnormal spread change in basis points. Positive CAR = spread widened more than expected (consistent with forced T-bill liquidation). Negative CAR = spread compressed more than expected (flight-to-safety demand). Window [−5, +20] chosen to capture 5 days of pre-event price discovery and 4 calendar weeks of post-event market absorption.</w:t>
      </w:r>
    </w:p>
    <w:p>
      <w:pPr>
        <w:spacing w:before="40" w:after="120"/>
        <w:ind w:left="340" w:hanging="340"/>
      </w:pPr>
      <w:r>
        <w:rPr>
          <w:rFonts w:ascii="Times New Roman" w:hAnsi="Times New Roman"/>
          <w:b/>
          <w:i w:val="0"/>
          <w:sz w:val="20"/>
        </w:rPr>
        <w:t xml:space="preserve">[9] First-Difference Normal Model — Why Not Level Model?. </w:t>
      </w:r>
      <w:r>
        <w:rPr>
          <w:rFonts w:ascii="Times New Roman" w:hAnsi="Times New Roman"/>
          <w:b w:val="0"/>
          <w:i w:val="0"/>
          <w:sz w:val="20"/>
        </w:rPr>
        <w:t>The original level model estimated spread = f(VIX, lnN*) over a Jan–May 2022 window. This window coincided with the Fed’s most aggressive hiking cycle in four decades: the spread rose from 5 bps to 78 bps purely from Fed policy, making event-date levels look abnormally high relative to the January baseline — inflating CARs ~120-fold. The first-difference model Δspread = f(ΔVIX, ΔlnN*) removes slow-moving trends by modelling daily changes, eliminating the hiking trend artifact. This is the standard fix for unit-root contamination in event study estimation windows.</w:t>
      </w:r>
    </w:p>
    <w:p>
      <w:pPr>
        <w:spacing w:before="40" w:after="120"/>
        <w:ind w:left="340" w:hanging="340"/>
      </w:pPr>
      <w:r>
        <w:rPr>
          <w:rFonts w:ascii="Times New Roman" w:hAnsi="Times New Roman"/>
          <w:b/>
          <w:i w:val="0"/>
          <w:sz w:val="20"/>
        </w:rPr>
        <w:t xml:space="preserve">[10] Event Window [−5, +20] — Choice Justification. </w:t>
      </w:r>
      <w:r>
        <w:rPr>
          <w:rFonts w:ascii="Times New Roman" w:hAnsi="Times New Roman"/>
          <w:b w:val="0"/>
          <w:i w:val="0"/>
          <w:sz w:val="20"/>
        </w:rPr>
        <w:t>Pre-event window of 5 days captures information leakage before official event dates (e.g. early Terra/LUNA stress signals, SVB deposit outflows). Post-event window of 20 trading days (~4 calendar weeks) allows time for forced T-bill selling to materialise and for price discovery to complete. Longer windows risk confounding with subsequent macro shocks; the FOMC meeting on May 4, 2022 (5 days before LUNA/UST) and March 22, 2023 (11 days after SVB) make tight windows especially important.</w:t>
      </w:r>
    </w:p>
    <w:p>
      <w:pPr>
        <w:spacing w:before="40" w:after="120"/>
        <w:ind w:left="340" w:hanging="340"/>
      </w:pPr>
      <w:r>
        <w:rPr>
          <w:rFonts w:ascii="Times New Roman" w:hAnsi="Times New Roman"/>
          <w:b/>
          <w:i w:val="0"/>
          <w:sz w:val="20"/>
        </w:rPr>
        <w:t xml:space="preserve">[11] Figure 1 — Panel and Axis Descriptions. </w:t>
      </w:r>
      <w:r>
        <w:rPr>
          <w:rFonts w:ascii="Times New Roman" w:hAnsi="Times New Roman"/>
          <w:b w:val="0"/>
          <w:i w:val="0"/>
          <w:sz w:val="20"/>
        </w:rPr>
        <w:t>Panel A: OIS–Treasury spread (DGS3MO − overnight SOFR), y-axis in pp. Near zero in 2021 (stable Fed); elevated 2022 (residual term premium from hiking); reverts toward zero by 2024–2026. Panel B: Combined USDT + USDC supply, y-axis in USD billions. Panel C: Aggregate liquid buffer L = cash reserves / supply (dimensionless). Horizontal dashed line marks q* = 0.1301 (13%); observations above = high-buffer regime, below = low-buffer regime.</w:t>
      </w:r>
    </w:p>
    <w:p>
      <w:pPr>
        <w:spacing w:before="40" w:after="120"/>
        <w:ind w:left="340" w:hanging="340"/>
      </w:pPr>
      <w:r>
        <w:rPr>
          <w:rFonts w:ascii="Times New Roman" w:hAnsi="Times New Roman"/>
          <w:b/>
          <w:i w:val="0"/>
          <w:sz w:val="20"/>
        </w:rPr>
        <w:t xml:space="preserve">[12] Figure 2 — Hansen SSR Profile: Axes and Interpretation. </w:t>
      </w:r>
      <w:r>
        <w:rPr>
          <w:rFonts w:ascii="Times New Roman" w:hAnsi="Times New Roman"/>
          <w:b w:val="0"/>
          <w:i w:val="0"/>
          <w:sz w:val="20"/>
        </w:rPr>
        <w:t>X-axis: candidate threshold values for L (trimmed 15th–85th percentile). Y-axis: sum of squared residuals from the threshold regression at each candidate q. The global minimum at q* = 0.1301 (red dashed line) defines the threshold estimate. The shaded region is the bootstrap 90% CI from 1,000 bootstrap samples. A pronounced valley indicates a well-identified threshold; a shallow profile indicates uncertainty — consistent with bootstrap p = 0.406.</w:t>
      </w:r>
    </w:p>
    <w:p>
      <w:pPr>
        <w:spacing w:before="40" w:after="120"/>
        <w:ind w:left="340" w:hanging="340"/>
      </w:pPr>
      <w:r>
        <w:rPr>
          <w:rFonts w:ascii="Times New Roman" w:hAnsi="Times New Roman"/>
          <w:b/>
          <w:i w:val="0"/>
          <w:sz w:val="20"/>
        </w:rPr>
        <w:t xml:space="preserve">[13] Figure 4 — LSTAR Transition: Axes and Interpretation. </w:t>
      </w:r>
      <w:r>
        <w:rPr>
          <w:rFonts w:ascii="Times New Roman" w:hAnsi="Times New Roman"/>
          <w:b w:val="0"/>
          <w:i w:val="0"/>
          <w:sz w:val="20"/>
        </w:rPr>
        <w:t>Left panel x-axis: liquid buffer L; y-axis: G(L; γ*, c*) ∈ [0,1]. G = 1: fully in low-buffer regime; G = 0: fully in high-buffer regime. Transition midpoint c* = 14.9% shown as dashed vertical line. Right panel x-axis: L; y-axis: effective β (marginal effect of ΔlnS on spread). Effective β = β_high + δ·G(L) shifts continuously from β_high (large L) to β_high + δ (L near zero).</w:t>
      </w:r>
    </w:p>
    <w:p>
      <w:pPr>
        <w:spacing w:before="40" w:after="120"/>
        <w:ind w:left="340" w:hanging="340"/>
      </w:pPr>
      <w:r>
        <w:rPr>
          <w:rFonts w:ascii="Times New Roman" w:hAnsi="Times New Roman"/>
          <w:b/>
          <w:i w:val="0"/>
          <w:sz w:val="20"/>
        </w:rPr>
        <w:t xml:space="preserve">[14] Bid-Cover Ratio — Definition and Mechanism Link. </w:t>
      </w:r>
      <w:r>
        <w:rPr>
          <w:rFonts w:ascii="Times New Roman" w:hAnsi="Times New Roman"/>
          <w:b w:val="0"/>
          <w:i w:val="0"/>
          <w:sz w:val="20"/>
        </w:rPr>
        <w:t>Bid-cover = total competitive bids tendered / offering amount at a Treasury auction. Higher ratio = stronger competitive demand. Mechanism logic: if secondary-market T-bill yields fall due to stablecoin reserve buying, primary-market bidders face less attractive entry yields and may reduce quantities, lowering bid-cover. We use USDT vs. USDC as a natural experiment: both share the same macro environment, so differential effects isolate the reserve-composition channel. Wald test: H₀: β_USDT = β_USDC; rejection confirms the two issuers affect auctions differently, consistent with the reserve-composition hypothesis. Data: TreasuryDirect auction results API, 4/8/13/26-week T-bills, Jan 2021–Mar 2026.</w:t>
      </w:r>
    </w:p>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b w:val="0"/>
          <w:i w:val="0"/>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BDD7EE"/>
          </w:tcPr>
          <w:p>
            <w:pPr>
              <w:jc w:val="left"/>
            </w:pPr>
            <w:r/>
            <w:r>
              <w:rPr>
                <w:rFonts w:ascii="Times New Roman" w:hAnsi="Times New Roman"/>
                <w:b/>
                <w:i w:val="0"/>
                <w:sz w:val="20"/>
              </w:rPr>
              <w:t>Test</w:t>
            </w:r>
          </w:p>
        </w:tc>
        <w:tc>
          <w:tcPr>
            <w:tcW w:type="dxa" w:w="2126"/>
            <w:shd w:val="clear" w:color="auto" w:fill="BDD7EE"/>
          </w:tcPr>
          <w:p>
            <w:pPr>
              <w:jc w:val="center"/>
            </w:pPr>
            <w:r/>
            <w:r>
              <w:rPr>
                <w:rFonts w:ascii="Times New Roman" w:hAnsi="Times New Roman"/>
                <w:b/>
                <w:i w:val="0"/>
                <w:sz w:val="20"/>
              </w:rPr>
              <w:t>Statistic</w:t>
            </w:r>
          </w:p>
        </w:tc>
        <w:tc>
          <w:tcPr>
            <w:tcW w:type="dxa" w:w="2126"/>
            <w:shd w:val="clear" w:color="auto" w:fill="BDD7EE"/>
          </w:tcPr>
          <w:p>
            <w:pPr>
              <w:jc w:val="center"/>
            </w:pPr>
            <w:r/>
            <w:r>
              <w:rPr>
                <w:rFonts w:ascii="Times New Roman" w:hAnsi="Times New Roman"/>
                <w:b/>
                <w:i w:val="0"/>
                <w:sz w:val="20"/>
              </w:rPr>
              <w:t>p-value</w:t>
            </w:r>
          </w:p>
        </w:tc>
        <w:tc>
          <w:tcPr>
            <w:tcW w:type="dxa" w:w="2126"/>
            <w:shd w:val="clear" w:color="auto" w:fill="BDD7EE"/>
          </w:tcPr>
          <w:p>
            <w:pPr>
              <w:jc w:val="left"/>
            </w:pPr>
            <w:r/>
            <w:r>
              <w:rPr>
                <w:rFonts w:ascii="Times New Roman" w:hAnsi="Times New Roman"/>
                <w:b/>
                <w:i w:val="0"/>
                <w:sz w:val="20"/>
              </w:rPr>
              <w:t>Conclusion</w:t>
            </w:r>
          </w:p>
        </w:tc>
      </w:tr>
      <w:tr>
        <w:tc>
          <w:tcPr>
            <w:tcW w:type="dxa" w:w="2126"/>
            <w:shd w:val="clear" w:color="auto" w:fill="EBF3FB"/>
          </w:tcPr>
          <w:p>
            <w:pPr>
              <w:jc w:val="left"/>
            </w:pPr>
            <w:r/>
            <w:r>
              <w:rPr>
                <w:rFonts w:ascii="Times New Roman" w:hAnsi="Times New Roman"/>
                <w:b w:val="0"/>
                <w:i w:val="0"/>
                <w:sz w:val="20"/>
              </w:rPr>
              <w:t>ADF — OIS–Treasury spread</w:t>
            </w:r>
          </w:p>
        </w:tc>
        <w:tc>
          <w:tcPr>
            <w:tcW w:type="dxa" w:w="2126"/>
            <w:shd w:val="clear" w:color="auto" w:fill="EBF3FB"/>
          </w:tcPr>
          <w:p>
            <w:pPr>
              <w:jc w:val="center"/>
            </w:pPr>
            <w:r/>
            <w:r>
              <w:rPr>
                <w:rFonts w:ascii="Times New Roman" w:hAnsi="Times New Roman"/>
                <w:b w:val="0"/>
                <w:i w:val="0"/>
                <w:sz w:val="20"/>
              </w:rPr>
              <w:t>−1.580</w:t>
            </w:r>
          </w:p>
        </w:tc>
        <w:tc>
          <w:tcPr>
            <w:tcW w:type="dxa" w:w="2126"/>
            <w:shd w:val="clear" w:color="auto" w:fill="EBF3FB"/>
          </w:tcPr>
          <w:p>
            <w:pPr>
              <w:jc w:val="center"/>
            </w:pPr>
            <w:r/>
            <w:r>
              <w:rPr>
                <w:rFonts w:ascii="Times New Roman" w:hAnsi="Times New Roman"/>
                <w:b w:val="0"/>
                <w:i w:val="0"/>
                <w:sz w:val="20"/>
              </w:rPr>
              <w:t>0.494</w:t>
            </w:r>
          </w:p>
        </w:tc>
        <w:tc>
          <w:tcPr>
            <w:tcW w:type="dxa" w:w="2126"/>
            <w:shd w:val="clear" w:color="auto" w:fill="EBF3FB"/>
          </w:tcPr>
          <w:p>
            <w:pPr>
              <w:jc w:val="left"/>
            </w:pPr>
            <w:r/>
            <w:r>
              <w:rPr>
                <w:rFonts w:ascii="Times New Roman" w:hAnsi="Times New Roman"/>
                <w:b w:val="0"/>
                <w:i w:val="0"/>
                <w:sz w:val="20"/>
              </w:rPr>
              <w:t>I(1) not rejected</w:t>
            </w:r>
          </w:p>
        </w:tc>
      </w:tr>
      <w:tr>
        <w:tc>
          <w:tcPr>
            <w:tcW w:type="dxa" w:w="2126"/>
          </w:tcPr>
          <w:p>
            <w:pPr>
              <w:jc w:val="left"/>
            </w:pPr>
            <w:r/>
            <w:r>
              <w:rPr>
                <w:rFonts w:ascii="Times New Roman" w:hAnsi="Times New Roman"/>
                <w:b w:val="0"/>
                <w:i w:val="0"/>
                <w:sz w:val="20"/>
              </w:rPr>
              <w:t>ADF — ΔlnS</w:t>
            </w:r>
          </w:p>
        </w:tc>
        <w:tc>
          <w:tcPr>
            <w:tcW w:type="dxa" w:w="2126"/>
          </w:tcPr>
          <w:p>
            <w:pPr>
              <w:jc w:val="center"/>
            </w:pPr>
            <w:r/>
            <w:r>
              <w:rPr>
                <w:rFonts w:ascii="Times New Roman" w:hAnsi="Times New Roman"/>
                <w:b w:val="0"/>
                <w:i w:val="0"/>
                <w:sz w:val="20"/>
              </w:rPr>
              <w:t>−4.007</w:t>
            </w:r>
          </w:p>
        </w:tc>
        <w:tc>
          <w:tcPr>
            <w:tcW w:type="dxa" w:w="2126"/>
          </w:tcPr>
          <w:p>
            <w:pPr>
              <w:jc w:val="center"/>
            </w:pPr>
            <w:r/>
            <w:r>
              <w:rPr>
                <w:rFonts w:ascii="Times New Roman" w:hAnsi="Times New Roman"/>
                <w:b w:val="0"/>
                <w:i w:val="0"/>
                <w:sz w:val="20"/>
              </w:rPr>
              <w:t>0.001</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ADF — θ (Treasury Exposure)</w:t>
            </w:r>
          </w:p>
        </w:tc>
        <w:tc>
          <w:tcPr>
            <w:tcW w:type="dxa" w:w="2126"/>
            <w:shd w:val="clear" w:color="auto" w:fill="EBF3FB"/>
          </w:tcPr>
          <w:p>
            <w:pPr>
              <w:jc w:val="center"/>
            </w:pPr>
            <w:r/>
            <w:r>
              <w:rPr>
                <w:rFonts w:ascii="Times New Roman" w:hAnsi="Times New Roman"/>
                <w:b w:val="0"/>
                <w:i w:val="0"/>
                <w:sz w:val="20"/>
              </w:rPr>
              <w:t>−3.026</w:t>
            </w:r>
          </w:p>
        </w:tc>
        <w:tc>
          <w:tcPr>
            <w:tcW w:type="dxa" w:w="2126"/>
            <w:shd w:val="clear" w:color="auto" w:fill="EBF3FB"/>
          </w:tcPr>
          <w:p>
            <w:pPr>
              <w:jc w:val="center"/>
            </w:pPr>
            <w:r/>
            <w:r>
              <w:rPr>
                <w:rFonts w:ascii="Times New Roman" w:hAnsi="Times New Roman"/>
                <w:b w:val="0"/>
                <w:i w:val="0"/>
                <w:sz w:val="20"/>
              </w:rPr>
              <w:t>0.033</w:t>
            </w:r>
          </w:p>
        </w:tc>
        <w:tc>
          <w:tcPr>
            <w:tcW w:type="dxa" w:w="2126"/>
            <w:shd w:val="clear" w:color="auto" w:fill="EBF3FB"/>
          </w:tcPr>
          <w:p>
            <w:pPr>
              <w:jc w:val="left"/>
            </w:pPr>
            <w:r/>
            <w:r>
              <w:rPr>
                <w:rFonts w:ascii="Times New Roman" w:hAnsi="Times New Roman"/>
                <w:b w:val="0"/>
                <w:i w:val="0"/>
                <w:sz w:val="20"/>
              </w:rPr>
              <w:t>Stationary ✓</w:t>
            </w:r>
          </w:p>
        </w:tc>
      </w:tr>
      <w:tr>
        <w:tc>
          <w:tcPr>
            <w:tcW w:type="dxa" w:w="2126"/>
          </w:tcPr>
          <w:p>
            <w:pPr>
              <w:jc w:val="left"/>
            </w:pPr>
            <w:r/>
            <w:r>
              <w:rPr>
                <w:rFonts w:ascii="Times New Roman" w:hAnsi="Times New Roman"/>
                <w:b w:val="0"/>
                <w:i w:val="0"/>
                <w:sz w:val="20"/>
              </w:rPr>
              <w:t>ADF — L (Liquid Buffer)</w:t>
            </w:r>
          </w:p>
        </w:tc>
        <w:tc>
          <w:tcPr>
            <w:tcW w:type="dxa" w:w="2126"/>
          </w:tcPr>
          <w:p>
            <w:pPr>
              <w:jc w:val="center"/>
            </w:pPr>
            <w:r/>
            <w:r>
              <w:rPr>
                <w:rFonts w:ascii="Times New Roman" w:hAnsi="Times New Roman"/>
                <w:b w:val="0"/>
                <w:i w:val="0"/>
                <w:sz w:val="20"/>
              </w:rPr>
              <w:t>−2.529</w:t>
            </w:r>
          </w:p>
        </w:tc>
        <w:tc>
          <w:tcPr>
            <w:tcW w:type="dxa" w:w="2126"/>
          </w:tcPr>
          <w:p>
            <w:pPr>
              <w:jc w:val="center"/>
            </w:pPr>
            <w:r/>
            <w:r>
              <w:rPr>
                <w:rFonts w:ascii="Times New Roman" w:hAnsi="Times New Roman"/>
                <w:b w:val="0"/>
                <w:i w:val="0"/>
                <w:sz w:val="20"/>
              </w:rPr>
              <w:t>0.108</w:t>
            </w:r>
          </w:p>
        </w:tc>
        <w:tc>
          <w:tcPr>
            <w:tcW w:type="dxa" w:w="2126"/>
          </w:tcPr>
          <w:p>
            <w:pPr>
              <w:jc w:val="left"/>
            </w:pPr>
            <w:r/>
            <w:r>
              <w:rPr>
                <w:rFonts w:ascii="Times New Roman" w:hAnsi="Times New Roman"/>
                <w:b w:val="0"/>
                <w:i w:val="0"/>
                <w:sz w:val="20"/>
              </w:rPr>
              <w:t>I(1) not rejected</w:t>
            </w:r>
          </w:p>
        </w:tc>
      </w:tr>
      <w:tr>
        <w:tc>
          <w:tcPr>
            <w:tcW w:type="dxa" w:w="2126"/>
            <w:shd w:val="clear" w:color="auto" w:fill="EBF3FB"/>
          </w:tcPr>
          <w:p>
            <w:pPr>
              <w:jc w:val="left"/>
            </w:pPr>
            <w:r/>
            <w:r>
              <w:rPr>
                <w:rFonts w:ascii="Times New Roman" w:hAnsi="Times New Roman"/>
                <w:b w:val="0"/>
                <w:i w:val="0"/>
                <w:sz w:val="20"/>
              </w:rPr>
              <w:t>ADF — VIX</w:t>
            </w:r>
          </w:p>
        </w:tc>
        <w:tc>
          <w:tcPr>
            <w:tcW w:type="dxa" w:w="2126"/>
            <w:shd w:val="clear" w:color="auto" w:fill="EBF3FB"/>
          </w:tcPr>
          <w:p>
            <w:pPr>
              <w:jc w:val="center"/>
            </w:pPr>
            <w:r/>
            <w:r>
              <w:rPr>
                <w:rFonts w:ascii="Times New Roman" w:hAnsi="Times New Roman"/>
                <w:b w:val="0"/>
                <w:i w:val="0"/>
                <w:sz w:val="20"/>
              </w:rPr>
              <w:t>−2.618</w:t>
            </w:r>
          </w:p>
        </w:tc>
        <w:tc>
          <w:tcPr>
            <w:tcW w:type="dxa" w:w="2126"/>
            <w:shd w:val="clear" w:color="auto" w:fill="EBF3FB"/>
          </w:tcPr>
          <w:p>
            <w:pPr>
              <w:jc w:val="center"/>
            </w:pPr>
            <w:r/>
            <w:r>
              <w:rPr>
                <w:rFonts w:ascii="Times New Roman" w:hAnsi="Times New Roman"/>
                <w:b w:val="0"/>
                <w:i w:val="0"/>
                <w:sz w:val="20"/>
              </w:rPr>
              <w:t>0.089</w:t>
            </w:r>
          </w:p>
        </w:tc>
        <w:tc>
          <w:tcPr>
            <w:tcW w:type="dxa" w:w="2126"/>
            <w:shd w:val="clear" w:color="auto" w:fill="EBF3FB"/>
          </w:tcPr>
          <w:p>
            <w:pPr>
              <w:jc w:val="left"/>
            </w:pPr>
            <w:r/>
            <w:r>
              <w:rPr>
                <w:rFonts w:ascii="Times New Roman" w:hAnsi="Times New Roman"/>
                <w:b w:val="0"/>
                <w:i w:val="0"/>
                <w:sz w:val="20"/>
              </w:rPr>
              <w:t>Borderline</w:t>
            </w:r>
          </w:p>
        </w:tc>
      </w:tr>
      <w:tr>
        <w:tc>
          <w:tcPr>
            <w:tcW w:type="dxa" w:w="2126"/>
          </w:tcPr>
          <w:p>
            <w:pPr>
              <w:jc w:val="left"/>
            </w:pPr>
            <w:r/>
            <w:r>
              <w:rPr>
                <w:rFonts w:ascii="Times New Roman" w:hAnsi="Times New Roman"/>
                <w:b w:val="0"/>
                <w:i w:val="0"/>
                <w:sz w:val="20"/>
              </w:rPr>
              <w:t>ADF — ΔlnN*</w:t>
            </w:r>
          </w:p>
        </w:tc>
        <w:tc>
          <w:tcPr>
            <w:tcW w:type="dxa" w:w="2126"/>
          </w:tcPr>
          <w:p>
            <w:pPr>
              <w:jc w:val="center"/>
            </w:pPr>
            <w:r/>
            <w:r>
              <w:rPr>
                <w:rFonts w:ascii="Times New Roman" w:hAnsi="Times New Roman"/>
                <w:b w:val="0"/>
                <w:i w:val="0"/>
                <w:sz w:val="20"/>
              </w:rPr>
              <w:t>−4.701</w:t>
            </w:r>
          </w:p>
        </w:tc>
        <w:tc>
          <w:tcPr>
            <w:tcW w:type="dxa" w:w="2126"/>
          </w:tcPr>
          <w:p>
            <w:pPr>
              <w:jc w:val="center"/>
            </w:pPr>
            <w:r/>
            <w:r>
              <w:rPr>
                <w:rFonts w:ascii="Times New Roman" w:hAnsi="Times New Roman"/>
                <w:b w:val="0"/>
                <w:i w:val="0"/>
                <w:sz w:val="20"/>
              </w:rPr>
              <w:t>0.000</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Engle–Granger (spread ~ ΔlnS)</w:t>
            </w:r>
          </w:p>
        </w:tc>
        <w:tc>
          <w:tcPr>
            <w:tcW w:type="dxa" w:w="2126"/>
            <w:shd w:val="clear" w:color="auto" w:fill="EBF3FB"/>
          </w:tcPr>
          <w:p>
            <w:pPr>
              <w:jc w:val="center"/>
            </w:pPr>
            <w:r/>
            <w:r>
              <w:rPr>
                <w:rFonts w:ascii="Times New Roman" w:hAnsi="Times New Roman"/>
                <w:b w:val="0"/>
                <w:i w:val="0"/>
                <w:sz w:val="20"/>
              </w:rPr>
              <w:t>−2.888</w:t>
            </w:r>
          </w:p>
        </w:tc>
        <w:tc>
          <w:tcPr>
            <w:tcW w:type="dxa" w:w="2126"/>
            <w:shd w:val="clear" w:color="auto" w:fill="EBF3FB"/>
          </w:tcPr>
          <w:p>
            <w:pPr>
              <w:jc w:val="center"/>
            </w:pPr>
            <w:r/>
            <w:r>
              <w:rPr>
                <w:rFonts w:ascii="Times New Roman" w:hAnsi="Times New Roman"/>
                <w:b w:val="0"/>
                <w:i w:val="0"/>
                <w:sz w:val="20"/>
              </w:rPr>
              <w:t>0.139</w:t>
            </w:r>
          </w:p>
        </w:tc>
        <w:tc>
          <w:tcPr>
            <w:tcW w:type="dxa" w:w="2126"/>
            <w:shd w:val="clear" w:color="auto" w:fill="EBF3FB"/>
          </w:tcPr>
          <w:p>
            <w:pPr>
              <w:jc w:val="left"/>
            </w:pPr>
            <w:r/>
            <w:r>
              <w:rPr>
                <w:rFonts w:ascii="Times New Roman" w:hAnsi="Times New Roman"/>
                <w:b w:val="0"/>
                <w:i w:val="0"/>
                <w:sz w:val="20"/>
              </w:rPr>
              <w:t>Not cointegrated</w:t>
            </w:r>
          </w:p>
        </w:tc>
      </w:tr>
      <w:tr>
        <w:tc>
          <w:tcPr>
            <w:tcW w:type="dxa" w:w="2126"/>
          </w:tcPr>
          <w:p>
            <w:pPr>
              <w:jc w:val="left"/>
            </w:pPr>
            <w:r/>
            <w:r>
              <w:rPr>
                <w:rFonts w:ascii="Times New Roman" w:hAnsi="Times New Roman"/>
                <w:b w:val="0"/>
                <w:i w:val="0"/>
                <w:sz w:val="20"/>
              </w:rPr>
              <w:t>Engle–Granger (spread ~ θ)</w:t>
            </w:r>
          </w:p>
        </w:tc>
        <w:tc>
          <w:tcPr>
            <w:tcW w:type="dxa" w:w="2126"/>
          </w:tcPr>
          <w:p>
            <w:pPr>
              <w:jc w:val="center"/>
            </w:pPr>
            <w:r/>
            <w:r>
              <w:rPr>
                <w:rFonts w:ascii="Times New Roman" w:hAnsi="Times New Roman"/>
                <w:b w:val="0"/>
                <w:i w:val="0"/>
                <w:sz w:val="20"/>
              </w:rPr>
              <w:t>−1.546</w:t>
            </w:r>
          </w:p>
        </w:tc>
        <w:tc>
          <w:tcPr>
            <w:tcW w:type="dxa" w:w="2126"/>
          </w:tcPr>
          <w:p>
            <w:pPr>
              <w:jc w:val="center"/>
            </w:pPr>
            <w:r/>
            <w:r>
              <w:rPr>
                <w:rFonts w:ascii="Times New Roman" w:hAnsi="Times New Roman"/>
                <w:b w:val="0"/>
                <w:i w:val="0"/>
                <w:sz w:val="20"/>
              </w:rPr>
              <w:t>0.743</w:t>
            </w:r>
          </w:p>
        </w:tc>
        <w:tc>
          <w:tcPr>
            <w:tcW w:type="dxa" w:w="2126"/>
          </w:tcPr>
          <w:p>
            <w:pPr>
              <w:jc w:val="left"/>
            </w:pPr>
            <w:r/>
            <w:r>
              <w:rPr>
                <w:rFonts w:ascii="Times New Roman" w:hAnsi="Times New Roman"/>
                <w:b w:val="0"/>
                <w:i w:val="0"/>
                <w:sz w:val="20"/>
              </w:rPr>
              <w:t>Not cointegrated</w:t>
            </w:r>
          </w:p>
        </w:tc>
      </w:tr>
      <w:tr>
        <w:tc>
          <w:tcPr>
            <w:tcW w:type="dxa" w:w="2126"/>
            <w:shd w:val="clear" w:color="auto" w:fill="EBF3FB"/>
          </w:tcPr>
          <w:p>
            <w:pPr>
              <w:jc w:val="left"/>
            </w:pPr>
            <w:r/>
            <w:r>
              <w:rPr>
                <w:rFonts w:ascii="Times New Roman" w:hAnsi="Times New Roman"/>
                <w:b w:val="0"/>
                <w:i w:val="0"/>
                <w:sz w:val="20"/>
              </w:rPr>
              <w:t>Engle–Granger (spread ~ L)</w:t>
            </w:r>
          </w:p>
        </w:tc>
        <w:tc>
          <w:tcPr>
            <w:tcW w:type="dxa" w:w="2126"/>
            <w:shd w:val="clear" w:color="auto" w:fill="EBF3FB"/>
          </w:tcPr>
          <w:p>
            <w:pPr>
              <w:jc w:val="center"/>
            </w:pPr>
            <w:r/>
            <w:r>
              <w:rPr>
                <w:rFonts w:ascii="Times New Roman" w:hAnsi="Times New Roman"/>
                <w:b w:val="0"/>
                <w:i w:val="0"/>
                <w:sz w:val="20"/>
              </w:rPr>
              <w:t>−1.611</w:t>
            </w:r>
          </w:p>
        </w:tc>
        <w:tc>
          <w:tcPr>
            <w:tcW w:type="dxa" w:w="2126"/>
            <w:shd w:val="clear" w:color="auto" w:fill="EBF3FB"/>
          </w:tcPr>
          <w:p>
            <w:pPr>
              <w:jc w:val="center"/>
            </w:pPr>
            <w:r/>
            <w:r>
              <w:rPr>
                <w:rFonts w:ascii="Times New Roman" w:hAnsi="Times New Roman"/>
                <w:b w:val="0"/>
                <w:i w:val="0"/>
                <w:sz w:val="20"/>
              </w:rPr>
              <w:t>0.716</w:t>
            </w:r>
          </w:p>
        </w:tc>
        <w:tc>
          <w:tcPr>
            <w:tcW w:type="dxa" w:w="2126"/>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0.051)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b w:val="0"/>
          <w:i w:val="0"/>
          <w:sz w:val="24"/>
        </w:rPr>
        <w:t>Bootstrap confidence intervals for c* use the percentile method with B = 1,000 replications: each replication resamples rows with replacement and re-runs the NLS optimization. The 5th and 95th percentiles of the resulting distribution of ĉ form the 90% CI = [0.031, 0.145]. The Hansen q* = 0.1301 lies inside this interval, confirming cross-model consistency.</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immireu0921/Stablecoins-and-the-Exorbitant-Privilege-Safe-Asset-Demand-and-Its-Systemic-Fragility"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