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val="0"/>
          <w:sz w:val="24"/>
        </w:rPr>
        <w:t>Jade Zhu (2026846114)</w:t>
      </w:r>
    </w:p>
    <w:p>
      <w:pPr>
        <w:spacing w:after="60"/>
        <w:jc w:val="center"/>
      </w:pPr>
      <w:r>
        <w:rPr>
          <w:rFonts w:ascii="Times New Roman" w:hAnsi="Times New Roman"/>
          <w:b w:val="0"/>
          <w:i w:val="0"/>
          <w:sz w:val="24"/>
        </w:rPr>
        <w:t>Alexandre Godefroy (2026846111)</w:t>
      </w:r>
    </w:p>
    <w:p>
      <w:pPr>
        <w:spacing w:after="60"/>
        <w:jc w:val="center"/>
      </w:pPr>
      <w:r>
        <w:rPr>
          <w:rFonts w:ascii="Times New Roman" w:hAnsi="Times New Roman"/>
          <w:b w:val="0"/>
          <w:i w:val="0"/>
          <w:sz w:val="24"/>
        </w:rPr>
        <w:t>Baptiste Degand (2026847313)</w:t>
      </w:r>
    </w:p>
    <w:p>
      <w:pPr>
        <w:spacing w:after="60"/>
        <w:jc w:val="center"/>
      </w:pPr>
      <w:r>
        <w:rPr>
          <w:rFonts w:ascii="Times New Roman" w:hAnsi="Times New Roman"/>
          <w:b w:val="0"/>
          <w:i w:val="0"/>
          <w:sz w:val="24"/>
        </w:rPr>
        <w:t>Minjin Kim (2025461111)</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June 2026</w:t>
      </w:r>
    </w:p>
    <w:p>
      <w:pPr>
        <w:spacing w:after="120"/>
        <w:jc w:val="center"/>
      </w:pPr>
      <w:r>
        <w:rPr>
          <w:rFonts w:ascii="Times New Roman" w:hAnsi="Times New Roman"/>
          <w:b/>
          <w:i w:val="0"/>
          <w:sz w:val="22"/>
        </w:rPr>
        <w:t xml:space="preserve">JEL Classification: </w:t>
      </w:r>
      <w:r>
        <w:rPr>
          <w:rFonts w:ascii="Times New Roman" w:hAnsi="Times New Roman"/>
          <w:b w:val="0"/>
          <w:i w:val="0"/>
          <w:sz w:val="22"/>
        </w:rPr>
        <w:t>E44, F31, G12, G18, G23</w:t>
      </w:r>
    </w:p>
    <w:p/>
    <w:p>
      <w:pPr>
        <w:spacing w:before="0" w:after="120"/>
      </w:pPr>
      <w:r>
        <w:rPr>
          <w:rFonts w:ascii="Times New Roman" w:hAnsi="Times New Roman"/>
          <w:b/>
          <w:i w:val="0"/>
          <w:sz w:val="26"/>
        </w:rPr>
        <w:t>Abstract</w:t>
      </w:r>
    </w:p>
    <w:p>
      <w:pPr>
        <w:spacing w:after="120"/>
        <w:ind w:left="567" w:right="567"/>
      </w:pPr>
      <w:r>
        <w:rPr>
          <w:rFonts w:ascii="Times New Roman" w:hAnsi="Times New Roman"/>
          <w:b w:val="0"/>
          <w:i w:val="0"/>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−7.57, p = 0.004),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0.406, 90% CI: [3.1%, 14.5%]), below which supply growth compresses spreads more strongly (β_ΔlnS = −2.80 vs. +1.63 above). Convergent validity is confirmed by a logistic smooth-transition regression (LSTAR): the transition midpoint c* = 0.1490 is virtually identical to Hansen's q* = 0.1301, and the moderate-sharpness parameter (γ* = 29.8) independently validates the sharp-switch assumption. A buffer-conditioned event study, re-estimated using a first-difference normal model to remove low-frequency trend contamination, yields insignificant CARs (−15 to −2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β₂·θₜ + β₃·</w:t>
      </w:r>
      <w:r>
        <w:rPr>
          <w:rFonts w:ascii="Times New Roman" w:hAnsi="Times New Roman"/>
          <w:b w:val="0"/>
          <w:i/>
          <w:sz w:val="24"/>
        </w:rPr>
        <w:t>L</w:t>
      </w:r>
      <w:r>
        <w:rPr>
          <w:rFonts w:ascii="Times New Roman" w:hAnsi="Times New Roman"/>
          <w:b w:val="0"/>
          <w:i w:val="0"/>
          <w:sz w:val="24"/>
        </w:rPr>
        <w:t>ₜ + β₄·(</w:t>
      </w:r>
      <w:r>
        <w:rPr>
          <w:rFonts w:ascii="Times New Roman" w:hAnsi="Times New Roman"/>
          <w:b w:val="0"/>
          <w:i/>
          <w:sz w:val="24"/>
        </w:rPr>
        <w:t>L</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β₅·</w:t>
      </w:r>
      <w:r>
        <w:rPr>
          <w:rFonts w:ascii="Times New Roman" w:hAnsi="Times New Roman"/>
          <w:b w:val="0"/>
          <w:i/>
          <w:sz w:val="24"/>
        </w:rPr>
        <w:t>V</w:t>
      </w:r>
      <w:r>
        <w:rPr>
          <w:rFonts w:ascii="Times New Roman" w:hAnsi="Times New Roman"/>
          <w:b w:val="0"/>
          <w:i w:val="0"/>
          <w:sz w:val="24"/>
        </w:rPr>
        <w:t>ₜ + β₆·VIXₜ + β₇·Δln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b w:val="0"/>
          <w:i w:val="0"/>
          <w:sz w:val="24"/>
        </w:rPr>
        <w:t>where Spread is the OIS–Treasury spread (3-month T-bill yield minus 90-day SOFR average), V is supply-growth volatility (7-day rolling standard deviation of daily supply log-changes),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pPr>
        <w:spacing w:before="0" w:after="160"/>
      </w:pPr>
      <w:r>
        <w:rPr>
          <w:rFonts w:ascii="Times New Roman" w:hAnsi="Times New Roman"/>
          <w:b w:val="0"/>
          <w:i w:val="0"/>
          <w:sz w:val="24"/>
        </w:rPr>
        <w:t>Our empirical results confirm H1 and provide suggestive evidence for H2. Using 51 monthly observations (January 2022 – March 2026), we find β₁ = −7.57 (p = 0.004),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Convergent validity is confirmed by an LSTAR smooth-transition regression (c* = 0.1490), which independently locates the same tipping point. A buffer-conditioned event study, re-estimated in first differences to remove Fed hiking cycle contamination, yields insignificant CARs but directionally consistent patterns.</w:t>
      </w:r>
    </w:p>
    <w:p>
      <w:pPr>
        <w:spacing w:before="80" w:after="80"/>
        <w:ind w:left="567" w:right="567"/>
      </w:pPr>
      <w:r>
        <w:rPr>
          <w:rFonts w:ascii="Times New Roman" w:hAnsi="Times New Roman"/>
          <w:b/>
          <w:i w:val="0"/>
          <w:sz w:val="22"/>
        </w:rPr>
        <w:t xml:space="preserve">H1 (Privilege Amplification): </w:t>
      </w:r>
      <w:r>
        <w:rPr>
          <w:rFonts w:ascii="Times New Roman" w:hAnsi="Times New Roman"/>
          <w:b w:val="0"/>
          <w:i w:val="0"/>
          <w:sz w:val="22"/>
        </w:rPr>
        <w:t>Stablecoin supply growth compresses OIS–Treasury spreads in normal times (β₁ &lt; 0).</w:t>
      </w:r>
    </w:p>
    <w:p>
      <w:pPr>
        <w:spacing w:before="80" w:after="240"/>
        <w:ind w:left="567" w:right="567"/>
      </w:pPr>
      <w:r>
        <w:rPr>
          <w:rFonts w:ascii="Times New Roman" w:hAnsi="Times New Roman"/>
          <w:b/>
          <w:i w:val="0"/>
          <w:sz w:val="22"/>
        </w:rPr>
        <w:t xml:space="preserve">H2 (Reserve Adequacy Threshold): </w:t>
      </w:r>
      <w:r>
        <w:rPr>
          <w:rFonts w:ascii="Times New Roman" w:hAnsi="Times New Roman"/>
          <w:b w:val="0"/>
          <w:i w:val="0"/>
          <w:sz w:val="22"/>
        </w:rPr>
        <w:t>There exists a threshold L* such that below L*, stablecoin supply growth produces more adverse spread dynamics; above L*, liquid buffer absorption attenuates the crisis transmission.</w:t>
      </w:r>
    </w:p>
    <w:p>
      <w:pPr>
        <w:spacing w:before="0" w:after="200"/>
      </w:pPr>
      <w:r>
        <w:rPr>
          <w:rFonts w:ascii="Times New Roman" w:hAnsi="Times New Roman"/>
          <w:b w:val="0"/>
          <w:i w:val="0"/>
          <w:sz w:val="24"/>
        </w:rPr>
        <w:t>The paper proceeds as follows. Section 2 reviews the literature. Section 3 presents the theoretical framework. Section 4 describes data and methodology. Section 5 reports results across four specifications: the main OLS regression (5.1), Hansen threshold (5.2), LSTAR smooth-transition robustness (5.3), and buffer-conditioned event study (5.4).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16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0" w:after="160"/>
      </w:pPr>
      <w:r>
        <w:rPr>
          <w:rFonts w:ascii="Times New Roman" w:hAnsi="Times New Roman"/>
          <w:b w:val="0"/>
          <w:i w:val="0"/>
          <w:sz w:val="24"/>
        </w:rPr>
        <w:t>The emerging stablecoin-specific literature has grown rapidly alongside regulatory attention. Ghamami, Glasserman, and Young (2023) examine macroprudential implications of stablecoin runs but focus on systemic contagion within the crypto ecosystem rather than spillovers into sovereign bond markets. Duffie (2022) analyzes stablecoins as payment-system innovations and argues that reserve composition is the first-order regulatory concern, consistent with our emphasis on the liquid buffer L rather than total T-bill holdings. Recent legislative proposals — including the U.S. GENIUS Act (2025) and the EU's MiCA framework (2024) — impose minimum liquid reserve requirements; our empirical threshold q* = 0.130 provides a data-grounded benchmark against which these regulatory floors can be evaluated.</w:t>
      </w:r>
    </w:p>
    <w:p>
      <w:pPr>
        <w:spacing w:before="0" w:after="200"/>
      </w:pPr>
      <w:r>
        <w:rPr>
          <w:rFonts w:ascii="Times New Roman" w:hAnsi="Times New Roman"/>
          <w:b w:val="0"/>
          <w:i w:val="0"/>
          <w:sz w:val="24"/>
        </w:rPr>
        <w:t>Our event study methodology follows MacKinlay (1997). We use daily abnormal spread changes to sidestep the unit-root concerns that limit inference in the monthly panel, and condition on the reserve regime to test the asymmetric fragility prediction. The use of a first-difference normal model rather than a level model is essential here: the Jan–May 2022 estimation window coincided with the Federal Reserve's most aggressive hiking cycle in four decades, generating a spurious trend in the spread that contaminated the level-model CARs by approximately 120-fold.</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pPr>
        <w:spacing w:before="0" w:after="120"/>
      </w:pPr>
      <w:r>
        <w:rPr>
          <w:rFonts w:ascii="Times New Roman" w:hAnsi="Times New Roman"/>
          <w:b w:val="0"/>
          <w:i w:val="0"/>
          <w:sz w:val="24"/>
        </w:rPr>
        <w:t>D*(Ñ*, S, θ, L) = D*</w:t>
      </w:r>
      <w:r>
        <w:rPr>
          <w:rFonts w:ascii="Times New Roman" w:hAnsi="Times New Roman"/>
          <w:b w:val="0"/>
          <w:i/>
          <w:sz w:val="24"/>
        </w:rPr>
        <w:t>precautionary</w:t>
      </w:r>
      <w:r>
        <w:rPr>
          <w:rFonts w:ascii="Times New Roman" w:hAnsi="Times New Roman"/>
          <w:b w:val="0"/>
          <w:i w:val="0"/>
          <w:sz w:val="24"/>
        </w:rPr>
        <w:t>(Ñ*) + D*</w:t>
      </w:r>
      <w:r>
        <w:rPr>
          <w:rFonts w:ascii="Times New Roman" w:hAnsi="Times New Roman"/>
          <w:b w:val="0"/>
          <w:i/>
          <w:sz w:val="24"/>
        </w:rPr>
        <w:t>theta</w:t>
      </w:r>
      <w:r>
        <w:rPr>
          <w:rFonts w:ascii="Times New Roman" w:hAnsi="Times New Roman"/>
          <w:b w:val="0"/>
          <w:i w:val="0"/>
          <w:sz w:val="24"/>
        </w:rPr>
        <w:t>(S, θ) + D*</w:t>
      </w:r>
      <w:r>
        <w:rPr>
          <w:rFonts w:ascii="Times New Roman" w:hAnsi="Times New Roman"/>
          <w:b w:val="0"/>
          <w:i/>
          <w:sz w:val="24"/>
        </w:rPr>
        <w:t>liquid</w:t>
      </w:r>
      <w:r>
        <w:rPr>
          <w:rFonts w:ascii="Times New Roman" w:hAnsi="Times New Roman"/>
          <w:b w:val="0"/>
          <w:i w:val="0"/>
          <w:sz w:val="24"/>
        </w:rPr>
        <w:t>(L)</w:t>
      </w:r>
    </w:p>
    <w:p>
      <w:pPr>
        <w:spacing w:before="0" w:after="160"/>
      </w:pPr>
      <w:r>
        <w:rPr>
          <w:rFonts w:ascii="Times New Roman" w:hAnsi="Times New Roman"/>
          <w:b w:val="0"/>
          <w:i w:val="0"/>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(−2.80 below L* vs. +1.63 above) captures this.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80"/>
      </w:pPr>
      <w:r>
        <w:rPr>
          <w:rFonts w:ascii="Times New Roman" w:hAnsi="Times New Roman"/>
          <w:sz w:val="24"/>
        </w:rPr>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 Between-attestation months are forward-filled from the most recent reported attestation value, not backward-filled — ensuring no future reserve information enters the construction of L or θ at the time of each observation. Near-zero web-scraping artifacts in reported cash reserves (values below $1 million) are treated as missing and forward-filled accordingly. [15]</w:t>
      </w:r>
    </w:p>
    <w:p>
      <w:pPr>
        <w:spacing w:before="0" w:after="160"/>
      </w:pPr>
      <w:r>
        <w:rPr>
          <w:rFonts w:ascii="Times New Roman" w:hAnsi="Times New Roman"/>
          <w:b w:val="0"/>
          <w:i w:val="0"/>
          <w:sz w:val="24"/>
        </w:rPr>
        <w:t xml:space="preserve">All data, code, and replication materials are publicly available at: </w:t>
      </w: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45"/>
            <w:shd w:val="clear" w:color="auto" w:fill="EBF3FB"/>
          </w:tcPr>
          <w:p>
            <w:pPr>
              <w:jc w:val="left"/>
            </w:pPr>
            <w:r/>
            <w:r>
              <w:rPr>
                <w:rFonts w:ascii="Times New Roman" w:hAnsi="Times New Roman"/>
                <w:b w:val="0"/>
                <w:i w:val="0"/>
                <w:sz w:val="18"/>
              </w:rPr>
              <w:t>OIS–Treasury spread (pp)</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0.166</w:t>
            </w:r>
          </w:p>
        </w:tc>
        <w:tc>
          <w:tcPr>
            <w:tcW w:type="dxa" w:w="945"/>
            <w:shd w:val="clear" w:color="auto" w:fill="EBF3FB"/>
          </w:tcPr>
          <w:p>
            <w:pPr>
              <w:jc w:val="center"/>
            </w:pPr>
            <w:r/>
            <w:r>
              <w:rPr>
                <w:rFonts w:ascii="Times New Roman" w:hAnsi="Times New Roman"/>
                <w:b w:val="0"/>
                <w:i w:val="0"/>
                <w:sz w:val="18"/>
              </w:rPr>
              <w:t>0.227</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0.132</w:t>
            </w:r>
          </w:p>
        </w:tc>
        <w:tc>
          <w:tcPr>
            <w:tcW w:type="dxa" w:w="945"/>
            <w:shd w:val="clear" w:color="auto" w:fill="EBF3FB"/>
          </w:tcPr>
          <w:p>
            <w:pPr>
              <w:jc w:val="center"/>
            </w:pPr>
            <w:r/>
            <w:r>
              <w:rPr>
                <w:rFonts w:ascii="Times New Roman" w:hAnsi="Times New Roman"/>
                <w:b w:val="0"/>
                <w:i w:val="0"/>
                <w:sz w:val="18"/>
              </w:rPr>
              <w:t>0.272</w:t>
            </w:r>
          </w:p>
        </w:tc>
        <w:tc>
          <w:tcPr>
            <w:tcW w:type="dxa" w:w="945"/>
            <w:shd w:val="clear" w:color="auto" w:fill="EBF3FB"/>
          </w:tcPr>
          <w:p>
            <w:pPr>
              <w:jc w:val="center"/>
            </w:pPr>
            <w:r/>
            <w:r>
              <w:rPr>
                <w:rFonts w:ascii="Times New Roman" w:hAnsi="Times New Roman"/>
                <w:b w:val="0"/>
                <w:i w:val="0"/>
                <w:sz w:val="18"/>
              </w:rPr>
              <w:t>0.792</w:t>
            </w:r>
          </w:p>
        </w:tc>
      </w:tr>
      <w:tr>
        <w:tc>
          <w:tcPr>
            <w:tcW w:type="dxa" w:w="945"/>
            <w:shd w:val="clear" w:color="auto" w:fill="FFFFFF"/>
          </w:tcPr>
          <w:p>
            <w:pPr>
              <w:jc w:val="left"/>
            </w:pPr>
            <w:r/>
            <w:r>
              <w:rPr>
                <w:rFonts w:ascii="Times New Roman" w:hAnsi="Times New Roman"/>
                <w:b w:val="0"/>
                <w:i w:val="0"/>
                <w:sz w:val="18"/>
              </w:rPr>
              <w:t>ΔlnS  (monthly log-change in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0.013</w:t>
            </w:r>
          </w:p>
        </w:tc>
        <w:tc>
          <w:tcPr>
            <w:tcW w:type="dxa" w:w="945"/>
            <w:shd w:val="clear" w:color="auto" w:fill="FFFFFF"/>
          </w:tcPr>
          <w:p>
            <w:pPr>
              <w:jc w:val="center"/>
            </w:pPr>
            <w:r/>
            <w:r>
              <w:rPr>
                <w:rFonts w:ascii="Times New Roman" w:hAnsi="Times New Roman"/>
                <w:b w:val="0"/>
                <w:i w:val="0"/>
                <w:sz w:val="18"/>
              </w:rPr>
              <w:t>0.040</w:t>
            </w:r>
          </w:p>
        </w:tc>
        <w:tc>
          <w:tcPr>
            <w:tcW w:type="dxa" w:w="945"/>
            <w:shd w:val="clear" w:color="auto" w:fill="FFFFFF"/>
          </w:tcPr>
          <w:p>
            <w:pPr>
              <w:jc w:val="center"/>
            </w:pPr>
            <w:r/>
            <w:r>
              <w:rPr>
                <w:rFonts w:ascii="Times New Roman" w:hAnsi="Times New Roman"/>
                <w:b w:val="0"/>
                <w:i w:val="0"/>
                <w:sz w:val="18"/>
              </w:rPr>
              <w:t>−0.163</w:t>
            </w:r>
          </w:p>
        </w:tc>
        <w:tc>
          <w:tcPr>
            <w:tcW w:type="dxa" w:w="945"/>
            <w:shd w:val="clear" w:color="auto" w:fill="FFFFFF"/>
          </w:tcPr>
          <w:p>
            <w:pPr>
              <w:jc w:val="center"/>
            </w:pPr>
            <w:r/>
            <w:r>
              <w:rPr>
                <w:rFonts w:ascii="Times New Roman" w:hAnsi="Times New Roman"/>
                <w:b w:val="0"/>
                <w:i w:val="0"/>
                <w:sz w:val="18"/>
              </w:rPr>
              <w:t>−0.008</w:t>
            </w:r>
          </w:p>
        </w:tc>
        <w:tc>
          <w:tcPr>
            <w:tcW w:type="dxa" w:w="945"/>
            <w:shd w:val="clear" w:color="auto" w:fill="FFFFFF"/>
          </w:tcPr>
          <w:p>
            <w:pPr>
              <w:jc w:val="center"/>
            </w:pPr>
            <w:r/>
            <w:r>
              <w:rPr>
                <w:rFonts w:ascii="Times New Roman" w:hAnsi="Times New Roman"/>
                <w:b w:val="0"/>
                <w:i w:val="0"/>
                <w:sz w:val="18"/>
              </w:rPr>
              <w:t>0.010</w:t>
            </w:r>
          </w:p>
        </w:tc>
        <w:tc>
          <w:tcPr>
            <w:tcW w:type="dxa" w:w="945"/>
            <w:shd w:val="clear" w:color="auto" w:fill="FFFFFF"/>
          </w:tcPr>
          <w:p>
            <w:pPr>
              <w:jc w:val="center"/>
            </w:pPr>
            <w:r/>
            <w:r>
              <w:rPr>
                <w:rFonts w:ascii="Times New Roman" w:hAnsi="Times New Roman"/>
                <w:b w:val="0"/>
                <w:i w:val="0"/>
                <w:sz w:val="18"/>
              </w:rPr>
              <w:t>0.036</w:t>
            </w:r>
          </w:p>
        </w:tc>
        <w:tc>
          <w:tcPr>
            <w:tcW w:type="dxa" w:w="945"/>
            <w:shd w:val="clear" w:color="auto" w:fill="FFFFFF"/>
          </w:tcPr>
          <w:p>
            <w:pPr>
              <w:jc w:val="center"/>
            </w:pPr>
            <w:r/>
            <w:r>
              <w:rPr>
                <w:rFonts w:ascii="Times New Roman" w:hAnsi="Times New Roman"/>
                <w:b w:val="0"/>
                <w:i w:val="0"/>
                <w:sz w:val="18"/>
              </w:rPr>
              <w:t>0.117</w:t>
            </w:r>
          </w:p>
        </w:tc>
      </w:tr>
      <w:tr>
        <w:tc>
          <w:tcPr>
            <w:tcW w:type="dxa" w:w="945"/>
            <w:shd w:val="clear" w:color="auto" w:fill="EBF3FB"/>
          </w:tcPr>
          <w:p>
            <w:pPr>
              <w:jc w:val="left"/>
            </w:pPr>
            <w:r/>
            <w:r>
              <w:rPr>
                <w:rFonts w:ascii="Times New Roman" w:hAnsi="Times New Roman"/>
                <w:b w:val="0"/>
                <w:i w:val="0"/>
                <w:sz w:val="18"/>
              </w:rPr>
              <w:t>θ  (Treasury Exposure = T-bills /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0.371</w:t>
            </w:r>
          </w:p>
        </w:tc>
        <w:tc>
          <w:tcPr>
            <w:tcW w:type="dxa" w:w="945"/>
            <w:shd w:val="clear" w:color="auto" w:fill="EBF3FB"/>
          </w:tcPr>
          <w:p>
            <w:pPr>
              <w:jc w:val="center"/>
            </w:pPr>
            <w:r/>
            <w:r>
              <w:rPr>
                <w:rFonts w:ascii="Times New Roman" w:hAnsi="Times New Roman"/>
                <w:b w:val="0"/>
                <w:i w:val="0"/>
                <w:sz w:val="18"/>
              </w:rPr>
              <w:t>0.253</w:t>
            </w:r>
          </w:p>
        </w:tc>
        <w:tc>
          <w:tcPr>
            <w:tcW w:type="dxa" w:w="945"/>
            <w:shd w:val="clear" w:color="auto" w:fill="EBF3FB"/>
          </w:tcPr>
          <w:p>
            <w:pPr>
              <w:jc w:val="center"/>
            </w:pPr>
            <w:r/>
            <w:r>
              <w:rPr>
                <w:rFonts w:ascii="Times New Roman" w:hAnsi="Times New Roman"/>
                <w:b w:val="0"/>
                <w:i w:val="0"/>
                <w:sz w:val="18"/>
              </w:rPr>
              <w:t>0.000</w:t>
            </w:r>
          </w:p>
        </w:tc>
        <w:tc>
          <w:tcPr>
            <w:tcW w:type="dxa" w:w="945"/>
            <w:shd w:val="clear" w:color="auto" w:fill="EBF3FB"/>
          </w:tcPr>
          <w:p>
            <w:pPr>
              <w:jc w:val="center"/>
            </w:pPr>
            <w:r/>
            <w:r>
              <w:rPr>
                <w:rFonts w:ascii="Times New Roman" w:hAnsi="Times New Roman"/>
                <w:b w:val="0"/>
                <w:i w:val="0"/>
                <w:sz w:val="18"/>
              </w:rPr>
              <w:t>0.259</w:t>
            </w:r>
          </w:p>
        </w:tc>
        <w:tc>
          <w:tcPr>
            <w:tcW w:type="dxa" w:w="945"/>
            <w:shd w:val="clear" w:color="auto" w:fill="EBF3FB"/>
          </w:tcPr>
          <w:p>
            <w:pPr>
              <w:jc w:val="center"/>
            </w:pPr>
            <w:r/>
            <w:r>
              <w:rPr>
                <w:rFonts w:ascii="Times New Roman" w:hAnsi="Times New Roman"/>
                <w:b w:val="0"/>
                <w:i w:val="0"/>
                <w:sz w:val="18"/>
              </w:rPr>
              <w:t>0.391</w:t>
            </w:r>
          </w:p>
        </w:tc>
        <w:tc>
          <w:tcPr>
            <w:tcW w:type="dxa" w:w="945"/>
            <w:shd w:val="clear" w:color="auto" w:fill="EBF3FB"/>
          </w:tcPr>
          <w:p>
            <w:pPr>
              <w:jc w:val="center"/>
            </w:pPr>
            <w:r/>
            <w:r>
              <w:rPr>
                <w:rFonts w:ascii="Times New Roman" w:hAnsi="Times New Roman"/>
                <w:b w:val="0"/>
                <w:i w:val="0"/>
                <w:sz w:val="18"/>
              </w:rPr>
              <w:t>0.534</w:t>
            </w:r>
          </w:p>
        </w:tc>
        <w:tc>
          <w:tcPr>
            <w:tcW w:type="dxa" w:w="945"/>
            <w:shd w:val="clear" w:color="auto" w:fill="EBF3FB"/>
          </w:tcPr>
          <w:p>
            <w:pPr>
              <w:jc w:val="center"/>
            </w:pPr>
            <w:r/>
            <w:r>
              <w:rPr>
                <w:rFonts w:ascii="Times New Roman" w:hAnsi="Times New Roman"/>
                <w:b w:val="0"/>
                <w:i w:val="0"/>
                <w:sz w:val="18"/>
              </w:rPr>
              <w:t>0.830</w:t>
            </w:r>
          </w:p>
        </w:tc>
      </w:tr>
      <w:tr>
        <w:tc>
          <w:tcPr>
            <w:tcW w:type="dxa" w:w="945"/>
            <w:shd w:val="clear" w:color="auto" w:fill="FFFFFF"/>
          </w:tcPr>
          <w:p>
            <w:pPr>
              <w:jc w:val="left"/>
            </w:pPr>
            <w:r/>
            <w:r>
              <w:rPr>
                <w:rFonts w:ascii="Times New Roman" w:hAnsi="Times New Roman"/>
                <w:b w:val="0"/>
                <w:i w:val="0"/>
                <w:sz w:val="18"/>
              </w:rPr>
              <w:t>L  (Liquid Buffer = cash reserves /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0.085</w:t>
            </w:r>
          </w:p>
        </w:tc>
        <w:tc>
          <w:tcPr>
            <w:tcW w:type="dxa" w:w="945"/>
            <w:shd w:val="clear" w:color="auto" w:fill="FFFFFF"/>
          </w:tcPr>
          <w:p>
            <w:pPr>
              <w:jc w:val="center"/>
            </w:pPr>
            <w:r/>
            <w:r>
              <w:rPr>
                <w:rFonts w:ascii="Times New Roman" w:hAnsi="Times New Roman"/>
                <w:b w:val="0"/>
                <w:i w:val="0"/>
                <w:sz w:val="18"/>
              </w:rPr>
              <w:t>0.064</w:t>
            </w:r>
          </w:p>
        </w:tc>
        <w:tc>
          <w:tcPr>
            <w:tcW w:type="dxa" w:w="945"/>
            <w:shd w:val="clear" w:color="auto" w:fill="FFFFFF"/>
          </w:tcPr>
          <w:p>
            <w:pPr>
              <w:jc w:val="center"/>
            </w:pPr>
            <w:r/>
            <w:r>
              <w:rPr>
                <w:rFonts w:ascii="Times New Roman" w:hAnsi="Times New Roman"/>
                <w:b w:val="0"/>
                <w:i w:val="0"/>
                <w:sz w:val="18"/>
              </w:rPr>
              <w:t>0.000</w:t>
            </w:r>
          </w:p>
        </w:tc>
        <w:tc>
          <w:tcPr>
            <w:tcW w:type="dxa" w:w="945"/>
            <w:shd w:val="clear" w:color="auto" w:fill="FFFFFF"/>
          </w:tcPr>
          <w:p>
            <w:pPr>
              <w:jc w:val="center"/>
            </w:pPr>
            <w:r/>
            <w:r>
              <w:rPr>
                <w:rFonts w:ascii="Times New Roman" w:hAnsi="Times New Roman"/>
                <w:b w:val="0"/>
                <w:i w:val="0"/>
                <w:sz w:val="18"/>
              </w:rPr>
              <w:t>0.026</w:t>
            </w:r>
          </w:p>
        </w:tc>
        <w:tc>
          <w:tcPr>
            <w:tcW w:type="dxa" w:w="945"/>
            <w:shd w:val="clear" w:color="auto" w:fill="FFFFFF"/>
          </w:tcPr>
          <w:p>
            <w:pPr>
              <w:jc w:val="center"/>
            </w:pPr>
            <w:r/>
            <w:r>
              <w:rPr>
                <w:rFonts w:ascii="Times New Roman" w:hAnsi="Times New Roman"/>
                <w:b w:val="0"/>
                <w:i w:val="0"/>
                <w:sz w:val="18"/>
              </w:rPr>
              <w:t>0.092</w:t>
            </w:r>
          </w:p>
        </w:tc>
        <w:tc>
          <w:tcPr>
            <w:tcW w:type="dxa" w:w="945"/>
            <w:shd w:val="clear" w:color="auto" w:fill="FFFFFF"/>
          </w:tcPr>
          <w:p>
            <w:pPr>
              <w:jc w:val="center"/>
            </w:pPr>
            <w:r/>
            <w:r>
              <w:rPr>
                <w:rFonts w:ascii="Times New Roman" w:hAnsi="Times New Roman"/>
                <w:b w:val="0"/>
                <w:i w:val="0"/>
                <w:sz w:val="18"/>
              </w:rPr>
              <w:t>0.131</w:t>
            </w:r>
          </w:p>
        </w:tc>
        <w:tc>
          <w:tcPr>
            <w:tcW w:type="dxa" w:w="945"/>
            <w:shd w:val="clear" w:color="auto" w:fill="FFFFFF"/>
          </w:tcPr>
          <w:p>
            <w:pPr>
              <w:jc w:val="center"/>
            </w:pPr>
            <w:r/>
            <w:r>
              <w:rPr>
                <w:rFonts w:ascii="Times New Roman" w:hAnsi="Times New Roman"/>
                <w:b w:val="0"/>
                <w:i w:val="0"/>
                <w:sz w:val="18"/>
              </w:rPr>
              <w:t>0.223</w:t>
            </w:r>
          </w:p>
        </w:tc>
      </w:tr>
      <w:tr>
        <w:tc>
          <w:tcPr>
            <w:tcW w:type="dxa" w:w="945"/>
            <w:shd w:val="clear" w:color="auto" w:fill="EBF3FB"/>
          </w:tcPr>
          <w:p>
            <w:pPr>
              <w:jc w:val="left"/>
            </w:pPr>
            <w:r/>
            <w:r>
              <w:rPr>
                <w:rFonts w:ascii="Times New Roman" w:hAnsi="Times New Roman"/>
                <w:b w:val="0"/>
                <w:i w:val="0"/>
                <w:sz w:val="18"/>
              </w:rPr>
              <w:t>V  (supply-growth volatility, 7-day rolling SD of Δ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0.011</w:t>
            </w:r>
          </w:p>
        </w:tc>
      </w:tr>
      <w:tr>
        <w:tc>
          <w:tcPr>
            <w:tcW w:type="dxa" w:w="945"/>
            <w:shd w:val="clear" w:color="auto" w:fill="FFFFFF"/>
          </w:tcPr>
          <w:p>
            <w:pPr>
              <w:jc w:val="left"/>
            </w:pPr>
            <w:r/>
            <w:r>
              <w:rPr>
                <w:rFonts w:ascii="Times New Roman" w:hAnsi="Times New Roman"/>
                <w:b w:val="0"/>
                <w:i w:val="0"/>
                <w:sz w:val="18"/>
              </w:rPr>
              <w:t>VIX</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19.26</w:t>
            </w:r>
          </w:p>
        </w:tc>
        <w:tc>
          <w:tcPr>
            <w:tcW w:type="dxa" w:w="945"/>
            <w:shd w:val="clear" w:color="auto" w:fill="FFFFFF"/>
          </w:tcPr>
          <w:p>
            <w:pPr>
              <w:jc w:val="center"/>
            </w:pPr>
            <w:r/>
            <w:r>
              <w:rPr>
                <w:rFonts w:ascii="Times New Roman" w:hAnsi="Times New Roman"/>
                <w:b w:val="0"/>
                <w:i w:val="0"/>
                <w:sz w:val="18"/>
              </w:rPr>
              <w:t>5.03</w:t>
            </w:r>
          </w:p>
        </w:tc>
        <w:tc>
          <w:tcPr>
            <w:tcW w:type="dxa" w:w="945"/>
            <w:shd w:val="clear" w:color="auto" w:fill="FFFFFF"/>
          </w:tcPr>
          <w:p>
            <w:pPr>
              <w:jc w:val="center"/>
            </w:pPr>
            <w:r/>
            <w:r>
              <w:rPr>
                <w:rFonts w:ascii="Times New Roman" w:hAnsi="Times New Roman"/>
                <w:b w:val="0"/>
                <w:i w:val="0"/>
                <w:sz w:val="18"/>
              </w:rPr>
              <w:t>12.67</w:t>
            </w:r>
          </w:p>
        </w:tc>
        <w:tc>
          <w:tcPr>
            <w:tcW w:type="dxa" w:w="945"/>
            <w:shd w:val="clear" w:color="auto" w:fill="FFFFFF"/>
          </w:tcPr>
          <w:p>
            <w:pPr>
              <w:jc w:val="center"/>
            </w:pPr>
            <w:r/>
            <w:r>
              <w:rPr>
                <w:rFonts w:ascii="Times New Roman" w:hAnsi="Times New Roman"/>
                <w:b w:val="0"/>
                <w:i w:val="0"/>
                <w:sz w:val="18"/>
              </w:rPr>
              <w:t>15.60</w:t>
            </w:r>
          </w:p>
        </w:tc>
        <w:tc>
          <w:tcPr>
            <w:tcW w:type="dxa" w:w="945"/>
            <w:shd w:val="clear" w:color="auto" w:fill="FFFFFF"/>
          </w:tcPr>
          <w:p>
            <w:pPr>
              <w:jc w:val="center"/>
            </w:pPr>
            <w:r/>
            <w:r>
              <w:rPr>
                <w:rFonts w:ascii="Times New Roman" w:hAnsi="Times New Roman"/>
                <w:b w:val="0"/>
                <w:i w:val="0"/>
                <w:sz w:val="18"/>
              </w:rPr>
              <w:t>18.29</w:t>
            </w:r>
          </w:p>
        </w:tc>
        <w:tc>
          <w:tcPr>
            <w:tcW w:type="dxa" w:w="945"/>
            <w:shd w:val="clear" w:color="auto" w:fill="FFFFFF"/>
          </w:tcPr>
          <w:p>
            <w:pPr>
              <w:jc w:val="center"/>
            </w:pPr>
            <w:r/>
            <w:r>
              <w:rPr>
                <w:rFonts w:ascii="Times New Roman" w:hAnsi="Times New Roman"/>
                <w:b w:val="0"/>
                <w:i w:val="0"/>
                <w:sz w:val="18"/>
              </w:rPr>
              <w:t>21.98</w:t>
            </w:r>
          </w:p>
        </w:tc>
        <w:tc>
          <w:tcPr>
            <w:tcW w:type="dxa" w:w="945"/>
            <w:shd w:val="clear" w:color="auto" w:fill="FFFFFF"/>
          </w:tcPr>
          <w:p>
            <w:pPr>
              <w:jc w:val="center"/>
            </w:pPr>
            <w:r/>
            <w:r>
              <w:rPr>
                <w:rFonts w:ascii="Times New Roman" w:hAnsi="Times New Roman"/>
                <w:b w:val="0"/>
                <w:i w:val="0"/>
                <w:sz w:val="18"/>
              </w:rPr>
              <w:t>32.52</w:t>
            </w:r>
          </w:p>
        </w:tc>
      </w:tr>
      <w:tr>
        <w:tc>
          <w:tcPr>
            <w:tcW w:type="dxa" w:w="945"/>
            <w:shd w:val="clear" w:color="auto" w:fill="EBF3FB"/>
          </w:tcPr>
          <w:p>
            <w:pPr>
              <w:jc w:val="left"/>
            </w:pPr>
            <w:r/>
            <w:r>
              <w:rPr>
                <w:rFonts w:ascii="Times New Roman" w:hAnsi="Times New Roman"/>
                <w:b w:val="0"/>
                <w:i w:val="0"/>
                <w:sz w:val="18"/>
              </w:rPr>
              <w:t>ΔlnN*  (RoW equity log-change)</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0.009</w:t>
            </w:r>
          </w:p>
        </w:tc>
        <w:tc>
          <w:tcPr>
            <w:tcW w:type="dxa" w:w="945"/>
            <w:shd w:val="clear" w:color="auto" w:fill="EBF3FB"/>
          </w:tcPr>
          <w:p>
            <w:pPr>
              <w:jc w:val="center"/>
            </w:pPr>
            <w:r/>
            <w:r>
              <w:rPr>
                <w:rFonts w:ascii="Times New Roman" w:hAnsi="Times New Roman"/>
                <w:b w:val="0"/>
                <w:i w:val="0"/>
                <w:sz w:val="18"/>
              </w:rPr>
              <w:t>0.082</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−0.032</w:t>
            </w:r>
          </w:p>
        </w:tc>
        <w:tc>
          <w:tcPr>
            <w:tcW w:type="dxa" w:w="945"/>
            <w:shd w:val="clear" w:color="auto" w:fill="EBF3FB"/>
          </w:tcPr>
          <w:p>
            <w:pPr>
              <w:jc w:val="center"/>
            </w:pPr>
            <w:r/>
            <w:r>
              <w:rPr>
                <w:rFonts w:ascii="Times New Roman" w:hAnsi="Times New Roman"/>
                <w:b w:val="0"/>
                <w:i w:val="0"/>
                <w:sz w:val="18"/>
              </w:rPr>
              <w:t>0.012</w:t>
            </w:r>
          </w:p>
        </w:tc>
        <w:tc>
          <w:tcPr>
            <w:tcW w:type="dxa" w:w="945"/>
            <w:shd w:val="clear" w:color="auto" w:fill="EBF3FB"/>
          </w:tcPr>
          <w:p>
            <w:pPr>
              <w:jc w:val="center"/>
            </w:pPr>
            <w:r/>
            <w:r>
              <w:rPr>
                <w:rFonts w:ascii="Times New Roman" w:hAnsi="Times New Roman"/>
                <w:b w:val="0"/>
                <w:i w:val="0"/>
                <w:sz w:val="18"/>
              </w:rPr>
              <w:t>0.053</w:t>
            </w:r>
          </w:p>
        </w:tc>
        <w:tc>
          <w:tcPr>
            <w:tcW w:type="dxa" w:w="945"/>
            <w:shd w:val="clear" w:color="auto" w:fill="EBF3FB"/>
          </w:tcPr>
          <w:p>
            <w:pPr>
              <w:jc w:val="center"/>
            </w:pPr>
            <w:r/>
            <w:r>
              <w:rPr>
                <w:rFonts w:ascii="Times New Roman" w:hAnsi="Times New Roman"/>
                <w:b w:val="0"/>
                <w:i w:val="0"/>
                <w:sz w:val="18"/>
              </w:rPr>
              <w:t>0.255</w:t>
            </w:r>
          </w:p>
        </w:tc>
      </w:tr>
    </w:tbl>
    <w:p>
      <w:pPr>
        <w:spacing w:before="40" w:after="200"/>
      </w:pPr>
      <w:r>
        <w:rPr>
          <w:rFonts w:ascii="Times New Roman" w:hAnsi="Times New Roman"/>
          <w:sz w:val="18"/>
        </w:rPr>
        <w:t>Note: Monthly observations, January 2022 – March 2026 (N = 51). Spread = DGS3MO minus overnight SOFR. θ and L constructed from Tether (quarterly BDO attestations) and Circle (monthly Deloitte/Grant Thornton attestations). V and ΔlnN* are in natural units. [1,2,15]</w:t>
      </w:r>
    </w:p>
    <w:p>
      <w:pPr>
        <w:spacing w:before="240" w:after="120"/>
      </w:pPr>
      <w:r>
        <w:rPr>
          <w:rFonts w:ascii="Times New Roman" w:hAnsi="Times New Roman"/>
          <w:b/>
          <w:i w:val="0"/>
          <w:sz w:val="24"/>
        </w:rPr>
        <w:t>Figure 1.  Key Variables: January 2022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10"/>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b w:val="0"/>
          <w:i/>
          <w:sz w:val="18"/>
        </w:rPr>
        <w:t>Note: Panel A: OIS–Treasury spread (DTB3 − SOFR90DAYAVG, daily). Panel B: USDT and USDC circulating supply (USD billions). Panel C: Aggregate liquid buffer L (cash reserves / supply) with threshold q* = 0.1301 marked. Vertical dotted lines indicate the three stress events analysed in Section 5.4.</w:t>
      </w:r>
      <w:r>
        <w:rPr>
          <w:rFonts w:ascii="Times New Roman" w:hAnsi="Times New Roman"/>
          <w:b/>
          <w:i w:val="0"/>
          <w:sz w:val="16"/>
          <w:vertAlign w:val="superscript"/>
        </w:rPr>
        <w:t xml:space="preserve"> [11]</w:t>
      </w:r>
    </w:p>
    <w:p/>
    <w:p>
      <w:pPr>
        <w:spacing w:before="240" w:after="120"/>
      </w:pPr>
      <w:r>
        <w:rPr>
          <w:rFonts w:ascii="Times New Roman" w:hAnsi="Times New Roman"/>
          <w:b/>
          <w:i w:val="0"/>
          <w:sz w:val="24"/>
        </w:rPr>
        <w:t>4.2  Methodology</w:t>
      </w:r>
    </w:p>
    <w:p>
      <w:pPr>
        <w:spacing w:before="0" w:after="160"/>
      </w:pPr>
      <w:r>
        <w:rPr>
          <w:rFonts w:ascii="Times New Roman" w:hAnsi="Times New Roman"/>
          <w:b w:val="0"/>
          <w:i w:val="0"/>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 Finally, an auction-level mechanism validation regresses monthly average T-bill bid-cover ratios on issuer-specific supply growth (USDT and USDC separately), using issuer-level heterogeneity in reserve composition as a natural control: under the reserve-composition hypothesis, only the T-bill-heavy issuer (USDT) should systematically affect bid-cover ratios. Bid-cover data for 4-week, 8-week, 13-week, and 26-week maturities are sourced from the TreasuryDirect auction results API.</w:t>
      </w:r>
    </w:p>
    <w:p>
      <w:pPr>
        <w:spacing w:before="0" w:after="200"/>
      </w:pPr>
      <w:r>
        <w:rPr>
          <w:rFonts w:ascii="Times New Roman" w:hAnsi="Times New Roman"/>
          <w:b w:val="0"/>
          <w:i w:val="0"/>
          <w:sz w:val="24"/>
        </w:rPr>
        <w:t>A potential identification concern is reverse causality: if stablecoin issuers actively increase T-bill holdings in response to falling OIS–Treasury spreads, β₁ would reflect issuer behavior rather than demand pressure. We argue this is unlikely to be the dominant channel for three reasons. First, stablecoin supply growth is driven by retail and institutional fiat-currency inflows into the crypto ecosystem — a slow-moving, adoption-determined process largely orthogonal to short-run spread fluctuations. Second, issuers target a fixed 1:1 redemption parity, not spread optimization; reserve composition decisions follow attestation-cycle timing rather than market signals at monthly frequency. Third, a Granger (1969) causality test on the monthly sample does not reject the null that spreads do not Granger-cause ΔlnS, while ΔlnS does Granger-cause spreads at the 5% level. We acknowledge, however, that a cleaner instrument for stablecoin supply growth would strengthen identification, and we flag this as a direction for future work.</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b w:val="0"/>
          <w:i w:val="0"/>
          <w:sz w:val="24"/>
        </w:rPr>
        <w:t>Table 2 presents the main regression results. Column (2) — the buffer-ratio specification — is our primary result: it combines Treasury exposure and liquid buffer into a single composite B = (T-bills + cash) / supply, reducing collinearity and yielding a clean estimate of the supply-growth effect and its buffer-conditioned amplification. Column (1) shows the fully decomposed θ/L specification for completeness; its β₁ is insignificant due to multicollinearity between θ, L, and L × ΔlnS at N = 51, not because the supply channel is absent.</w:t>
      </w:r>
    </w:p>
    <w:p>
      <w:pPr>
        <w:spacing w:before="240" w:after="120"/>
      </w:pPr>
      <w:r>
        <w:rPr>
          <w:rFonts w:ascii="Times New Roman" w:hAnsi="Times New Roman"/>
          <w:b/>
          <w:i w:val="0"/>
          <w:sz w:val="24"/>
        </w:rPr>
        <w:t>Table 2.  Main OLS Regression Results (Newey–West HAC, 1 lag)</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BDD7EE"/>
          </w:tcPr>
          <w:p>
            <w:pPr>
              <w:jc w:val="left"/>
            </w:pPr>
            <w:r/>
            <w:r>
              <w:rPr>
                <w:rFonts w:ascii="Times New Roman" w:hAnsi="Times New Roman"/>
                <w:b/>
                <w:i w:val="0"/>
                <w:sz w:val="20"/>
              </w:rPr>
              <w:t>Variable</w:t>
            </w:r>
          </w:p>
        </w:tc>
        <w:tc>
          <w:tcPr>
            <w:tcW w:type="dxa" w:w="2835"/>
            <w:shd w:val="clear" w:color="auto" w:fill="BDD7EE"/>
          </w:tcPr>
          <w:p>
            <w:pPr>
              <w:jc w:val="center"/>
            </w:pPr>
            <w:r/>
            <w:r>
              <w:rPr>
                <w:rFonts w:ascii="Times New Roman" w:hAnsi="Times New Roman"/>
                <w:b/>
                <w:i w:val="0"/>
                <w:sz w:val="20"/>
              </w:rPr>
              <w:t>(1) Decomposed θ/L</w:t>
            </w:r>
          </w:p>
        </w:tc>
        <w:tc>
          <w:tcPr>
            <w:tcW w:type="dxa" w:w="2835"/>
            <w:shd w:val="clear" w:color="auto" w:fill="BDD7EE"/>
          </w:tcPr>
          <w:p>
            <w:pPr>
              <w:jc w:val="center"/>
            </w:pPr>
            <w:r/>
            <w:r>
              <w:rPr>
                <w:rFonts w:ascii="Times New Roman" w:hAnsi="Times New Roman"/>
                <w:b/>
                <w:i w:val="0"/>
                <w:sz w:val="20"/>
              </w:rPr>
              <w:t>(2) Buffer ratio B  ◄ primary</w:t>
            </w:r>
          </w:p>
        </w:tc>
      </w:tr>
      <w:tr>
        <w:tc>
          <w:tcPr>
            <w:tcW w:type="dxa" w:w="2835"/>
          </w:tcPr>
          <w:p>
            <w:pPr>
              <w:jc w:val="left"/>
            </w:pPr>
            <w:r/>
            <w:r>
              <w:rPr>
                <w:rFonts w:ascii="Times New Roman" w:hAnsi="Times New Roman"/>
                <w:b w:val="0"/>
                <w:i w:val="0"/>
                <w:sz w:val="20"/>
              </w:rPr>
              <w:t>ΔlnS</w:t>
            </w:r>
          </w:p>
        </w:tc>
        <w:tc>
          <w:tcPr>
            <w:tcW w:type="dxa" w:w="2835"/>
          </w:tcPr>
          <w:p>
            <w:pPr>
              <w:jc w:val="center"/>
            </w:pPr>
            <w:r/>
            <w:r>
              <w:rPr>
                <w:rFonts w:ascii="Times New Roman" w:hAnsi="Times New Roman"/>
                <w:b w:val="0"/>
                <w:i w:val="0"/>
                <w:sz w:val="20"/>
              </w:rPr>
              <w:t>−1.120</w:t>
            </w:r>
          </w:p>
        </w:tc>
        <w:tc>
          <w:tcPr>
            <w:tcW w:type="dxa" w:w="2835"/>
          </w:tcPr>
          <w:p>
            <w:pPr>
              <w:jc w:val="center"/>
            </w:pPr>
            <w:r/>
            <w:r>
              <w:rPr>
                <w:rFonts w:ascii="Times New Roman" w:hAnsi="Times New Roman"/>
                <w:b w:val="0"/>
                <w:i w:val="0"/>
                <w:sz w:val="20"/>
              </w:rPr>
              <w:t>−7.569***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(1.377)</w:t>
            </w:r>
          </w:p>
        </w:tc>
        <w:tc>
          <w:tcPr>
            <w:tcW w:type="dxa" w:w="2835"/>
          </w:tcPr>
          <w:p>
            <w:pPr>
              <w:jc w:val="center"/>
            </w:pPr>
            <w:r/>
            <w:r>
              <w:rPr>
                <w:rFonts w:ascii="Times New Roman" w:hAnsi="Times New Roman"/>
                <w:b w:val="0"/>
                <w:i/>
                <w:sz w:val="20"/>
              </w:rPr>
              <w:t>(2.659)</w:t>
            </w:r>
          </w:p>
        </w:tc>
      </w:tr>
      <w:tr>
        <w:tc>
          <w:tcPr>
            <w:tcW w:type="dxa" w:w="2835"/>
          </w:tcPr>
          <w:p>
            <w:pPr>
              <w:jc w:val="left"/>
            </w:pPr>
            <w:r/>
            <w:r>
              <w:rPr>
                <w:rFonts w:ascii="Times New Roman" w:hAnsi="Times New Roman"/>
                <w:b w:val="0"/>
                <w:i w:val="0"/>
                <w:sz w:val="20"/>
              </w:rPr>
              <w:t>θ (Treasury Exposure)</w:t>
            </w:r>
          </w:p>
        </w:tc>
        <w:tc>
          <w:tcPr>
            <w:tcW w:type="dxa" w:w="2835"/>
          </w:tcPr>
          <w:p>
            <w:pPr>
              <w:jc w:val="center"/>
            </w:pPr>
            <w:r/>
            <w:r>
              <w:rPr>
                <w:rFonts w:ascii="Times New Roman" w:hAnsi="Times New Roman"/>
                <w:b w:val="0"/>
                <w:i w:val="0"/>
                <w:sz w:val="20"/>
              </w:rPr>
              <w:t>−0.017</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(0.094)</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(Liquid Buffer)</w:t>
            </w:r>
          </w:p>
        </w:tc>
        <w:tc>
          <w:tcPr>
            <w:tcW w:type="dxa" w:w="2835"/>
          </w:tcPr>
          <w:p>
            <w:pPr>
              <w:jc w:val="center"/>
            </w:pPr>
            <w:r/>
            <w:r>
              <w:rPr>
                <w:rFonts w:ascii="Times New Roman" w:hAnsi="Times New Roman"/>
                <w:b w:val="0"/>
                <w:i w:val="0"/>
                <w:sz w:val="20"/>
              </w:rPr>
              <w:t>1.068</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(0.721)</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 ΔlnS</w:t>
            </w:r>
          </w:p>
        </w:tc>
        <w:tc>
          <w:tcPr>
            <w:tcW w:type="dxa" w:w="2835"/>
          </w:tcPr>
          <w:p>
            <w:pPr>
              <w:jc w:val="center"/>
            </w:pPr>
            <w:r/>
            <w:r>
              <w:rPr>
                <w:rFonts w:ascii="Times New Roman" w:hAnsi="Times New Roman"/>
                <w:b w:val="0"/>
                <w:i w:val="0"/>
                <w:sz w:val="20"/>
              </w:rPr>
              <w:t>−11.435</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(13.272)</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B (buffer ratio)</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0.119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(0.117)</w:t>
            </w:r>
          </w:p>
        </w:tc>
      </w:tr>
      <w:tr>
        <w:tc>
          <w:tcPr>
            <w:tcW w:type="dxa" w:w="2835"/>
          </w:tcPr>
          <w:p>
            <w:pPr>
              <w:jc w:val="left"/>
            </w:pPr>
            <w:r/>
            <w:r>
              <w:rPr>
                <w:rFonts w:ascii="Times New Roman" w:hAnsi="Times New Roman"/>
                <w:b w:val="0"/>
                <w:i w:val="0"/>
                <w:sz w:val="20"/>
              </w:rPr>
              <w:t>B × ΔlnS</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−7.520**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(3.214)</w:t>
            </w:r>
          </w:p>
        </w:tc>
      </w:tr>
      <w:tr>
        <w:tc>
          <w:tcPr>
            <w:tcW w:type="dxa" w:w="2835"/>
          </w:tcPr>
          <w:p>
            <w:pPr>
              <w:jc w:val="left"/>
            </w:pPr>
            <w:r/>
            <w:r>
              <w:rPr>
                <w:rFonts w:ascii="Times New Roman" w:hAnsi="Times New Roman"/>
                <w:b w:val="0"/>
                <w:i w:val="0"/>
                <w:sz w:val="20"/>
              </w:rPr>
              <w:t>V (supply-growth vol.)</w:t>
            </w:r>
          </w:p>
        </w:tc>
        <w:tc>
          <w:tcPr>
            <w:tcW w:type="dxa" w:w="2835"/>
          </w:tcPr>
          <w:p>
            <w:pPr>
              <w:jc w:val="center"/>
            </w:pPr>
            <w:r/>
            <w:r>
              <w:rPr>
                <w:rFonts w:ascii="Times New Roman" w:hAnsi="Times New Roman"/>
                <w:b w:val="0"/>
                <w:i w:val="0"/>
                <w:sz w:val="20"/>
              </w:rPr>
              <w:t>−37.944</w:t>
            </w:r>
          </w:p>
        </w:tc>
        <w:tc>
          <w:tcPr>
            <w:tcW w:type="dxa" w:w="2835"/>
          </w:tcPr>
          <w:p>
            <w:pPr>
              <w:jc w:val="center"/>
            </w:pPr>
            <w:r/>
            <w:r>
              <w:rPr>
                <w:rFonts w:ascii="Times New Roman" w:hAnsi="Times New Roman"/>
                <w:b w:val="0"/>
                <w:i w:val="0"/>
                <w:sz w:val="20"/>
              </w:rPr>
              <w:t>−52.869*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(19.667)</w:t>
            </w:r>
          </w:p>
        </w:tc>
        <w:tc>
          <w:tcPr>
            <w:tcW w:type="dxa" w:w="2835"/>
          </w:tcPr>
          <w:p>
            <w:pPr>
              <w:jc w:val="center"/>
            </w:pPr>
            <w:r/>
            <w:r>
              <w:rPr>
                <w:rFonts w:ascii="Times New Roman" w:hAnsi="Times New Roman"/>
                <w:b w:val="0"/>
                <w:i/>
                <w:sz w:val="20"/>
              </w:rPr>
              <w:t>(23.843)</w:t>
            </w:r>
          </w:p>
        </w:tc>
      </w:tr>
      <w:tr>
        <w:tc>
          <w:tcPr>
            <w:tcW w:type="dxa" w:w="2835"/>
          </w:tcPr>
          <w:p>
            <w:pPr>
              <w:jc w:val="left"/>
            </w:pPr>
            <w:r/>
            <w:r>
              <w:rPr>
                <w:rFonts w:ascii="Times New Roman" w:hAnsi="Times New Roman"/>
                <w:b w:val="0"/>
                <w:i w:val="0"/>
                <w:sz w:val="20"/>
              </w:rPr>
              <w:t>VIX</w:t>
            </w:r>
          </w:p>
        </w:tc>
        <w:tc>
          <w:tcPr>
            <w:tcW w:type="dxa" w:w="2835"/>
          </w:tcPr>
          <w:p>
            <w:pPr>
              <w:jc w:val="center"/>
            </w:pPr>
            <w:r/>
            <w:r>
              <w:rPr>
                <w:rFonts w:ascii="Times New Roman" w:hAnsi="Times New Roman"/>
                <w:b w:val="0"/>
                <w:i w:val="0"/>
                <w:sz w:val="20"/>
              </w:rPr>
              <w:t>0.011</w:t>
            </w:r>
          </w:p>
        </w:tc>
        <w:tc>
          <w:tcPr>
            <w:tcW w:type="dxa" w:w="2835"/>
          </w:tcPr>
          <w:p>
            <w:pPr>
              <w:jc w:val="center"/>
            </w:pPr>
            <w:r/>
            <w:r>
              <w:rPr>
                <w:rFonts w:ascii="Times New Roman" w:hAnsi="Times New Roman"/>
                <w:b w:val="0"/>
                <w:i w:val="0"/>
                <w:sz w:val="20"/>
              </w:rPr>
              <w:t>0.010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(0.010)</w:t>
            </w:r>
          </w:p>
        </w:tc>
        <w:tc>
          <w:tcPr>
            <w:tcW w:type="dxa" w:w="2835"/>
          </w:tcPr>
          <w:p>
            <w:pPr>
              <w:jc w:val="center"/>
            </w:pPr>
            <w:r/>
            <w:r>
              <w:rPr>
                <w:rFonts w:ascii="Times New Roman" w:hAnsi="Times New Roman"/>
                <w:b w:val="0"/>
                <w:i/>
                <w:sz w:val="20"/>
              </w:rPr>
              <w:t>(0.007)</w:t>
            </w:r>
          </w:p>
        </w:tc>
      </w:tr>
      <w:tr>
        <w:tc>
          <w:tcPr>
            <w:tcW w:type="dxa" w:w="2835"/>
          </w:tcPr>
          <w:p>
            <w:pPr>
              <w:jc w:val="left"/>
            </w:pPr>
            <w:r/>
            <w:r>
              <w:rPr>
                <w:rFonts w:ascii="Times New Roman" w:hAnsi="Times New Roman"/>
                <w:b w:val="0"/>
                <w:i w:val="0"/>
                <w:sz w:val="20"/>
              </w:rPr>
              <w:t>ΔlnN*</w:t>
            </w:r>
          </w:p>
        </w:tc>
        <w:tc>
          <w:tcPr>
            <w:tcW w:type="dxa" w:w="2835"/>
          </w:tcPr>
          <w:p>
            <w:pPr>
              <w:jc w:val="center"/>
            </w:pPr>
            <w:r/>
            <w:r>
              <w:rPr>
                <w:rFonts w:ascii="Times New Roman" w:hAnsi="Times New Roman"/>
                <w:b w:val="0"/>
                <w:i w:val="0"/>
                <w:sz w:val="20"/>
              </w:rPr>
              <w:t>0.168</w:t>
            </w:r>
          </w:p>
        </w:tc>
        <w:tc>
          <w:tcPr>
            <w:tcW w:type="dxa" w:w="2835"/>
          </w:tcPr>
          <w:p>
            <w:pPr>
              <w:jc w:val="center"/>
            </w:pPr>
            <w:r/>
            <w:r>
              <w:rPr>
                <w:rFonts w:ascii="Times New Roman" w:hAnsi="Times New Roman"/>
                <w:b w:val="0"/>
                <w:i w:val="0"/>
                <w:sz w:val="20"/>
              </w:rPr>
              <w:t>0.105</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(0.442)</w:t>
            </w:r>
          </w:p>
        </w:tc>
        <w:tc>
          <w:tcPr>
            <w:tcW w:type="dxa" w:w="2835"/>
          </w:tcPr>
          <w:p>
            <w:pPr>
              <w:jc w:val="center"/>
            </w:pPr>
            <w:r/>
            <w:r>
              <w:rPr>
                <w:rFonts w:ascii="Times New Roman" w:hAnsi="Times New Roman"/>
                <w:b w:val="0"/>
                <w:i/>
                <w:sz w:val="20"/>
              </w:rPr>
              <w:t>(0.365)</w:t>
            </w:r>
          </w:p>
        </w:tc>
      </w:tr>
      <w:tr>
        <w:tc>
          <w:tcPr>
            <w:tcW w:type="dxa" w:w="2835"/>
          </w:tcPr>
          <w:p>
            <w:pPr>
              <w:jc w:val="left"/>
            </w:pPr>
            <w:r/>
            <w:r>
              <w:rPr>
                <w:rFonts w:ascii="Times New Roman" w:hAnsi="Times New Roman"/>
                <w:b w:val="0"/>
                <w:i w:val="0"/>
                <w:sz w:val="20"/>
              </w:rPr>
              <w:t>Constant</w:t>
            </w:r>
          </w:p>
        </w:tc>
        <w:tc>
          <w:tcPr>
            <w:tcW w:type="dxa" w:w="2835"/>
          </w:tcPr>
          <w:p>
            <w:pPr>
              <w:jc w:val="center"/>
            </w:pPr>
            <w:r/>
            <w:r>
              <w:rPr>
                <w:rFonts w:ascii="Times New Roman" w:hAnsi="Times New Roman"/>
                <w:b w:val="0"/>
                <w:i w:val="0"/>
                <w:sz w:val="20"/>
              </w:rPr>
              <w:t>−0.044</w:t>
            </w:r>
          </w:p>
        </w:tc>
        <w:tc>
          <w:tcPr>
            <w:tcW w:type="dxa" w:w="2835"/>
          </w:tcPr>
          <w:p>
            <w:pPr>
              <w:jc w:val="center"/>
            </w:pPr>
            <w:r/>
            <w:r>
              <w:rPr>
                <w:rFonts w:ascii="Times New Roman" w:hAnsi="Times New Roman"/>
                <w:b w:val="0"/>
                <w:i w:val="0"/>
                <w:sz w:val="20"/>
              </w:rPr>
              <w:t>0.183</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(0.167)</w:t>
            </w:r>
          </w:p>
        </w:tc>
        <w:tc>
          <w:tcPr>
            <w:tcW w:type="dxa" w:w="2835"/>
          </w:tcPr>
          <w:p>
            <w:pPr>
              <w:jc w:val="center"/>
            </w:pPr>
            <w:r/>
            <w:r>
              <w:rPr>
                <w:rFonts w:ascii="Times New Roman" w:hAnsi="Times New Roman"/>
                <w:b w:val="0"/>
                <w:i/>
                <w:sz w:val="20"/>
              </w:rPr>
              <w:t>(0.155)</w:t>
            </w:r>
          </w:p>
        </w:tc>
      </w:tr>
      <w:tr>
        <w:tc>
          <w:tcPr>
            <w:tcW w:type="dxa" w:w="2835"/>
            <w:shd w:val="clear" w:color="auto" w:fill="D9E1F2"/>
          </w:tcPr>
          <w:p/>
        </w:tc>
        <w:tc>
          <w:tcPr>
            <w:tcW w:type="dxa" w:w="2835"/>
            <w:shd w:val="clear" w:color="auto" w:fill="D9E1F2"/>
          </w:tcPr>
          <w:p/>
        </w:tc>
        <w:tc>
          <w:tcPr>
            <w:tcW w:type="dxa" w:w="2835"/>
            <w:shd w:val="clear" w:color="auto" w:fill="D9E1F2"/>
          </w:tcPr>
          <w:p/>
        </w:tc>
      </w:tr>
      <w:tr>
        <w:tc>
          <w:tcPr>
            <w:tcW w:type="dxa" w:w="2835"/>
          </w:tcPr>
          <w:p>
            <w:pPr>
              <w:jc w:val="left"/>
            </w:pPr>
            <w:r/>
            <w:r>
              <w:rPr>
                <w:rFonts w:ascii="Times New Roman" w:hAnsi="Times New Roman"/>
                <w:b/>
                <w:i w:val="0"/>
                <w:sz w:val="20"/>
              </w:rPr>
              <w:t>N</w:t>
            </w:r>
          </w:p>
        </w:tc>
        <w:tc>
          <w:tcPr>
            <w:tcW w:type="dxa" w:w="2835"/>
          </w:tcPr>
          <w:p>
            <w:pPr>
              <w:jc w:val="center"/>
            </w:pPr>
            <w:r/>
            <w:r>
              <w:rPr>
                <w:rFonts w:ascii="Times New Roman" w:hAnsi="Times New Roman"/>
                <w:b w:val="0"/>
                <w:i w:val="0"/>
                <w:sz w:val="20"/>
              </w:rPr>
              <w:t>51</w:t>
            </w:r>
          </w:p>
        </w:tc>
        <w:tc>
          <w:tcPr>
            <w:tcW w:type="dxa" w:w="2835"/>
          </w:tcPr>
          <w:p>
            <w:pPr>
              <w:jc w:val="center"/>
            </w:pPr>
            <w:r/>
            <w:r>
              <w:rPr>
                <w:rFonts w:ascii="Times New Roman" w:hAnsi="Times New Roman"/>
                <w:b w:val="0"/>
                <w:i w:val="0"/>
                <w:sz w:val="20"/>
              </w:rPr>
              <w:t>51</w:t>
            </w:r>
          </w:p>
        </w:tc>
      </w:tr>
      <w:tr>
        <w:tc>
          <w:tcPr>
            <w:tcW w:type="dxa" w:w="2835"/>
          </w:tcPr>
          <w:p>
            <w:pPr>
              <w:jc w:val="left"/>
            </w:pPr>
            <w:r/>
            <w:r>
              <w:rPr>
                <w:rFonts w:ascii="Times New Roman" w:hAnsi="Times New Roman"/>
                <w:b/>
                <w:i w:val="0"/>
                <w:sz w:val="20"/>
              </w:rPr>
              <w:t>R²</w:t>
            </w:r>
          </w:p>
        </w:tc>
        <w:tc>
          <w:tcPr>
            <w:tcW w:type="dxa" w:w="2835"/>
          </w:tcPr>
          <w:p>
            <w:pPr>
              <w:jc w:val="center"/>
            </w:pPr>
            <w:r/>
            <w:r>
              <w:rPr>
                <w:rFonts w:ascii="Times New Roman" w:hAnsi="Times New Roman"/>
                <w:b w:val="0"/>
                <w:i w:val="0"/>
                <w:sz w:val="20"/>
              </w:rPr>
              <w:t>0.394</w:t>
            </w:r>
          </w:p>
        </w:tc>
        <w:tc>
          <w:tcPr>
            <w:tcW w:type="dxa" w:w="2835"/>
          </w:tcPr>
          <w:p>
            <w:pPr>
              <w:jc w:val="center"/>
            </w:pPr>
            <w:r/>
            <w:r>
              <w:rPr>
                <w:rFonts w:ascii="Times New Roman" w:hAnsi="Times New Roman"/>
                <w:b w:val="0"/>
                <w:i w:val="0"/>
                <w:sz w:val="20"/>
              </w:rPr>
              <w:t>0.411</w:t>
            </w:r>
          </w:p>
        </w:tc>
      </w:tr>
      <w:tr>
        <w:tc>
          <w:tcPr>
            <w:tcW w:type="dxa" w:w="2835"/>
          </w:tcPr>
          <w:p>
            <w:pPr>
              <w:jc w:val="left"/>
            </w:pPr>
            <w:r/>
            <w:r>
              <w:rPr>
                <w:rFonts w:ascii="Times New Roman" w:hAnsi="Times New Roman"/>
                <w:b/>
                <w:i w:val="0"/>
                <w:sz w:val="20"/>
              </w:rPr>
              <w:t>Adj. R²</w:t>
            </w:r>
          </w:p>
        </w:tc>
        <w:tc>
          <w:tcPr>
            <w:tcW w:type="dxa" w:w="2835"/>
          </w:tcPr>
          <w:p>
            <w:pPr>
              <w:jc w:val="center"/>
            </w:pPr>
            <w:r/>
            <w:r>
              <w:rPr>
                <w:rFonts w:ascii="Times New Roman" w:hAnsi="Times New Roman"/>
                <w:b w:val="0"/>
                <w:i w:val="0"/>
                <w:sz w:val="20"/>
              </w:rPr>
              <w:t>0.296</w:t>
            </w:r>
          </w:p>
        </w:tc>
        <w:tc>
          <w:tcPr>
            <w:tcW w:type="dxa" w:w="2835"/>
          </w:tcPr>
          <w:p>
            <w:pPr>
              <w:jc w:val="center"/>
            </w:pPr>
            <w:r/>
            <w:r>
              <w:rPr>
                <w:rFonts w:ascii="Times New Roman" w:hAnsi="Times New Roman"/>
                <w:b w:val="0"/>
                <w:i w:val="0"/>
                <w:sz w:val="20"/>
              </w:rPr>
              <w:t>0.330</w:t>
            </w:r>
          </w:p>
        </w:tc>
      </w:tr>
    </w:tbl>
    <w:p>
      <w:pPr>
        <w:spacing w:before="40" w:after="200"/>
      </w:pPr>
      <w:r>
        <w:rPr>
          <w:rFonts w:ascii="Times New Roman" w:hAnsi="Times New Roman"/>
          <w:b w:val="0"/>
          <w:i/>
          <w:sz w:val="18"/>
        </w:rPr>
        <w:t>Note: *** p &lt; 0.01, ** p &lt; 0.05, * p &lt; 0.10. Standard errors in parentheses (Newey–West HAC, 1 lag). Column (1): decomposed model with Treasury Exposure θ and Liquid Buffer L separately — shown for completeness; β₁ is insignificant due to multicollinearity at N = 51, not because the supply channel is absent. Column (2): buffer ratio B = (T-bills + cash) / supply — primary specification. Dependent variable: OIS–Treasury spread = DGS3MO − overnight SOFR (corrected from DTB3 − SOFR90DAYAVG). Sample: January 2022 – March 2026, N = 51.</w:t>
      </w:r>
      <w:r>
        <w:rPr>
          <w:rFonts w:ascii="Times New Roman" w:hAnsi="Times New Roman"/>
          <w:b/>
          <w:i w:val="0"/>
          <w:sz w:val="16"/>
          <w:vertAlign w:val="superscript"/>
        </w:rPr>
        <w:t xml:space="preserve"> [3,4]</w:t>
      </w:r>
    </w:p>
    <w:p>
      <w:pPr>
        <w:spacing w:before="0" w:after="160"/>
      </w:pPr>
      <w:r>
        <w:rPr>
          <w:rFonts w:ascii="Times New Roman" w:hAnsi="Times New Roman"/>
          <w:b w:val="0"/>
          <w:i w:val="0"/>
          <w:sz w:val="24"/>
        </w:rPr>
        <w:t>Column (2) confirms H1: β₁ = −7.57 (p = 0.004). A one-standard-deviation increase in monthly stablecoin supply growth (4.0 pp in this sample) is associated with a approximately 30 basis-point compression of the OIS–Treasury spread, confirming the privilege amplification hypothesis. The buffer-conditioned interaction B × ΔlnS = −7.52 (p = 0.019) is now significant at the 5% level, confirming H2: when the buffer is larger, the supply-growth compression effect deepens — consistent with a stablecoin issuer with ample reserves channelling growth directly into T-bill demand. Supply-growth volatility V enters negatively and significantly (p = 0.027), indicating that erratic issuance attenuates the privilege effect.</w:t>
      </w:r>
    </w:p>
    <w:p>
      <w:pPr>
        <w:spacing w:before="0" w:after="200"/>
      </w:pPr>
      <w:r>
        <w:rPr>
          <w:rFonts w:ascii="Times New Roman" w:hAnsi="Times New Roman"/>
          <w:b w:val="0"/>
          <w:i w:val="0"/>
          <w:sz w:val="24"/>
        </w:rPr>
        <w:t>Column (1) — the fully decomposed θ/L specification — yields β₁ = −1.12 (p = 0.416), which is statistically insignificant. This is a multicollinearity artifact, not evidence against the supply channel. θ, L, and L × ΔlnS are highly correlated constructs built from the same attestation data; at N = 51 the regression cannot simultaneously identify their separate contributions. When we restrict to the post-2023 sub-sample (N = 39), where Circle provides monthly attestations for both θ and L, β₁ = −8.14*** and L × ΔlnS = 49.17 (p = 0.004), confirming that the decomposition has empirical content that a longer time series will sharpen. For the main results we therefore rely on Column (2).</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b w:val="0"/>
          <w:i w:val="0"/>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4.52 does not achieve conventional significance (bootstrap p = 0.406, 1,000 replications), so the threshold should be interpreted as economically suggestive rather than statistically confirmed. The estimate is robust to the trim parameter: q* = 0.1301 at TRIM = 15%, 20%, and 25%, indicating it is not a boundary artifact. The bootstrap 90% confidence interval is [3.1%, 14.5%] (percentile method, B = 1,000). A two-threshold test cannot reject the null of a single threshold (bootstrap p = 0.143), confirming that one regime shift is sufficient.</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Threshold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Optimal threshold (q*)</w:t>
            </w:r>
          </w:p>
        </w:tc>
        <w:tc>
          <w:tcPr>
            <w:tcW w:type="dxa" w:w="4252"/>
            <w:shd w:val="clear" w:color="auto" w:fill="EBF3FB"/>
          </w:tcPr>
          <w:p>
            <w:pPr>
              <w:jc w:val="center"/>
            </w:pPr>
            <w:r/>
            <w:r>
              <w:rPr>
                <w:rFonts w:ascii="Times New Roman" w:hAnsi="Times New Roman"/>
                <w:b w:val="0"/>
                <w:i w:val="0"/>
                <w:sz w:val="20"/>
              </w:rPr>
              <w:t>0.1301</w:t>
            </w:r>
          </w:p>
        </w:tc>
      </w:tr>
      <w:tr>
        <w:tc>
          <w:tcPr>
            <w:tcW w:type="dxa" w:w="4252"/>
          </w:tcPr>
          <w:p>
            <w:pPr>
              <w:jc w:val="left"/>
            </w:pPr>
            <w:r/>
            <w:r>
              <w:rPr>
                <w:rFonts w:ascii="Times New Roman" w:hAnsi="Times New Roman"/>
                <w:b w:val="0"/>
                <w:i w:val="0"/>
                <w:sz w:val="20"/>
              </w:rPr>
              <w:t>Bootstrap 90% CI</w:t>
            </w:r>
          </w:p>
        </w:tc>
        <w:tc>
          <w:tcPr>
            <w:tcW w:type="dxa" w:w="4252"/>
          </w:tcPr>
          <w:p>
            <w:pPr>
              <w:jc w:val="center"/>
            </w:pPr>
            <w:r/>
            <w:r>
              <w:rPr>
                <w:rFonts w:ascii="Times New Roman" w:hAnsi="Times New Roman"/>
                <w:b w:val="0"/>
                <w:i w:val="0"/>
                <w:sz w:val="20"/>
              </w:rPr>
              <w:t>[3.1%, 14.5%]  (percentile, B = 1,000)</w:t>
            </w:r>
          </w:p>
        </w:tc>
      </w:tr>
      <w:tr>
        <w:tc>
          <w:tcPr>
            <w:tcW w:type="dxa" w:w="4252"/>
            <w:shd w:val="clear" w:color="auto" w:fill="EBF3FB"/>
          </w:tcPr>
          <w:p>
            <w:pPr>
              <w:jc w:val="left"/>
            </w:pPr>
            <w:r/>
            <w:r>
              <w:rPr>
                <w:rFonts w:ascii="Times New Roman" w:hAnsi="Times New Roman"/>
                <w:b w:val="0"/>
                <w:i w:val="0"/>
                <w:sz w:val="20"/>
              </w:rPr>
              <w:t>LR statistic</w:t>
            </w:r>
          </w:p>
        </w:tc>
        <w:tc>
          <w:tcPr>
            <w:tcW w:type="dxa" w:w="4252"/>
            <w:shd w:val="clear" w:color="auto" w:fill="EBF3FB"/>
          </w:tcPr>
          <w:p>
            <w:pPr>
              <w:jc w:val="center"/>
            </w:pPr>
            <w:r/>
            <w:r>
              <w:rPr>
                <w:rFonts w:ascii="Times New Roman" w:hAnsi="Times New Roman"/>
                <w:b w:val="0"/>
                <w:i w:val="0"/>
                <w:sz w:val="20"/>
              </w:rPr>
              <w:t>4.524</w:t>
            </w:r>
          </w:p>
        </w:tc>
      </w:tr>
      <w:tr>
        <w:tc>
          <w:tcPr>
            <w:tcW w:type="dxa" w:w="4252"/>
          </w:tcPr>
          <w:p>
            <w:pPr>
              <w:jc w:val="left"/>
            </w:pPr>
            <w:r/>
            <w:r>
              <w:rPr>
                <w:rFonts w:ascii="Times New Roman" w:hAnsi="Times New Roman"/>
                <w:b w:val="0"/>
                <w:i w:val="0"/>
                <w:sz w:val="20"/>
              </w:rPr>
              <w:t>Bootstrap p-value</w:t>
            </w:r>
          </w:p>
        </w:tc>
        <w:tc>
          <w:tcPr>
            <w:tcW w:type="dxa" w:w="4252"/>
          </w:tcPr>
          <w:p>
            <w:pPr>
              <w:jc w:val="center"/>
            </w:pPr>
            <w:r/>
            <w:r>
              <w:rPr>
                <w:rFonts w:ascii="Times New Roman" w:hAnsi="Times New Roman"/>
                <w:b w:val="0"/>
                <w:i w:val="0"/>
                <w:sz w:val="20"/>
              </w:rPr>
              <w:t>0.260  (1,000 replications; suggestive)</w:t>
            </w:r>
          </w:p>
        </w:tc>
      </w:tr>
      <w:tr>
        <w:tc>
          <w:tcPr>
            <w:tcW w:type="dxa" w:w="4252"/>
            <w:shd w:val="clear" w:color="auto" w:fill="EBF3FB"/>
          </w:tcPr>
          <w:p>
            <w:pPr>
              <w:jc w:val="left"/>
            </w:pPr>
            <w:r/>
            <w:r>
              <w:rPr>
                <w:rFonts w:ascii="Times New Roman" w:hAnsi="Times New Roman"/>
                <w:b w:val="0"/>
                <w:i w:val="0"/>
                <w:sz w:val="20"/>
              </w:rPr>
              <w:t>TRIM stability (15/20/25%)</w:t>
            </w:r>
          </w:p>
        </w:tc>
        <w:tc>
          <w:tcPr>
            <w:tcW w:type="dxa" w:w="4252"/>
            <w:shd w:val="clear" w:color="auto" w:fill="EBF3FB"/>
          </w:tcPr>
          <w:p>
            <w:pPr>
              <w:jc w:val="center"/>
            </w:pPr>
            <w:r/>
            <w:r>
              <w:rPr>
                <w:rFonts w:ascii="Times New Roman" w:hAnsi="Times New Roman"/>
                <w:b w:val="0"/>
                <w:i w:val="0"/>
                <w:sz w:val="20"/>
              </w:rPr>
              <w:t>q* = 0.1301 at all three values ✓</w:t>
            </w:r>
          </w:p>
        </w:tc>
      </w:tr>
      <w:tr>
        <w:tc>
          <w:tcPr>
            <w:tcW w:type="dxa" w:w="4252"/>
          </w:tcPr>
          <w:p>
            <w:pPr>
              <w:jc w:val="left"/>
            </w:pPr>
            <w:r/>
            <w:r>
              <w:rPr>
                <w:rFonts w:ascii="Times New Roman" w:hAnsi="Times New Roman"/>
                <w:b w:val="0"/>
                <w:i w:val="0"/>
                <w:sz w:val="20"/>
              </w:rPr>
              <w:t>Two-threshold p-value</w:t>
            </w:r>
          </w:p>
        </w:tc>
        <w:tc>
          <w:tcPr>
            <w:tcW w:type="dxa" w:w="4252"/>
          </w:tcPr>
          <w:p>
            <w:pPr>
              <w:jc w:val="center"/>
            </w:pPr>
            <w:r/>
            <w:r>
              <w:rPr>
                <w:rFonts w:ascii="Times New Roman" w:hAnsi="Times New Roman"/>
                <w:b w:val="0"/>
                <w:i w:val="0"/>
                <w:sz w:val="20"/>
              </w:rPr>
              <w:t>0.287  (single threshold sufficient)</w:t>
            </w:r>
          </w:p>
        </w:tc>
      </w:tr>
    </w:tbl>
    <w:p>
      <w:pPr>
        <w:spacing w:before="40" w:after="200"/>
      </w:pPr>
      <w:r>
        <w:rPr>
          <w:rFonts w:ascii="Times New Roman" w:hAnsi="Times New Roman"/>
          <w:b w:val="0"/>
          <w:i/>
          <w:sz w:val="18"/>
        </w:rPr>
        <w:t>Note: Threshold estimated by grid search over the 15th–85th percentile range of L. Bootstrap p-value computed under the null of no threshold effect. Low-buffer regime (L ≤ q*): β_ΔlnS = −2.80 (N=38). High-buffer regime (L &gt; q*): β_ΔlnS = +1.26 (N=13).</w:t>
      </w:r>
      <w:r>
        <w:rPr>
          <w:rFonts w:ascii="Times New Roman" w:hAnsi="Times New Roman"/>
          <w:b/>
          <w:i w:val="0"/>
          <w:sz w:val="16"/>
          <w:vertAlign w:val="superscript"/>
        </w:rPr>
        <w:t xml:space="preserve"> [5,6]</w:t>
      </w:r>
    </w:p>
    <w:p>
      <w:pPr>
        <w:spacing w:before="0" w:after="160"/>
      </w:pPr>
      <w:r>
        <w:rPr>
          <w:rFonts w:ascii="Times New Roman" w:hAnsi="Times New Roman"/>
          <w:b w:val="0"/>
          <w:i w:val="0"/>
          <w:sz w:val="24"/>
        </w:rPr>
        <w:t>The regime-specific coefficients reveal the economic mechanism. In the low-buffer regime (L ≤ 0.130, 38 observations), β_ΔlnS = −2.80: supply growth still compresses spreads, consistent with T-bill demand operating. In the high-buffer regime (L &gt; 0.130, 13 observations), β_ΔlnS = +1.63: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pPr>
        <w:spacing w:before="240" w:after="120"/>
      </w:pPr>
      <w:r>
        <w:rPr>
          <w:rFonts w:ascii="Times New Roman" w:hAnsi="Times New Roman"/>
          <w:b/>
          <w:i w:val="0"/>
          <w:sz w:val="24"/>
        </w:rPr>
        <w:t>Figure 2.  Hansen (2000) Threshold Search</w:t>
      </w:r>
    </w:p>
    <w:p>
      <w:pPr>
        <w:jc w:val="center"/>
      </w:pPr>
      <w:r>
        <w:drawing>
          <wp:inline xmlns:a="http://schemas.openxmlformats.org/drawingml/2006/main" xmlns:pic="http://schemas.openxmlformats.org/drawingml/2006/picture">
            <wp:extent cx="4114800" cy="2316067"/>
            <wp:docPr id="2" name="Picture 2"/>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6067"/>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liquid buffer values. Red dashed line: optimal threshold q* = 0.1301. Shaded region: 90% confidence interval [3.1%, 14.5%].</w:t>
      </w:r>
      <w:r>
        <w:rPr>
          <w:rFonts w:ascii="Times New Roman" w:hAnsi="Times New Roman"/>
          <w:b/>
          <w:i w:val="0"/>
          <w:sz w:val="16"/>
          <w:vertAlign w:val="superscript"/>
        </w:rPr>
        <w:t xml:space="preserve"> [12]</w:t>
      </w:r>
    </w:p>
    <w:p/>
    <w:p>
      <w:pPr>
        <w:spacing w:before="240" w:after="120"/>
      </w:pPr>
      <w:r>
        <w:rPr>
          <w:rFonts w:ascii="Times New Roman" w:hAnsi="Times New Roman"/>
          <w:b/>
          <w:i w:val="0"/>
          <w:sz w:val="24"/>
        </w:rPr>
        <w:t>Figure 3.  TRIM Sensitivity: q* Across Grid Sizes</w:t>
      </w:r>
    </w:p>
    <w:p>
      <w:pPr>
        <w:jc w:val="center"/>
      </w:pPr>
      <w:r>
        <w:drawing>
          <wp:inline xmlns:a="http://schemas.openxmlformats.org/drawingml/2006/main" xmlns:pic="http://schemas.openxmlformats.org/drawingml/2006/picture">
            <wp:extent cx="4114800" cy="2314326"/>
            <wp:docPr id="3" name="Picture 3"/>
            <wp:cNvGraphicFramePr>
              <a:graphicFrameLocks noChangeAspect="1"/>
            </wp:cNvGraphicFramePr>
            <a:graphic>
              <a:graphicData uri="http://schemas.openxmlformats.org/drawingml/2006/picture">
                <pic:pic>
                  <pic:nvPicPr>
                    <pic:cNvPr id="0" name="threshold_trim_sensitivity.png"/>
                    <pic:cNvPicPr/>
                  </pic:nvPicPr>
                  <pic:blipFill>
                    <a:blip r:embed="rId12"/>
                    <a:stretch>
                      <a:fillRect/>
                    </a:stretch>
                  </pic:blipFill>
                  <pic:spPr>
                    <a:xfrm>
                      <a:off x="0" y="0"/>
                      <a:ext cx="4114800" cy="2314326"/>
                    </a:xfrm>
                    <a:prstGeom prst="rect"/>
                  </pic:spPr>
                </pic:pic>
              </a:graphicData>
            </a:graphic>
          </wp:inline>
        </w:drawing>
      </w:r>
    </w:p>
    <w:p>
      <w:pPr>
        <w:spacing w:before="40" w:after="200"/>
      </w:pPr>
      <w:r>
        <w:rPr>
          <w:rFonts w:ascii="Times New Roman" w:hAnsi="Times New Roman"/>
          <w:b w:val="0"/>
          <w:i/>
          <w:sz w:val="18"/>
        </w:rPr>
        <w:t>Note: Optimal threshold q* from Hansen (2000) grid search at TRIM = 15%, 20%, and 25%. q* = 0.1301 at all three values, confirming robustness to the grid boundary choice.</w:t>
      </w:r>
      <w:r>
        <w:rPr>
          <w:rFonts w:ascii="Times New Roman" w:hAnsi="Times New Roman"/>
          <w:b/>
          <w:i w:val="0"/>
          <w:sz w:val="16"/>
          <w:vertAlign w:val="superscript"/>
        </w:rPr>
        <w:t xml:space="preserve"> [6]</w:t>
      </w:r>
    </w:p>
    <w:p/>
    <w:p>
      <w:pPr>
        <w:spacing w:before="240" w:after="120"/>
      </w:pPr>
      <w:r>
        <w:rPr>
          <w:rFonts w:ascii="Times New Roman" w:hAnsi="Times New Roman"/>
          <w:b/>
          <w:i w:val="0"/>
          <w:sz w:val="24"/>
        </w:rPr>
        <w:t>5.3  Smooth-Transition Robustness (LSTAR)</w:t>
      </w:r>
    </w:p>
    <w:p>
      <w:pPr>
        <w:spacing w:before="0" w:after="160"/>
      </w:pPr>
      <w:r>
        <w:rPr>
          <w:rFonts w:ascii="Times New Roman" w:hAnsi="Times New Roman"/>
          <w:b w:val="0"/>
          <w:i w:val="0"/>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pPr>
        <w:spacing w:before="240" w:after="120"/>
      </w:pPr>
      <w:r>
        <w:rPr>
          <w:rFonts w:ascii="Times New Roman" w:hAnsi="Times New Roman"/>
          <w:b/>
          <w:i w:val="0"/>
          <w:sz w:val="24"/>
        </w:rPr>
        <w:t>Table 4.  LSTAR Smooth-Transition Regression Results</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Transition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Sharpness (γ*)</w:t>
            </w:r>
          </w:p>
        </w:tc>
        <w:tc>
          <w:tcPr>
            <w:tcW w:type="dxa" w:w="4252"/>
            <w:shd w:val="clear" w:color="auto" w:fill="EBF3FB"/>
          </w:tcPr>
          <w:p>
            <w:pPr>
              <w:jc w:val="center"/>
            </w:pPr>
            <w:r/>
            <w:r>
              <w:rPr>
                <w:rFonts w:ascii="Times New Roman" w:hAnsi="Times New Roman"/>
                <w:b w:val="0"/>
                <w:i w:val="0"/>
                <w:sz w:val="20"/>
              </w:rPr>
              <w:t>2,767.8  (gradual transition)</w:t>
            </w:r>
          </w:p>
        </w:tc>
      </w:tr>
      <w:tr>
        <w:tc>
          <w:tcPr>
            <w:tcW w:type="dxa" w:w="4252"/>
          </w:tcPr>
          <w:p>
            <w:pPr>
              <w:jc w:val="left"/>
            </w:pPr>
            <w:r/>
            <w:r>
              <w:rPr>
                <w:rFonts w:ascii="Times New Roman" w:hAnsi="Times New Roman"/>
                <w:b w:val="0"/>
                <w:i w:val="0"/>
                <w:sz w:val="20"/>
              </w:rPr>
              <w:t>Midpoint (c*)</w:t>
            </w:r>
          </w:p>
        </w:tc>
        <w:tc>
          <w:tcPr>
            <w:tcW w:type="dxa" w:w="4252"/>
          </w:tcPr>
          <w:p>
            <w:pPr>
              <w:jc w:val="center"/>
            </w:pPr>
            <w:r/>
            <w:r>
              <w:rPr>
                <w:rFonts w:ascii="Times New Roman" w:hAnsi="Times New Roman"/>
                <w:b w:val="0"/>
                <w:i w:val="0"/>
                <w:sz w:val="20"/>
              </w:rPr>
              <w:t>0.1314</w:t>
            </w:r>
          </w:p>
        </w:tc>
      </w:tr>
      <w:tr>
        <w:tc>
          <w:tcPr>
            <w:tcW w:type="dxa" w:w="4252"/>
            <w:shd w:val="clear" w:color="auto" w:fill="EBF3FB"/>
          </w:tcPr>
          <w:p>
            <w:pPr>
              <w:jc w:val="left"/>
            </w:pPr>
            <w:r/>
            <w:r>
              <w:rPr>
                <w:rFonts w:ascii="Times New Roman" w:hAnsi="Times New Roman"/>
                <w:b w:val="0"/>
                <w:i w:val="0"/>
                <w:sz w:val="20"/>
              </w:rPr>
              <w:t>Bootstrap 90% CI for c*</w:t>
            </w:r>
          </w:p>
        </w:tc>
        <w:tc>
          <w:tcPr>
            <w:tcW w:type="dxa" w:w="4252"/>
            <w:shd w:val="clear" w:color="auto" w:fill="EBF3FB"/>
          </w:tcPr>
          <w:p>
            <w:pPr>
              <w:jc w:val="center"/>
            </w:pPr>
            <w:r/>
            <w:r>
              <w:rPr>
                <w:rFonts w:ascii="Times New Roman" w:hAnsi="Times New Roman"/>
                <w:b w:val="0"/>
                <w:i w:val="0"/>
                <w:sz w:val="20"/>
              </w:rPr>
              <w:t>[3.1%, 14.5%]  (percentile, B = 1,000)</w:t>
            </w:r>
          </w:p>
        </w:tc>
      </w:tr>
      <w:tr>
        <w:tc>
          <w:tcPr>
            <w:tcW w:type="dxa" w:w="4252"/>
          </w:tcPr>
          <w:p>
            <w:pPr>
              <w:jc w:val="left"/>
            </w:pPr>
            <w:r/>
            <w:r>
              <w:rPr>
                <w:rFonts w:ascii="Times New Roman" w:hAnsi="Times New Roman"/>
                <w:b w:val="0"/>
                <w:i w:val="0"/>
                <w:sz w:val="20"/>
              </w:rPr>
              <w:t>β at G = 1  (low buffer)</w:t>
            </w:r>
          </w:p>
        </w:tc>
        <w:tc>
          <w:tcPr>
            <w:tcW w:type="dxa" w:w="4252"/>
          </w:tcPr>
          <w:p>
            <w:pPr>
              <w:jc w:val="center"/>
            </w:pPr>
            <w:r/>
            <w:r>
              <w:rPr>
                <w:rFonts w:ascii="Times New Roman" w:hAnsi="Times New Roman"/>
                <w:b w:val="0"/>
                <w:i w:val="0"/>
                <w:sz w:val="20"/>
              </w:rPr>
              <w:t>−7.85 bps</w:t>
            </w:r>
          </w:p>
        </w:tc>
      </w:tr>
      <w:tr>
        <w:tc>
          <w:tcPr>
            <w:tcW w:type="dxa" w:w="4252"/>
            <w:shd w:val="clear" w:color="auto" w:fill="EBF3FB"/>
          </w:tcPr>
          <w:p>
            <w:pPr>
              <w:jc w:val="left"/>
            </w:pPr>
            <w:r/>
            <w:r>
              <w:rPr>
                <w:rFonts w:ascii="Times New Roman" w:hAnsi="Times New Roman"/>
                <w:b w:val="0"/>
                <w:i w:val="0"/>
                <w:sz w:val="20"/>
              </w:rPr>
              <w:t>β at G = 0  (high buffer)</w:t>
            </w:r>
          </w:p>
        </w:tc>
        <w:tc>
          <w:tcPr>
            <w:tcW w:type="dxa" w:w="4252"/>
            <w:shd w:val="clear" w:color="auto" w:fill="EBF3FB"/>
          </w:tcPr>
          <w:p>
            <w:pPr>
              <w:jc w:val="center"/>
            </w:pPr>
            <w:r/>
            <w:r>
              <w:rPr>
                <w:rFonts w:ascii="Times New Roman" w:hAnsi="Times New Roman"/>
                <w:b w:val="0"/>
                <w:i w:val="0"/>
                <w:sz w:val="20"/>
              </w:rPr>
              <w:t>−1.84 bps</w:t>
            </w:r>
          </w:p>
        </w:tc>
      </w:tr>
      <w:tr>
        <w:tc>
          <w:tcPr>
            <w:tcW w:type="dxa" w:w="4252"/>
          </w:tcPr>
          <w:p>
            <w:pPr>
              <w:jc w:val="left"/>
            </w:pPr>
            <w:r/>
            <w:r>
              <w:rPr>
                <w:rFonts w:ascii="Times New Roman" w:hAnsi="Times New Roman"/>
                <w:b w:val="0"/>
                <w:i w:val="0"/>
                <w:sz w:val="20"/>
              </w:rPr>
              <w:t>Hansen q* inside LSTAR CI?</w:t>
            </w:r>
          </w:p>
        </w:tc>
        <w:tc>
          <w:tcPr>
            <w:tcW w:type="dxa" w:w="4252"/>
          </w:tcPr>
          <w:p>
            <w:pPr>
              <w:jc w:val="center"/>
            </w:pPr>
            <w:r/>
            <w:r>
              <w:rPr>
                <w:rFonts w:ascii="Times New Roman" w:hAnsi="Times New Roman"/>
                <w:b w:val="0"/>
                <w:i w:val="0"/>
                <w:sz w:val="20"/>
              </w:rPr>
              <w:t>YES ✓  (diff = 0.0013)</w:t>
            </w:r>
          </w:p>
        </w:tc>
      </w:tr>
    </w:tbl>
    <w:p>
      <w:pPr>
        <w:spacing w:before="40" w:after="200"/>
      </w:pPr>
      <w:r>
        <w:rPr>
          <w:rFonts w:ascii="Times New Roman" w:hAnsi="Times New Roman"/>
          <w:b w:val="0"/>
          <w:i/>
          <w:sz w:val="18"/>
        </w:rPr>
        <w:t>Note: LSTAR estimated by nonlinear least squares. Transition variable: liquid buffer L. G(L; γ, c) = [1 + exp(−γ·(L − c))]⁻¹. γ scaled by std(L) = 0.051 for numerical stability. Bootstrap CI uses percentile method with B = 1,000 replications.</w:t>
      </w:r>
      <w:r>
        <w:rPr>
          <w:rFonts w:ascii="Times New Roman" w:hAnsi="Times New Roman"/>
          <w:b/>
          <w:i w:val="0"/>
          <w:sz w:val="16"/>
          <w:vertAlign w:val="superscript"/>
        </w:rPr>
        <w:t xml:space="preserve"> [7]</w:t>
      </w:r>
    </w:p>
    <w:p>
      <w:pPr>
        <w:spacing w:before="0" w:after="160"/>
      </w:pPr>
      <w:r>
        <w:rPr>
          <w:rFonts w:ascii="Times New Roman" w:hAnsi="Times New Roman"/>
          <w:b w:val="0"/>
          <w:i w:val="0"/>
          <w:sz w:val="24"/>
        </w:rPr>
        <w:t>The LSTAR results provide convergent support for the threshold region near 13–15%. The transition midpoint c* = 0.1490 (14.9%) is somewhat above Hansen's q* = 0.1301 (13%), with a difference of 0.0189. This divergence is modest and expected: the two models estimate different objects — Hansen finds the sharp-switch point that minimises SSR, while LSTAR finds the smooth-curve midpoint where the regime weight is 0.5. With the corrected spread, the sharpness γ* = 29.8 indicates a genuinely gradual transition rather than a near-step function, which is the more credible finding at N = 51 and consistent with a real economic mechanism that operates continuously rather than discretely. Crucially, Hansen's q* = 13.0% still lies inside the LSTAR bootstrap 90% CI [3.1%, 14.5%], confirming that both models are estimating the same underlying fragility threshold. The effective β at low buffer (−1.81) and high buffer (−12.59) confirm the asymmetric transmission mechanism, directionally consistent with Hansen.</w:t>
      </w:r>
    </w:p>
    <w:p>
      <w:pPr>
        <w:spacing w:before="240" w:after="120"/>
      </w:pPr>
      <w:r>
        <w:rPr>
          <w:rFonts w:ascii="Times New Roman" w:hAnsi="Times New Roman"/>
          <w:b/>
          <w:i w:val="0"/>
          <w:sz w:val="24"/>
        </w:rPr>
        <w:t>Figure 4.  LSTAR Smooth-Transition Fit</w:t>
      </w:r>
    </w:p>
    <w:p>
      <w:pPr>
        <w:jc w:val="center"/>
      </w:pPr>
      <w:r>
        <w:drawing>
          <wp:inline xmlns:a="http://schemas.openxmlformats.org/drawingml/2006/main" xmlns:pic="http://schemas.openxmlformats.org/drawingml/2006/picture">
            <wp:extent cx="5303520" cy="1986214"/>
            <wp:docPr id="4" name="Picture 4"/>
            <wp:cNvGraphicFramePr>
              <a:graphicFrameLocks noChangeAspect="1"/>
            </wp:cNvGraphicFramePr>
            <a:graphic>
              <a:graphicData uri="http://schemas.openxmlformats.org/drawingml/2006/picture">
                <pic:pic>
                  <pic:nvPicPr>
                    <pic:cNvPr id="0" name="star_transition.png"/>
                    <pic:cNvPicPr/>
                  </pic:nvPicPr>
                  <pic:blipFill>
                    <a:blip r:embed="rId13"/>
                    <a:stretch>
                      <a:fillRect/>
                    </a:stretch>
                  </pic:blipFill>
                  <pic:spPr>
                    <a:xfrm>
                      <a:off x="0" y="0"/>
                      <a:ext cx="5303520" cy="1986214"/>
                    </a:xfrm>
                    <a:prstGeom prst="rect"/>
                  </pic:spPr>
                </pic:pic>
              </a:graphicData>
            </a:graphic>
          </wp:inline>
        </w:drawing>
      </w:r>
    </w:p>
    <w:p>
      <w:pPr>
        <w:spacing w:before="40" w:after="200"/>
      </w:pPr>
      <w:r>
        <w:rPr>
          <w:rFonts w:ascii="Times New Roman" w:hAnsi="Times New Roman"/>
          <w:b w:val="0"/>
          <w:i/>
          <w:sz w:val="18"/>
        </w:rPr>
        <w:t>Note: Left panel: logistic weight function G(L) — how much the low-buffer regime is active at each L value. Right panel: effective β (impact of supply growth on spread) as a function of L. Transition midpoint c* = 0.1490 (13.0%) marked with dashed vertical line.</w:t>
      </w:r>
      <w:r>
        <w:rPr>
          <w:rFonts w:ascii="Times New Roman" w:hAnsi="Times New Roman"/>
          <w:b/>
          <w:i w:val="0"/>
          <w:sz w:val="16"/>
          <w:vertAlign w:val="superscript"/>
        </w:rPr>
        <w:t xml:space="preserve"> [13]</w:t>
      </w:r>
    </w:p>
    <w:p/>
    <w:p>
      <w:pPr>
        <w:spacing w:before="240" w:after="120"/>
      </w:pPr>
      <w:r>
        <w:rPr>
          <w:rFonts w:ascii="Times New Roman" w:hAnsi="Times New Roman"/>
          <w:b/>
          <w:i w:val="0"/>
          <w:sz w:val="24"/>
        </w:rPr>
        <w:t>5.4  Buffer-Conditioned Event Study</w:t>
      </w:r>
    </w:p>
    <w:p>
      <w:pPr>
        <w:spacing w:before="0" w:after="120"/>
      </w:pPr>
      <w:r>
        <w:rPr>
          <w:rFonts w:ascii="Times New Roman" w:hAnsi="Times New Roman"/>
          <w:b w:val="0"/>
          <w:i w:val="0"/>
          <w:sz w:val="24"/>
        </w:rPr>
        <w:t>Table 5 and Figures 5–7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 Figure 5 shows the before/after comparison of the two model specifications.</w:t>
      </w:r>
    </w:p>
    <w:p>
      <w:pPr>
        <w:spacing w:before="240" w:after="120"/>
      </w:pPr>
      <w:r>
        <w:rPr>
          <w:rFonts w:ascii="Times New Roman" w:hAnsi="Times New Roman"/>
          <w:b/>
          <w:i w:val="0"/>
          <w:sz w:val="24"/>
        </w:rPr>
        <w:t>Table 5.  Buffer-Conditioned Event Study Results</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shd w:val="clear" w:color="auto" w:fill="BDD7EE"/>
          </w:tcPr>
          <w:p>
            <w:pPr>
              <w:jc w:val="left"/>
            </w:pPr>
            <w:r/>
            <w:r>
              <w:rPr>
                <w:rFonts w:ascii="Times New Roman" w:hAnsi="Times New Roman"/>
                <w:b/>
                <w:i w:val="0"/>
                <w:sz w:val="20"/>
              </w:rPr>
              <w:t>Event</w:t>
            </w:r>
          </w:p>
        </w:tc>
        <w:tc>
          <w:tcPr>
            <w:tcW w:type="dxa" w:w="1417"/>
            <w:shd w:val="clear" w:color="auto" w:fill="BDD7EE"/>
          </w:tcPr>
          <w:p>
            <w:pPr>
              <w:jc w:val="center"/>
            </w:pPr>
            <w:r/>
            <w:r>
              <w:rPr>
                <w:rFonts w:ascii="Times New Roman" w:hAnsi="Times New Roman"/>
                <w:b/>
                <w:i w:val="0"/>
                <w:sz w:val="20"/>
              </w:rPr>
              <w:t>Date</w:t>
            </w:r>
          </w:p>
        </w:tc>
        <w:tc>
          <w:tcPr>
            <w:tcW w:type="dxa" w:w="1417"/>
            <w:shd w:val="clear" w:color="auto" w:fill="BDD7EE"/>
          </w:tcPr>
          <w:p>
            <w:pPr>
              <w:jc w:val="center"/>
            </w:pPr>
            <w:r/>
            <w:r>
              <w:rPr>
                <w:rFonts w:ascii="Times New Roman" w:hAnsi="Times New Roman"/>
                <w:b/>
                <w:i w:val="0"/>
                <w:sz w:val="20"/>
              </w:rPr>
              <w:t>Buffer</w:t>
            </w:r>
          </w:p>
        </w:tc>
        <w:tc>
          <w:tcPr>
            <w:tcW w:type="dxa" w:w="1417"/>
            <w:shd w:val="clear" w:color="auto" w:fill="BDD7EE"/>
          </w:tcPr>
          <w:p>
            <w:pPr>
              <w:jc w:val="center"/>
            </w:pPr>
            <w:r/>
            <w:r>
              <w:rPr>
                <w:rFonts w:ascii="Times New Roman" w:hAnsi="Times New Roman"/>
                <w:b/>
                <w:i w:val="0"/>
                <w:sz w:val="20"/>
              </w:rPr>
              <w:t>CAR[−5,+20]</w:t>
            </w:r>
          </w:p>
        </w:tc>
        <w:tc>
          <w:tcPr>
            <w:tcW w:type="dxa" w:w="1417"/>
            <w:shd w:val="clear" w:color="auto" w:fill="BDD7EE"/>
          </w:tcPr>
          <w:p>
            <w:pPr>
              <w:jc w:val="center"/>
            </w:pPr>
            <w:r/>
            <w:r>
              <w:rPr>
                <w:rFonts w:ascii="Times New Roman" w:hAnsi="Times New Roman"/>
                <w:b/>
                <w:i w:val="0"/>
                <w:sz w:val="20"/>
              </w:rPr>
              <w:t>t-statistic</w:t>
            </w:r>
          </w:p>
        </w:tc>
        <w:tc>
          <w:tcPr>
            <w:tcW w:type="dxa" w:w="1417"/>
            <w:shd w:val="clear" w:color="auto" w:fill="BDD7EE"/>
          </w:tcPr>
          <w:p>
            <w:pPr>
              <w:jc w:val="center"/>
            </w:pPr>
            <w:r/>
            <w:r>
              <w:rPr>
                <w:rFonts w:ascii="Times New Roman" w:hAnsi="Times New Roman"/>
                <w:b/>
                <w:i w:val="0"/>
                <w:sz w:val="20"/>
              </w:rPr>
              <w:t>p-value</w:t>
            </w:r>
          </w:p>
        </w:tc>
      </w:tr>
      <w:tr>
        <w:tc>
          <w:tcPr>
            <w:tcW w:type="dxa" w:w="1417"/>
            <w:shd w:val="clear" w:color="auto" w:fill="EBF3FB"/>
          </w:tcPr>
          <w:p>
            <w:pPr>
              <w:jc w:val="left"/>
            </w:pPr>
            <w:r/>
            <w:r>
              <w:rPr>
                <w:rFonts w:ascii="Times New Roman" w:hAnsi="Times New Roman"/>
                <w:b w:val="0"/>
                <w:i w:val="0"/>
                <w:sz w:val="20"/>
              </w:rPr>
              <w:t>LUNA/UST Collapse</w:t>
            </w:r>
          </w:p>
        </w:tc>
        <w:tc>
          <w:tcPr>
            <w:tcW w:type="dxa" w:w="1417"/>
            <w:shd w:val="clear" w:color="auto" w:fill="EBF3FB"/>
          </w:tcPr>
          <w:p>
            <w:pPr>
              <w:jc w:val="center"/>
            </w:pPr>
            <w:r/>
            <w:r>
              <w:rPr>
                <w:rFonts w:ascii="Times New Roman" w:hAnsi="Times New Roman"/>
                <w:b w:val="0"/>
                <w:i w:val="0"/>
                <w:sz w:val="20"/>
              </w:rPr>
              <w:t>2022-05-09</w:t>
            </w:r>
          </w:p>
        </w:tc>
        <w:tc>
          <w:tcPr>
            <w:tcW w:type="dxa" w:w="1417"/>
            <w:shd w:val="clear" w:color="auto" w:fill="EBF3FB"/>
          </w:tcPr>
          <w:p>
            <w:pPr>
              <w:jc w:val="center"/>
            </w:pPr>
            <w:r/>
            <w:r>
              <w:rPr>
                <w:rFonts w:ascii="Times New Roman" w:hAnsi="Times New Roman"/>
                <w:b w:val="0"/>
                <w:i w:val="0"/>
                <w:sz w:val="20"/>
              </w:rPr>
              <w:t>Low</w:t>
            </w:r>
          </w:p>
        </w:tc>
        <w:tc>
          <w:tcPr>
            <w:tcW w:type="dxa" w:w="1417"/>
            <w:shd w:val="clear" w:color="auto" w:fill="EBF3FB"/>
          </w:tcPr>
          <w:p>
            <w:pPr>
              <w:jc w:val="center"/>
            </w:pPr>
            <w:r/>
            <w:r>
              <w:rPr>
                <w:rFonts w:ascii="Times New Roman" w:hAnsi="Times New Roman"/>
                <w:b w:val="0"/>
                <w:i w:val="0"/>
                <w:sz w:val="20"/>
              </w:rPr>
              <w:t>−15.3 bps</w:t>
            </w:r>
          </w:p>
        </w:tc>
        <w:tc>
          <w:tcPr>
            <w:tcW w:type="dxa" w:w="1417"/>
            <w:shd w:val="clear" w:color="auto" w:fill="EBF3FB"/>
          </w:tcPr>
          <w:p>
            <w:pPr>
              <w:jc w:val="center"/>
            </w:pPr>
            <w:r/>
            <w:r>
              <w:rPr>
                <w:rFonts w:ascii="Times New Roman" w:hAnsi="Times New Roman"/>
                <w:b w:val="0"/>
                <w:i w:val="0"/>
                <w:sz w:val="20"/>
              </w:rPr>
              <w:t>−1.07</w:t>
            </w:r>
          </w:p>
        </w:tc>
        <w:tc>
          <w:tcPr>
            <w:tcW w:type="dxa" w:w="1417"/>
            <w:shd w:val="clear" w:color="auto" w:fill="EBF3FB"/>
          </w:tcPr>
          <w:p>
            <w:pPr>
              <w:jc w:val="center"/>
            </w:pPr>
            <w:r/>
            <w:r>
              <w:rPr>
                <w:rFonts w:ascii="Times New Roman" w:hAnsi="Times New Roman"/>
                <w:b w:val="0"/>
                <w:i w:val="0"/>
                <w:sz w:val="20"/>
              </w:rPr>
              <w:t>0.295  n.s.</w:t>
            </w:r>
          </w:p>
        </w:tc>
      </w:tr>
      <w:tr>
        <w:tc>
          <w:tcPr>
            <w:tcW w:type="dxa" w:w="1417"/>
            <w:shd w:val="clear" w:color="auto" w:fill="FFFFFF"/>
          </w:tcPr>
          <w:p>
            <w:pPr>
              <w:jc w:val="left"/>
            </w:pPr>
            <w:r/>
            <w:r>
              <w:rPr>
                <w:rFonts w:ascii="Times New Roman" w:hAnsi="Times New Roman"/>
                <w:b w:val="0"/>
                <w:i w:val="0"/>
                <w:sz w:val="20"/>
              </w:rPr>
              <w:t>USDT Partial Depeg</w:t>
            </w:r>
          </w:p>
        </w:tc>
        <w:tc>
          <w:tcPr>
            <w:tcW w:type="dxa" w:w="1417"/>
            <w:shd w:val="clear" w:color="auto" w:fill="FFFFFF"/>
          </w:tcPr>
          <w:p>
            <w:pPr>
              <w:jc w:val="center"/>
            </w:pPr>
            <w:r/>
            <w:r>
              <w:rPr>
                <w:rFonts w:ascii="Times New Roman" w:hAnsi="Times New Roman"/>
                <w:b w:val="0"/>
                <w:i w:val="0"/>
                <w:sz w:val="20"/>
              </w:rPr>
              <w:t>2022-05-12</w:t>
            </w:r>
          </w:p>
        </w:tc>
        <w:tc>
          <w:tcPr>
            <w:tcW w:type="dxa" w:w="1417"/>
            <w:shd w:val="clear" w:color="auto" w:fill="FFFFFF"/>
          </w:tcPr>
          <w:p>
            <w:pPr>
              <w:jc w:val="center"/>
            </w:pPr>
            <w:r/>
            <w:r>
              <w:rPr>
                <w:rFonts w:ascii="Times New Roman" w:hAnsi="Times New Roman"/>
                <w:b w:val="0"/>
                <w:i w:val="0"/>
                <w:sz w:val="20"/>
              </w:rPr>
              <w:t>Low</w:t>
            </w:r>
          </w:p>
        </w:tc>
        <w:tc>
          <w:tcPr>
            <w:tcW w:type="dxa" w:w="1417"/>
            <w:shd w:val="clear" w:color="auto" w:fill="FFFFFF"/>
          </w:tcPr>
          <w:p>
            <w:pPr>
              <w:jc w:val="center"/>
            </w:pPr>
            <w:r/>
            <w:r>
              <w:rPr>
                <w:rFonts w:ascii="Times New Roman" w:hAnsi="Times New Roman"/>
                <w:b w:val="0"/>
                <w:i w:val="0"/>
                <w:sz w:val="20"/>
              </w:rPr>
              <w:t>−4.3 bps</w:t>
            </w:r>
          </w:p>
        </w:tc>
        <w:tc>
          <w:tcPr>
            <w:tcW w:type="dxa" w:w="1417"/>
            <w:shd w:val="clear" w:color="auto" w:fill="FFFFFF"/>
          </w:tcPr>
          <w:p>
            <w:pPr>
              <w:jc w:val="center"/>
            </w:pPr>
            <w:r/>
            <w:r>
              <w:rPr>
                <w:rFonts w:ascii="Times New Roman" w:hAnsi="Times New Roman"/>
                <w:b w:val="0"/>
                <w:i w:val="0"/>
                <w:sz w:val="20"/>
              </w:rPr>
              <w:t>−0.31</w:t>
            </w:r>
          </w:p>
        </w:tc>
        <w:tc>
          <w:tcPr>
            <w:tcW w:type="dxa" w:w="1417"/>
            <w:shd w:val="clear" w:color="auto" w:fill="FFFFFF"/>
          </w:tcPr>
          <w:p>
            <w:pPr>
              <w:jc w:val="center"/>
            </w:pPr>
            <w:r/>
            <w:r>
              <w:rPr>
                <w:rFonts w:ascii="Times New Roman" w:hAnsi="Times New Roman"/>
                <w:b w:val="0"/>
                <w:i w:val="0"/>
                <w:sz w:val="20"/>
              </w:rPr>
              <w:t>0.759  n.s.</w:t>
            </w:r>
          </w:p>
        </w:tc>
      </w:tr>
      <w:tr>
        <w:tc>
          <w:tcPr>
            <w:tcW w:type="dxa" w:w="1417"/>
            <w:shd w:val="clear" w:color="auto" w:fill="EBF3FB"/>
          </w:tcPr>
          <w:p>
            <w:pPr>
              <w:jc w:val="left"/>
            </w:pPr>
            <w:r/>
            <w:r>
              <w:rPr>
                <w:rFonts w:ascii="Times New Roman" w:hAnsi="Times New Roman"/>
                <w:b w:val="0"/>
                <w:i w:val="0"/>
                <w:sz w:val="20"/>
              </w:rPr>
              <w:t>USDC / SVB Failure</w:t>
            </w:r>
          </w:p>
        </w:tc>
        <w:tc>
          <w:tcPr>
            <w:tcW w:type="dxa" w:w="1417"/>
            <w:shd w:val="clear" w:color="auto" w:fill="EBF3FB"/>
          </w:tcPr>
          <w:p>
            <w:pPr>
              <w:jc w:val="center"/>
            </w:pPr>
            <w:r/>
            <w:r>
              <w:rPr>
                <w:rFonts w:ascii="Times New Roman" w:hAnsi="Times New Roman"/>
                <w:b w:val="0"/>
                <w:i w:val="0"/>
                <w:sz w:val="20"/>
              </w:rPr>
              <w:t>2023-03-11</w:t>
            </w:r>
          </w:p>
        </w:tc>
        <w:tc>
          <w:tcPr>
            <w:tcW w:type="dxa" w:w="1417"/>
            <w:shd w:val="clear" w:color="auto" w:fill="EBF3FB"/>
          </w:tcPr>
          <w:p>
            <w:pPr>
              <w:jc w:val="center"/>
            </w:pPr>
            <w:r/>
            <w:r>
              <w:rPr>
                <w:rFonts w:ascii="Times New Roman" w:hAnsi="Times New Roman"/>
                <w:b w:val="0"/>
                <w:i w:val="0"/>
                <w:sz w:val="20"/>
              </w:rPr>
              <w:t>High</w:t>
            </w:r>
          </w:p>
        </w:tc>
        <w:tc>
          <w:tcPr>
            <w:tcW w:type="dxa" w:w="1417"/>
            <w:shd w:val="clear" w:color="auto" w:fill="EBF3FB"/>
          </w:tcPr>
          <w:p>
            <w:pPr>
              <w:jc w:val="center"/>
            </w:pPr>
            <w:r/>
            <w:r>
              <w:rPr>
                <w:rFonts w:ascii="Times New Roman" w:hAnsi="Times New Roman"/>
                <w:b w:val="0"/>
                <w:i w:val="0"/>
                <w:sz w:val="20"/>
              </w:rPr>
              <w:t>−2.4 bps</w:t>
            </w:r>
          </w:p>
        </w:tc>
        <w:tc>
          <w:tcPr>
            <w:tcW w:type="dxa" w:w="1417"/>
            <w:shd w:val="clear" w:color="auto" w:fill="EBF3FB"/>
          </w:tcPr>
          <w:p>
            <w:pPr>
              <w:jc w:val="center"/>
            </w:pPr>
            <w:r/>
            <w:r>
              <w:rPr>
                <w:rFonts w:ascii="Times New Roman" w:hAnsi="Times New Roman"/>
                <w:b w:val="0"/>
                <w:i w:val="0"/>
                <w:sz w:val="20"/>
              </w:rPr>
              <w:t>−0.04</w:t>
            </w:r>
          </w:p>
        </w:tc>
        <w:tc>
          <w:tcPr>
            <w:tcW w:type="dxa" w:w="1417"/>
            <w:shd w:val="clear" w:color="auto" w:fill="EBF3FB"/>
          </w:tcPr>
          <w:p>
            <w:pPr>
              <w:jc w:val="center"/>
            </w:pPr>
            <w:r/>
            <w:r>
              <w:rPr>
                <w:rFonts w:ascii="Times New Roman" w:hAnsi="Times New Roman"/>
                <w:b w:val="0"/>
                <w:i w:val="0"/>
                <w:sz w:val="20"/>
              </w:rPr>
              <w:t>0.967  n.s.</w:t>
            </w:r>
          </w:p>
        </w:tc>
      </w:tr>
      <w:tr>
        <w:tc>
          <w:tcPr>
            <w:tcW w:type="dxa" w:w="1417"/>
            <w:shd w:val="clear" w:color="auto" w:fill="FFFFFF"/>
          </w:tcPr>
          <w:p>
            <w:pPr>
              <w:jc w:val="left"/>
            </w:pPr>
            <w:r/>
            <w:r>
              <w:rPr>
                <w:rFonts w:ascii="Times New Roman" w:hAnsi="Times New Roman"/>
                <w:b w:val="0"/>
                <w:i w:val="0"/>
                <w:sz w:val="20"/>
              </w:rPr>
              <w:t>Low vs. High (diff test)</w:t>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t>−0.13</w:t>
            </w:r>
          </w:p>
        </w:tc>
        <w:tc>
          <w:tcPr>
            <w:tcW w:type="dxa" w:w="1417"/>
            <w:shd w:val="clear" w:color="auto" w:fill="FFFFFF"/>
          </w:tcPr>
          <w:p>
            <w:pPr>
              <w:jc w:val="center"/>
            </w:pPr>
            <w:r/>
            <w:r>
              <w:rPr>
                <w:rFonts w:ascii="Times New Roman" w:hAnsi="Times New Roman"/>
                <w:b w:val="0"/>
                <w:i w:val="0"/>
                <w:sz w:val="20"/>
              </w:rPr>
              <w:t>0.898  n.s.</w:t>
            </w:r>
          </w:p>
        </w:tc>
      </w:tr>
    </w:tbl>
    <w:p>
      <w:pPr>
        <w:spacing w:before="40" w:after="200"/>
      </w:pPr>
      <w:r>
        <w:rPr>
          <w:rFonts w:ascii="Times New Roman" w:hAnsi="Times New Roman"/>
          <w:b w:val="0"/>
          <w:i/>
          <w:sz w:val="18"/>
        </w:rPr>
        <w:t>Note: CAR = cumulative abnormal OIS–Treasury spread change over a [−5, +20] trading-day event window. Normal model: Δspread = f(ΔVIX, ΔlnN*), first-difference specification, estimated over [−120, −6]. All CARs are insignificant at conventional levels.</w:t>
      </w:r>
      <w:r>
        <w:rPr>
          <w:rFonts w:ascii="Times New Roman" w:hAnsi="Times New Roman"/>
          <w:b/>
          <w:i w:val="0"/>
          <w:sz w:val="16"/>
          <w:vertAlign w:val="superscript"/>
        </w:rPr>
        <w:t xml:space="preserve"> [8,9,10]</w:t>
      </w:r>
    </w:p>
    <w:p>
      <w:pPr>
        <w:spacing w:before="0" w:after="160"/>
      </w:pPr>
      <w:r>
        <w:rPr>
          <w:rFonts w:ascii="Times New Roman" w:hAnsi="Times New Roman"/>
          <w:b w:val="0"/>
          <w:i w:val="0"/>
          <w:sz w:val="24"/>
        </w:rPr>
        <w:t>All three corrected CARs are statistically insignificant (LUNA: −15.3 bps, t = −1.07, p = 0.295; USDT: −4.3 bps, t = −0.31, p = 0.759; USDC/SVB: −2.4 bps, t = −0.04, p = 0.967). A placebo test using three pseudo-events from quiet periods yields a mean absolute CAR of 4.8 bps, compared to 7.3 bps for the actual events — a ratio of 1.5×, indicating the actual CARs are indistinguishable from noise. The event study therefore cannot serve as the paper's primary quantitative evidence.</w:t>
      </w:r>
    </w:p>
    <w:p>
      <w:pPr>
        <w:spacing w:before="0" w:after="160"/>
      </w:pPr>
      <w:r>
        <w:rPr>
          <w:rFonts w:ascii="Times New Roman" w:hAnsi="Times New Roman"/>
          <w:b w:val="0"/>
          <w:i w:val="0"/>
          <w:sz w:val="24"/>
        </w:rPr>
        <w:t>Despite statistical insignificance, the directional pattern remains consistent with the regression finding (β₁ = −6.02 bps): low-buffer events show negative abnormal spreads pointing toward privilege amplification, and the high-buffer event shows a near-zero response consistent with buffer absorption.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−6.02 bps (Section 5.1), q* = 13.0% (Section 5.2), and c* = 14.9% (Section 5.3).</w:t>
      </w:r>
    </w:p>
    <w:p>
      <w:pPr>
        <w:spacing w:before="240" w:after="120"/>
      </w:pPr>
      <w:r>
        <w:rPr>
          <w:rFonts w:ascii="Times New Roman" w:hAnsi="Times New Roman"/>
          <w:b/>
          <w:i w:val="0"/>
          <w:sz w:val="24"/>
        </w:rPr>
        <w:t>Figure 5.  Event Study: Level Model vs. First-Difference Correction</w:t>
      </w:r>
    </w:p>
    <w:p>
      <w:pPr>
        <w:jc w:val="center"/>
      </w:pPr>
      <w:r>
        <w:drawing>
          <wp:inline xmlns:a="http://schemas.openxmlformats.org/drawingml/2006/main" xmlns:pic="http://schemas.openxmlformats.org/drawingml/2006/picture">
            <wp:extent cx="5303520" cy="2502301"/>
            <wp:docPr id="5" name="Picture 5"/>
            <wp:cNvGraphicFramePr>
              <a:graphicFrameLocks noChangeAspect="1"/>
            </wp:cNvGraphicFramePr>
            <a:graphic>
              <a:graphicData uri="http://schemas.openxmlformats.org/drawingml/2006/picture">
                <pic:pic>
                  <pic:nvPicPr>
                    <pic:cNvPr id="0" name="car_comparison.png"/>
                    <pic:cNvPicPr/>
                  </pic:nvPicPr>
                  <pic:blipFill>
                    <a:blip r:embed="rId14"/>
                    <a:stretch>
                      <a:fillRect/>
                    </a:stretch>
                  </pic:blipFill>
                  <pic:spPr>
                    <a:xfrm>
                      <a:off x="0" y="0"/>
                      <a:ext cx="5303520" cy="2502301"/>
                    </a:xfrm>
                    <a:prstGeom prst="rect"/>
                  </pic:spPr>
                </pic:pic>
              </a:graphicData>
            </a:graphic>
          </wp:inline>
        </w:drawing>
      </w:r>
    </w:p>
    <w:p>
      <w:pPr>
        <w:spacing w:before="40" w:after="200"/>
      </w:pPr>
      <w:r>
        <w:rPr>
          <w:rFonts w:ascii="Times New Roman" w:hAnsi="Times New Roman"/>
          <w:b w:val="0"/>
          <w:i/>
          <w:sz w:val="18"/>
        </w:rPr>
        <w:t>Note: CARs from the original level-model specification (left bars) vs. the corrected first-difference specification (right bars) for each of the three stress episodes. The level model CARs were inflated ~120× by the Fed hiking trend in the estimation window.</w:t>
      </w:r>
      <w:r>
        <w:rPr>
          <w:rFonts w:ascii="Times New Roman" w:hAnsi="Times New Roman"/>
          <w:b/>
          <w:i w:val="0"/>
          <w:sz w:val="16"/>
          <w:vertAlign w:val="superscript"/>
        </w:rPr>
        <w:t xml:space="preserve"> [9]</w:t>
      </w:r>
    </w:p>
    <w:p/>
    <w:p>
      <w:pPr>
        <w:spacing w:before="240" w:after="120"/>
      </w:pPr>
      <w:r>
        <w:rPr>
          <w:rFonts w:ascii="Times New Roman" w:hAnsi="Times New Roman"/>
          <w:b/>
          <w:i w:val="0"/>
          <w:sz w:val="24"/>
        </w:rPr>
        <w:t>Figure 6.  Cumulative Abnormal Spread: Corrected Event Study</w:t>
      </w:r>
    </w:p>
    <w:p>
      <w:pPr>
        <w:jc w:val="center"/>
      </w:pPr>
      <w:r>
        <w:drawing>
          <wp:inline xmlns:a="http://schemas.openxmlformats.org/drawingml/2006/main" xmlns:pic="http://schemas.openxmlformats.org/drawingml/2006/picture">
            <wp:extent cx="5303520" cy="1407783"/>
            <wp:docPr id="6" name="Picture 6"/>
            <wp:cNvGraphicFramePr>
              <a:graphicFrameLocks noChangeAspect="1"/>
            </wp:cNvGraphicFramePr>
            <a:graphic>
              <a:graphicData uri="http://schemas.openxmlformats.org/drawingml/2006/picture">
                <pic:pic>
                  <pic:nvPicPr>
                    <pic:cNvPr id="0" name="event_study_cars.png"/>
                    <pic:cNvPicPr/>
                  </pic:nvPicPr>
                  <pic:blipFill>
                    <a:blip r:embed="rId15"/>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(bps) over [−5, +20] trading days. First-difference normal model. Red: low-buffer events (LUNA/UST, USDT depeg). Blue: high-buffer event (USDC/SVB). τ = 0 is the event date. All CARs are insignificant.</w:t>
      </w:r>
      <w:r>
        <w:rPr>
          <w:rFonts w:ascii="Times New Roman" w:hAnsi="Times New Roman"/>
          <w:b/>
          <w:i w:val="0"/>
          <w:sz w:val="16"/>
          <w:vertAlign w:val="superscript"/>
        </w:rPr>
        <w:t xml:space="preserve"> [8]</w:t>
      </w:r>
    </w:p>
    <w:p/>
    <w:p>
      <w:pPr>
        <w:spacing w:before="240" w:after="120"/>
      </w:pPr>
      <w:r>
        <w:rPr>
          <w:rFonts w:ascii="Times New Roman" w:hAnsi="Times New Roman"/>
          <w:b/>
          <w:i w:val="0"/>
          <w:sz w:val="24"/>
        </w:rPr>
        <w:t>Figure 7.  Placebo Test: Actual vs. Pseudo-Event CARs</w:t>
      </w:r>
    </w:p>
    <w:p>
      <w:pPr>
        <w:jc w:val="center"/>
      </w:pPr>
      <w:r>
        <w:drawing>
          <wp:inline xmlns:a="http://schemas.openxmlformats.org/drawingml/2006/main" xmlns:pic="http://schemas.openxmlformats.org/drawingml/2006/picture">
            <wp:extent cx="5303520" cy="2627665"/>
            <wp:docPr id="7" name="Picture 7"/>
            <wp:cNvGraphicFramePr>
              <a:graphicFrameLocks noChangeAspect="1"/>
            </wp:cNvGraphicFramePr>
            <a:graphic>
              <a:graphicData uri="http://schemas.openxmlformats.org/drawingml/2006/picture">
                <pic:pic>
                  <pic:nvPicPr>
                    <pic:cNvPr id="0" name="placebo_cars.png"/>
                    <pic:cNvPicPr/>
                  </pic:nvPicPr>
                  <pic:blipFill>
                    <a:blip r:embed="rId16"/>
                    <a:stretch>
                      <a:fillRect/>
                    </a:stretch>
                  </pic:blipFill>
                  <pic:spPr>
                    <a:xfrm>
                      <a:off x="0" y="0"/>
                      <a:ext cx="5303520" cy="2627665"/>
                    </a:xfrm>
                    <a:prstGeom prst="rect"/>
                  </pic:spPr>
                </pic:pic>
              </a:graphicData>
            </a:graphic>
          </wp:inline>
        </w:drawing>
      </w:r>
    </w:p>
    <w:p>
      <w:pPr>
        <w:spacing w:before="40" w:after="200"/>
      </w:pPr>
      <w:r>
        <w:rPr>
          <w:rFonts w:ascii="Times New Roman" w:hAnsi="Times New Roman"/>
          <w:b w:val="0"/>
          <w:i/>
          <w:sz w:val="18"/>
        </w:rPr>
        <w:t>Note: Comparison of mean absolute CARs for the three actual stress episodes versus three placebo pseudo-events drawn from quiet periods. Mean |CAR|: actual = 7.3 bps, placebo = 4.8 bps (ratio 1.5×). Actual events are indistinguishable from noise.</w:t>
      </w:r>
    </w:p>
    <w:p/>
    <w:p>
      <w:pPr>
        <w:spacing w:before="240" w:after="120"/>
      </w:pPr>
      <w:r>
        <w:rPr>
          <w:rFonts w:ascii="Times New Roman" w:hAnsi="Times New Roman"/>
          <w:b/>
          <w:i w:val="0"/>
          <w:sz w:val="24"/>
        </w:rPr>
        <w:t>5.5  Auction-Level Mechanism Validation</w:t>
      </w:r>
    </w:p>
    <w:p>
      <w:pPr>
        <w:spacing w:before="0" w:after="120"/>
      </w:pPr>
      <w:r>
        <w:rPr>
          <w:rFonts w:ascii="Times New Roman" w:hAnsi="Times New Roman"/>
          <w:b w:val="0"/>
          <w:i w:val="0"/>
          <w:sz w:val="24"/>
        </w:rPr>
        <w:t>The regression in Section 5.1 establishes that aggregate stablecoin supply growth compresses the OIS–Treasury spread. A remaining identification concern is whether this operates through the T-bill demand channel — as the theoretical framework predicts — or through a common macro factor that simultaneously drives supply growth and spread compression. To test the mechanism more directly, we exploit issuer-level heterogeneity in reserve composition. Tether (USDT) holds approximately 80% of reserves in T-bills, while Circle (USDC) holds 30–40% in T-bills and the remainder in cash and money market funds. If the spread compression is reserve-composition driven, USDT supply growth should reduce bid-cover ratios at T-bill primary auctions — when secondary-market T-bill prices are bid up by USDT reserve purchases, primary-market competitive bidding weakens — while USDC supply growth should show no consistent pattern. This issuer-level contrast functions as a natural control: both issuers share the same macro environment, so any systematic difference in their auction-level effects isolates the reserve-composition channel.</w:t>
      </w:r>
    </w:p>
    <w:p>
      <w:pPr>
        <w:spacing w:before="240" w:after="120"/>
      </w:pPr>
      <w:r>
        <w:rPr>
          <w:rFonts w:ascii="Times New Roman" w:hAnsi="Times New Roman"/>
          <w:b/>
          <w:i w:val="0"/>
          <w:sz w:val="24"/>
        </w:rPr>
        <w:t>Table 7.  Bid-Cover Mechanism Validation: USDT vs. USDC</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color="auto" w:fill="BDD7EE"/>
          </w:tcPr>
          <w:p>
            <w:pPr>
              <w:jc w:val="left"/>
            </w:pPr>
            <w:r/>
            <w:r>
              <w:rPr>
                <w:rFonts w:ascii="Times New Roman" w:hAnsi="Times New Roman"/>
                <w:b/>
                <w:i w:val="0"/>
                <w:sz w:val="20"/>
              </w:rPr>
              <w:t>Maturity</w:t>
            </w:r>
          </w:p>
        </w:tc>
        <w:tc>
          <w:tcPr>
            <w:tcW w:type="dxa" w:w="1063"/>
            <w:shd w:val="clear" w:color="auto" w:fill="BDD7EE"/>
          </w:tcPr>
          <w:p>
            <w:pPr>
              <w:jc w:val="center"/>
            </w:pPr>
            <w:r/>
            <w:r>
              <w:rPr>
                <w:rFonts w:ascii="Times New Roman" w:hAnsi="Times New Roman"/>
                <w:b/>
                <w:i w:val="0"/>
                <w:sz w:val="20"/>
              </w:rPr>
              <w:t>N</w:t>
            </w:r>
          </w:p>
        </w:tc>
        <w:tc>
          <w:tcPr>
            <w:tcW w:type="dxa" w:w="1063"/>
            <w:shd w:val="clear" w:color="auto" w:fill="BDD7EE"/>
          </w:tcPr>
          <w:p>
            <w:pPr>
              <w:jc w:val="center"/>
            </w:pPr>
            <w:r/>
            <w:r>
              <w:rPr>
                <w:rFonts w:ascii="Times New Roman" w:hAnsi="Times New Roman"/>
                <w:b/>
                <w:i w:val="0"/>
                <w:sz w:val="20"/>
              </w:rPr>
              <w:t>β_USDT</w:t>
            </w:r>
          </w:p>
        </w:tc>
        <w:tc>
          <w:tcPr>
            <w:tcW w:type="dxa" w:w="1063"/>
            <w:shd w:val="clear" w:color="auto" w:fill="BDD7EE"/>
          </w:tcPr>
          <w:p>
            <w:pPr>
              <w:jc w:val="center"/>
            </w:pPr>
            <w:r/>
            <w:r>
              <w:rPr>
                <w:rFonts w:ascii="Times New Roman" w:hAnsi="Times New Roman"/>
                <w:b/>
                <w:i w:val="0"/>
                <w:sz w:val="20"/>
              </w:rPr>
              <w:t>p_USDT</w:t>
            </w:r>
          </w:p>
        </w:tc>
        <w:tc>
          <w:tcPr>
            <w:tcW w:type="dxa" w:w="1063"/>
            <w:shd w:val="clear" w:color="auto" w:fill="BDD7EE"/>
          </w:tcPr>
          <w:p>
            <w:pPr>
              <w:jc w:val="center"/>
            </w:pPr>
            <w:r/>
            <w:r>
              <w:rPr>
                <w:rFonts w:ascii="Times New Roman" w:hAnsi="Times New Roman"/>
                <w:b/>
                <w:i w:val="0"/>
                <w:sz w:val="20"/>
              </w:rPr>
              <w:t>β_USDC</w:t>
            </w:r>
          </w:p>
        </w:tc>
        <w:tc>
          <w:tcPr>
            <w:tcW w:type="dxa" w:w="1063"/>
            <w:shd w:val="clear" w:color="auto" w:fill="BDD7EE"/>
          </w:tcPr>
          <w:p>
            <w:pPr>
              <w:jc w:val="center"/>
            </w:pPr>
            <w:r/>
            <w:r>
              <w:rPr>
                <w:rFonts w:ascii="Times New Roman" w:hAnsi="Times New Roman"/>
                <w:b/>
                <w:i w:val="0"/>
                <w:sz w:val="20"/>
              </w:rPr>
              <w:t>p_USDC</w:t>
            </w:r>
          </w:p>
        </w:tc>
        <w:tc>
          <w:tcPr>
            <w:tcW w:type="dxa" w:w="1063"/>
            <w:shd w:val="clear" w:color="auto" w:fill="BDD7EE"/>
          </w:tcPr>
          <w:p>
            <w:pPr>
              <w:jc w:val="center"/>
            </w:pPr>
            <w:r/>
            <w:r>
              <w:rPr>
                <w:rFonts w:ascii="Times New Roman" w:hAnsi="Times New Roman"/>
                <w:b/>
                <w:i w:val="0"/>
                <w:sz w:val="20"/>
              </w:rPr>
              <w:t>Wald p</w:t>
            </w:r>
          </w:p>
        </w:tc>
        <w:tc>
          <w:tcPr>
            <w:tcW w:type="dxa" w:w="1063"/>
            <w:shd w:val="clear" w:color="auto" w:fill="BDD7EE"/>
          </w:tcPr>
          <w:p>
            <w:pPr>
              <w:jc w:val="center"/>
            </w:pPr>
            <w:r/>
            <w:r>
              <w:rPr>
                <w:rFonts w:ascii="Times New Roman" w:hAnsi="Times New Roman"/>
                <w:b/>
                <w:i w:val="0"/>
                <w:sz w:val="20"/>
              </w:rPr>
              <w:t>R²</w:t>
            </w:r>
          </w:p>
        </w:tc>
      </w:tr>
      <w:tr>
        <w:tc>
          <w:tcPr>
            <w:tcW w:type="dxa" w:w="1063"/>
            <w:shd w:val="clear" w:color="auto" w:fill="EBF3FB"/>
          </w:tcPr>
          <w:p>
            <w:pPr>
              <w:jc w:val="left"/>
            </w:pPr>
            <w:r/>
            <w:r>
              <w:rPr>
                <w:rFonts w:ascii="Times New Roman" w:hAnsi="Times New Roman"/>
                <w:b w:val="0"/>
                <w:i w:val="0"/>
                <w:sz w:val="20"/>
              </w:rPr>
              <w:t>4-Week</w:t>
            </w:r>
          </w:p>
        </w:tc>
        <w:tc>
          <w:tcPr>
            <w:tcW w:type="dxa" w:w="1063"/>
            <w:shd w:val="clear" w:color="auto" w:fill="EBF3FB"/>
          </w:tcPr>
          <w:p>
            <w:pPr>
              <w:jc w:val="center"/>
            </w:pPr>
            <w:r/>
            <w:r>
              <w:rPr>
                <w:rFonts w:ascii="Times New Roman" w:hAnsi="Times New Roman"/>
                <w:b w:val="0"/>
                <w:i w:val="0"/>
                <w:sz w:val="20"/>
              </w:rPr>
              <w:t>51</w:t>
            </w:r>
          </w:p>
        </w:tc>
        <w:tc>
          <w:tcPr>
            <w:tcW w:type="dxa" w:w="1063"/>
            <w:shd w:val="clear" w:color="auto" w:fill="EBF3FB"/>
          </w:tcPr>
          <w:p>
            <w:pPr>
              <w:jc w:val="center"/>
            </w:pPr>
            <w:r/>
            <w:r>
              <w:rPr>
                <w:rFonts w:ascii="Times New Roman" w:hAnsi="Times New Roman"/>
                <w:b w:val="0"/>
                <w:i w:val="0"/>
                <w:sz w:val="20"/>
              </w:rPr>
              <w:t>−1.225</w:t>
            </w:r>
          </w:p>
        </w:tc>
        <w:tc>
          <w:tcPr>
            <w:tcW w:type="dxa" w:w="1063"/>
            <w:shd w:val="clear" w:color="auto" w:fill="EBF3FB"/>
          </w:tcPr>
          <w:p>
            <w:pPr>
              <w:jc w:val="center"/>
            </w:pPr>
            <w:r/>
            <w:r>
              <w:rPr>
                <w:rFonts w:ascii="Times New Roman" w:hAnsi="Times New Roman"/>
                <w:b w:val="0"/>
                <w:i w:val="0"/>
                <w:sz w:val="20"/>
              </w:rPr>
              <w:t>0.010**</w:t>
            </w:r>
          </w:p>
        </w:tc>
        <w:tc>
          <w:tcPr>
            <w:tcW w:type="dxa" w:w="1063"/>
            <w:shd w:val="clear" w:color="auto" w:fill="EBF3FB"/>
          </w:tcPr>
          <w:p>
            <w:pPr>
              <w:jc w:val="center"/>
            </w:pPr>
            <w:r/>
            <w:r>
              <w:rPr>
                <w:rFonts w:ascii="Times New Roman" w:hAnsi="Times New Roman"/>
                <w:b w:val="0"/>
                <w:i w:val="0"/>
                <w:sz w:val="20"/>
              </w:rPr>
              <w:t>+0.452</w:t>
            </w:r>
          </w:p>
        </w:tc>
        <w:tc>
          <w:tcPr>
            <w:tcW w:type="dxa" w:w="1063"/>
            <w:shd w:val="clear" w:color="auto" w:fill="EBF3FB"/>
          </w:tcPr>
          <w:p>
            <w:pPr>
              <w:jc w:val="center"/>
            </w:pPr>
            <w:r/>
            <w:r>
              <w:rPr>
                <w:rFonts w:ascii="Times New Roman" w:hAnsi="Times New Roman"/>
                <w:b w:val="0"/>
                <w:i w:val="0"/>
                <w:sz w:val="20"/>
              </w:rPr>
              <w:t>0.060</w:t>
            </w:r>
          </w:p>
        </w:tc>
        <w:tc>
          <w:tcPr>
            <w:tcW w:type="dxa" w:w="1063"/>
            <w:shd w:val="clear" w:color="auto" w:fill="EBF3FB"/>
          </w:tcPr>
          <w:p>
            <w:pPr>
              <w:jc w:val="center"/>
            </w:pPr>
            <w:r/>
            <w:r>
              <w:rPr>
                <w:rFonts w:ascii="Times New Roman" w:hAnsi="Times New Roman"/>
                <w:b w:val="0"/>
                <w:i w:val="0"/>
                <w:sz w:val="20"/>
              </w:rPr>
              <w:t>0.001***</w:t>
            </w:r>
          </w:p>
        </w:tc>
        <w:tc>
          <w:tcPr>
            <w:tcW w:type="dxa" w:w="1063"/>
            <w:shd w:val="clear" w:color="auto" w:fill="EBF3FB"/>
          </w:tcPr>
          <w:p>
            <w:pPr>
              <w:jc w:val="center"/>
            </w:pPr>
            <w:r/>
            <w:r>
              <w:rPr>
                <w:rFonts w:ascii="Times New Roman" w:hAnsi="Times New Roman"/>
                <w:b w:val="0"/>
                <w:i w:val="0"/>
                <w:sz w:val="20"/>
              </w:rPr>
              <w:t>0.391</w:t>
            </w:r>
          </w:p>
        </w:tc>
      </w:tr>
      <w:tr>
        <w:tc>
          <w:tcPr>
            <w:tcW w:type="dxa" w:w="1063"/>
            <w:shd w:val="clear" w:color="auto" w:fill="FFFFFF"/>
          </w:tcPr>
          <w:p>
            <w:pPr>
              <w:jc w:val="left"/>
            </w:pPr>
            <w:r/>
            <w:r>
              <w:rPr>
                <w:rFonts w:ascii="Times New Roman" w:hAnsi="Times New Roman"/>
                <w:b w:val="0"/>
                <w:i w:val="0"/>
                <w:sz w:val="20"/>
              </w:rPr>
              <w:t>8-Week</w:t>
            </w:r>
          </w:p>
        </w:tc>
        <w:tc>
          <w:tcPr>
            <w:tcW w:type="dxa" w:w="1063"/>
            <w:shd w:val="clear" w:color="auto" w:fill="FFFFFF"/>
          </w:tcPr>
          <w:p>
            <w:pPr>
              <w:jc w:val="center"/>
            </w:pPr>
            <w:r/>
            <w:r>
              <w:rPr>
                <w:rFonts w:ascii="Times New Roman" w:hAnsi="Times New Roman"/>
                <w:b w:val="0"/>
                <w:i w:val="0"/>
                <w:sz w:val="20"/>
              </w:rPr>
              <w:t>51</w:t>
            </w:r>
          </w:p>
        </w:tc>
        <w:tc>
          <w:tcPr>
            <w:tcW w:type="dxa" w:w="1063"/>
            <w:shd w:val="clear" w:color="auto" w:fill="FFFFFF"/>
          </w:tcPr>
          <w:p>
            <w:pPr>
              <w:jc w:val="center"/>
            </w:pPr>
            <w:r/>
            <w:r>
              <w:rPr>
                <w:rFonts w:ascii="Times New Roman" w:hAnsi="Times New Roman"/>
                <w:b w:val="0"/>
                <w:i w:val="0"/>
                <w:sz w:val="20"/>
              </w:rPr>
              <w:t>−1.553</w:t>
            </w:r>
          </w:p>
        </w:tc>
        <w:tc>
          <w:tcPr>
            <w:tcW w:type="dxa" w:w="1063"/>
            <w:shd w:val="clear" w:color="auto" w:fill="FFFFFF"/>
          </w:tcPr>
          <w:p>
            <w:pPr>
              <w:jc w:val="center"/>
            </w:pPr>
            <w:r/>
            <w:r>
              <w:rPr>
                <w:rFonts w:ascii="Times New Roman" w:hAnsi="Times New Roman"/>
                <w:b w:val="0"/>
                <w:i w:val="0"/>
                <w:sz w:val="20"/>
              </w:rPr>
              <w:t>0.007***</w:t>
            </w:r>
          </w:p>
        </w:tc>
        <w:tc>
          <w:tcPr>
            <w:tcW w:type="dxa" w:w="1063"/>
            <w:shd w:val="clear" w:color="auto" w:fill="FFFFFF"/>
          </w:tcPr>
          <w:p>
            <w:pPr>
              <w:jc w:val="center"/>
            </w:pPr>
            <w:r/>
            <w:r>
              <w:rPr>
                <w:rFonts w:ascii="Times New Roman" w:hAnsi="Times New Roman"/>
                <w:b w:val="0"/>
                <w:i w:val="0"/>
                <w:sz w:val="20"/>
              </w:rPr>
              <w:t>+0.145</w:t>
            </w:r>
          </w:p>
        </w:tc>
        <w:tc>
          <w:tcPr>
            <w:tcW w:type="dxa" w:w="1063"/>
            <w:shd w:val="clear" w:color="auto" w:fill="FFFFFF"/>
          </w:tcPr>
          <w:p>
            <w:pPr>
              <w:jc w:val="center"/>
            </w:pPr>
            <w:r/>
            <w:r>
              <w:rPr>
                <w:rFonts w:ascii="Times New Roman" w:hAnsi="Times New Roman"/>
                <w:b w:val="0"/>
                <w:i w:val="0"/>
                <w:sz w:val="20"/>
              </w:rPr>
              <w:t>0.516</w:t>
            </w:r>
          </w:p>
        </w:tc>
        <w:tc>
          <w:tcPr>
            <w:tcW w:type="dxa" w:w="1063"/>
            <w:shd w:val="clear" w:color="auto" w:fill="FFFFFF"/>
          </w:tcPr>
          <w:p>
            <w:pPr>
              <w:jc w:val="center"/>
            </w:pPr>
            <w:r/>
            <w:r>
              <w:rPr>
                <w:rFonts w:ascii="Times New Roman" w:hAnsi="Times New Roman"/>
                <w:b w:val="0"/>
                <w:i w:val="0"/>
                <w:sz w:val="20"/>
              </w:rPr>
              <w:t>0.003***</w:t>
            </w:r>
          </w:p>
        </w:tc>
        <w:tc>
          <w:tcPr>
            <w:tcW w:type="dxa" w:w="1063"/>
            <w:shd w:val="clear" w:color="auto" w:fill="FFFFFF"/>
          </w:tcPr>
          <w:p>
            <w:pPr>
              <w:jc w:val="center"/>
            </w:pPr>
            <w:r/>
            <w:r>
              <w:rPr>
                <w:rFonts w:ascii="Times New Roman" w:hAnsi="Times New Roman"/>
                <w:b w:val="0"/>
                <w:i w:val="0"/>
                <w:sz w:val="20"/>
              </w:rPr>
              <w:t>0.385</w:t>
            </w:r>
          </w:p>
        </w:tc>
      </w:tr>
      <w:tr>
        <w:tc>
          <w:tcPr>
            <w:tcW w:type="dxa" w:w="1063"/>
            <w:shd w:val="clear" w:color="auto" w:fill="EBF3FB"/>
          </w:tcPr>
          <w:p>
            <w:pPr>
              <w:jc w:val="left"/>
            </w:pPr>
            <w:r/>
            <w:r>
              <w:rPr>
                <w:rFonts w:ascii="Times New Roman" w:hAnsi="Times New Roman"/>
                <w:b w:val="0"/>
                <w:i w:val="0"/>
                <w:sz w:val="20"/>
              </w:rPr>
              <w:t>13-Week</w:t>
            </w:r>
          </w:p>
        </w:tc>
        <w:tc>
          <w:tcPr>
            <w:tcW w:type="dxa" w:w="1063"/>
            <w:shd w:val="clear" w:color="auto" w:fill="EBF3FB"/>
          </w:tcPr>
          <w:p>
            <w:pPr>
              <w:jc w:val="center"/>
            </w:pPr>
            <w:r/>
            <w:r>
              <w:rPr>
                <w:rFonts w:ascii="Times New Roman" w:hAnsi="Times New Roman"/>
                <w:b w:val="0"/>
                <w:i w:val="0"/>
                <w:sz w:val="20"/>
              </w:rPr>
              <w:t>51</w:t>
            </w:r>
          </w:p>
        </w:tc>
        <w:tc>
          <w:tcPr>
            <w:tcW w:type="dxa" w:w="1063"/>
            <w:shd w:val="clear" w:color="auto" w:fill="EBF3FB"/>
          </w:tcPr>
          <w:p>
            <w:pPr>
              <w:jc w:val="center"/>
            </w:pPr>
            <w:r/>
            <w:r>
              <w:rPr>
                <w:rFonts w:ascii="Times New Roman" w:hAnsi="Times New Roman"/>
                <w:b w:val="0"/>
                <w:i w:val="0"/>
                <w:sz w:val="20"/>
              </w:rPr>
              <w:t>−1.366</w:t>
            </w:r>
          </w:p>
        </w:tc>
        <w:tc>
          <w:tcPr>
            <w:tcW w:type="dxa" w:w="1063"/>
            <w:shd w:val="clear" w:color="auto" w:fill="EBF3FB"/>
          </w:tcPr>
          <w:p>
            <w:pPr>
              <w:jc w:val="center"/>
            </w:pPr>
            <w:r/>
            <w:r>
              <w:rPr>
                <w:rFonts w:ascii="Times New Roman" w:hAnsi="Times New Roman"/>
                <w:b w:val="0"/>
                <w:i w:val="0"/>
                <w:sz w:val="20"/>
              </w:rPr>
              <w:t>0.003***</w:t>
            </w:r>
          </w:p>
        </w:tc>
        <w:tc>
          <w:tcPr>
            <w:tcW w:type="dxa" w:w="1063"/>
            <w:shd w:val="clear" w:color="auto" w:fill="EBF3FB"/>
          </w:tcPr>
          <w:p>
            <w:pPr>
              <w:jc w:val="center"/>
            </w:pPr>
            <w:r/>
            <w:r>
              <w:rPr>
                <w:rFonts w:ascii="Times New Roman" w:hAnsi="Times New Roman"/>
                <w:b w:val="0"/>
                <w:i w:val="0"/>
                <w:sz w:val="20"/>
              </w:rPr>
              <w:t>+0.338</w:t>
            </w:r>
          </w:p>
        </w:tc>
        <w:tc>
          <w:tcPr>
            <w:tcW w:type="dxa" w:w="1063"/>
            <w:shd w:val="clear" w:color="auto" w:fill="EBF3FB"/>
          </w:tcPr>
          <w:p>
            <w:pPr>
              <w:jc w:val="center"/>
            </w:pPr>
            <w:r/>
            <w:r>
              <w:rPr>
                <w:rFonts w:ascii="Times New Roman" w:hAnsi="Times New Roman"/>
                <w:b w:val="0"/>
                <w:i w:val="0"/>
                <w:sz w:val="20"/>
              </w:rPr>
              <w:t>0.131</w:t>
            </w:r>
          </w:p>
        </w:tc>
        <w:tc>
          <w:tcPr>
            <w:tcW w:type="dxa" w:w="1063"/>
            <w:shd w:val="clear" w:color="auto" w:fill="EBF3FB"/>
          </w:tcPr>
          <w:p>
            <w:pPr>
              <w:jc w:val="center"/>
            </w:pPr>
            <w:r/>
            <w:r>
              <w:rPr>
                <w:rFonts w:ascii="Times New Roman" w:hAnsi="Times New Roman"/>
                <w:b w:val="0"/>
                <w:i w:val="0"/>
                <w:sz w:val="20"/>
              </w:rPr>
              <w:t>0.000***</w:t>
            </w:r>
          </w:p>
        </w:tc>
        <w:tc>
          <w:tcPr>
            <w:tcW w:type="dxa" w:w="1063"/>
            <w:shd w:val="clear" w:color="auto" w:fill="EBF3FB"/>
          </w:tcPr>
          <w:p>
            <w:pPr>
              <w:jc w:val="center"/>
            </w:pPr>
            <w:r/>
            <w:r>
              <w:rPr>
                <w:rFonts w:ascii="Times New Roman" w:hAnsi="Times New Roman"/>
                <w:b w:val="0"/>
                <w:i w:val="0"/>
                <w:sz w:val="20"/>
              </w:rPr>
              <w:t>0.406</w:t>
            </w:r>
          </w:p>
        </w:tc>
      </w:tr>
      <w:tr>
        <w:tc>
          <w:tcPr>
            <w:tcW w:type="dxa" w:w="1063"/>
            <w:shd w:val="clear" w:color="auto" w:fill="FFFFFF"/>
          </w:tcPr>
          <w:p>
            <w:pPr>
              <w:jc w:val="left"/>
            </w:pPr>
            <w:r/>
            <w:r>
              <w:rPr>
                <w:rFonts w:ascii="Times New Roman" w:hAnsi="Times New Roman"/>
                <w:b w:val="0"/>
                <w:i w:val="0"/>
                <w:sz w:val="20"/>
              </w:rPr>
              <w:t>26-Week</w:t>
            </w:r>
          </w:p>
        </w:tc>
        <w:tc>
          <w:tcPr>
            <w:tcW w:type="dxa" w:w="1063"/>
            <w:shd w:val="clear" w:color="auto" w:fill="FFFFFF"/>
          </w:tcPr>
          <w:p>
            <w:pPr>
              <w:jc w:val="center"/>
            </w:pPr>
            <w:r/>
            <w:r>
              <w:rPr>
                <w:rFonts w:ascii="Times New Roman" w:hAnsi="Times New Roman"/>
                <w:b w:val="0"/>
                <w:i w:val="0"/>
                <w:sz w:val="20"/>
              </w:rPr>
              <w:t>51</w:t>
            </w:r>
          </w:p>
        </w:tc>
        <w:tc>
          <w:tcPr>
            <w:tcW w:type="dxa" w:w="1063"/>
            <w:shd w:val="clear" w:color="auto" w:fill="FFFFFF"/>
          </w:tcPr>
          <w:p>
            <w:pPr>
              <w:jc w:val="center"/>
            </w:pPr>
            <w:r/>
            <w:r>
              <w:rPr>
                <w:rFonts w:ascii="Times New Roman" w:hAnsi="Times New Roman"/>
                <w:b w:val="0"/>
                <w:i w:val="0"/>
                <w:sz w:val="20"/>
              </w:rPr>
              <w:t>−1.587</w:t>
            </w:r>
          </w:p>
        </w:tc>
        <w:tc>
          <w:tcPr>
            <w:tcW w:type="dxa" w:w="1063"/>
            <w:shd w:val="clear" w:color="auto" w:fill="FFFFFF"/>
          </w:tcPr>
          <w:p>
            <w:pPr>
              <w:jc w:val="center"/>
            </w:pPr>
            <w:r/>
            <w:r>
              <w:rPr>
                <w:rFonts w:ascii="Times New Roman" w:hAnsi="Times New Roman"/>
                <w:b w:val="0"/>
                <w:i w:val="0"/>
                <w:sz w:val="20"/>
              </w:rPr>
              <w:t>0.000***</w:t>
            </w:r>
          </w:p>
        </w:tc>
        <w:tc>
          <w:tcPr>
            <w:tcW w:type="dxa" w:w="1063"/>
            <w:shd w:val="clear" w:color="auto" w:fill="FFFFFF"/>
          </w:tcPr>
          <w:p>
            <w:pPr>
              <w:jc w:val="center"/>
            </w:pPr>
            <w:r/>
            <w:r>
              <w:rPr>
                <w:rFonts w:ascii="Times New Roman" w:hAnsi="Times New Roman"/>
                <w:b w:val="0"/>
                <w:i w:val="0"/>
                <w:sz w:val="20"/>
              </w:rPr>
              <w:t>−0.016</w:t>
            </w:r>
          </w:p>
        </w:tc>
        <w:tc>
          <w:tcPr>
            <w:tcW w:type="dxa" w:w="1063"/>
            <w:shd w:val="clear" w:color="auto" w:fill="FFFFFF"/>
          </w:tcPr>
          <w:p>
            <w:pPr>
              <w:jc w:val="center"/>
            </w:pPr>
            <w:r/>
            <w:r>
              <w:rPr>
                <w:rFonts w:ascii="Times New Roman" w:hAnsi="Times New Roman"/>
                <w:b w:val="0"/>
                <w:i w:val="0"/>
                <w:sz w:val="20"/>
              </w:rPr>
              <w:t>0.937</w:t>
            </w:r>
          </w:p>
        </w:tc>
        <w:tc>
          <w:tcPr>
            <w:tcW w:type="dxa" w:w="1063"/>
            <w:shd w:val="clear" w:color="auto" w:fill="FFFFFF"/>
          </w:tcPr>
          <w:p>
            <w:pPr>
              <w:jc w:val="center"/>
            </w:pPr>
            <w:r/>
            <w:r>
              <w:rPr>
                <w:rFonts w:ascii="Times New Roman" w:hAnsi="Times New Roman"/>
                <w:b w:val="0"/>
                <w:i w:val="0"/>
                <w:sz w:val="20"/>
              </w:rPr>
              <w:t>0.001***</w:t>
            </w:r>
          </w:p>
        </w:tc>
        <w:tc>
          <w:tcPr>
            <w:tcW w:type="dxa" w:w="1063"/>
            <w:shd w:val="clear" w:color="auto" w:fill="FFFFFF"/>
          </w:tcPr>
          <w:p>
            <w:pPr>
              <w:jc w:val="center"/>
            </w:pPr>
            <w:r/>
            <w:r>
              <w:rPr>
                <w:rFonts w:ascii="Times New Roman" w:hAnsi="Times New Roman"/>
                <w:b w:val="0"/>
                <w:i w:val="0"/>
                <w:sz w:val="20"/>
              </w:rPr>
              <w:t>0.361</w:t>
            </w:r>
          </w:p>
        </w:tc>
      </w:tr>
    </w:tbl>
    <w:p>
      <w:pPr>
        <w:spacing w:before="40" w:after="200"/>
      </w:pPr>
      <w:r>
        <w:rPr>
          <w:rFonts w:ascii="Times New Roman" w:hAnsi="Times New Roman"/>
          <w:b w:val="0"/>
          <w:i/>
          <w:sz w:val="18"/>
        </w:rPr>
        <w:t>Note: OLS with Newey–West HAC standard errors (1 lag). Dependent variable: monthly average T-bill bid-cover ratio (source: TreasuryDirect auction results API). Regressors: dln_supply_USDT and dln_supply_USDC (log monthly supply growth from daily panel month-end values), plus controls: θ, L, V, VIX, ΔlnN*, Δfed funds. Wald p: p-value for H₀: β_USDT = β_USDC. N = 51 months, January 2022 – March 2026. *** p &lt; 0.01, ** p &lt; 0.05, * p &lt; 0.10.</w:t>
      </w:r>
      <w:r>
        <w:rPr>
          <w:rFonts w:ascii="Times New Roman" w:hAnsi="Times New Roman"/>
          <w:b/>
          <w:i w:val="0"/>
          <w:sz w:val="16"/>
          <w:vertAlign w:val="superscript"/>
        </w:rPr>
        <w:t xml:space="preserve"> [14]</w:t>
      </w:r>
    </w:p>
    <w:p>
      <w:pPr>
        <w:spacing w:before="0" w:after="160"/>
      </w:pPr>
      <w:r>
        <w:rPr>
          <w:rFonts w:ascii="Times New Roman" w:hAnsi="Times New Roman"/>
          <w:b w:val="0"/>
          <w:i w:val="0"/>
          <w:sz w:val="24"/>
        </w:rPr>
        <w:t>The results are consistent with the reserve-composition mechanism. USDT supply growth is negative and statistically significant across all four maturities tested (β ranging from −1.23 to −1.59, p &lt; 0.01 for 13-week and 26-week, p &lt; 0.011 for 4-week and 8-week). USDC supply growth is statistically insignificant at all four maturities (p ranging from 0.06 to 0.94). The Wald test strongly rejects equality of the two issuer coefficients at each maturity (p &lt; 0.004 in all cases), confirming that the differential is not sampling noise.</w:t>
      </w:r>
    </w:p>
    <w:p>
      <w:pPr>
        <w:spacing w:before="0" w:after="200"/>
      </w:pPr>
      <w:r>
        <w:rPr>
          <w:rFonts w:ascii="Times New Roman" w:hAnsi="Times New Roman"/>
          <w:b w:val="0"/>
          <w:i w:val="0"/>
          <w:sz w:val="24"/>
        </w:rPr>
        <w:t>This finding provides more direct evidence for the T-bill demand channel than the spread regression alone. The mechanism operates specifically through the issuer whose reserve policy mechanically requires T-bill purchases on each unit of supply growth; the issuer whose reserves are held mostly in cash does not produce the same auction-level signal. We describe this as mechanism-consistent evidence rather than definitive causal identification: bid-cover reflects primary-market competition, while our main result is in secondary-market spreads, so the connection is indirect. Nevertheless, the consistency across four maturities and the sharp issuer-level contrast strengthen confidence in the proposed channel.</w:t>
      </w:r>
    </w:p>
    <w:p/>
    <w:p>
      <w:pPr>
        <w:spacing w:before="240" w:after="120"/>
      </w:pPr>
      <w:r>
        <w:rPr>
          <w:rFonts w:ascii="Times New Roman" w:hAnsi="Times New Roman"/>
          <w:b/>
          <w:i w:val="0"/>
          <w:sz w:val="24"/>
        </w:rPr>
        <w:t>Table 6.  Key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60"/>
            <w:shd w:val="clear" w:color="auto" w:fill="BDD7EE"/>
          </w:tcPr>
          <w:p>
            <w:pPr>
              <w:jc w:val="left"/>
            </w:pPr>
            <w:r/>
            <w:r>
              <w:rPr>
                <w:rFonts w:ascii="Times New Roman" w:hAnsi="Times New Roman"/>
                <w:b/>
                <w:i w:val="0"/>
                <w:sz w:val="20"/>
              </w:rPr>
              <w:t>Finding</w:t>
            </w:r>
          </w:p>
        </w:tc>
        <w:tc>
          <w:tcPr>
            <w:tcW w:type="dxa" w:w="2592"/>
            <w:shd w:val="clear" w:color="auto" w:fill="BDD7EE"/>
          </w:tcPr>
          <w:p>
            <w:pPr>
              <w:jc w:val="center"/>
            </w:pPr>
            <w:r/>
            <w:r>
              <w:rPr>
                <w:rFonts w:ascii="Times New Roman" w:hAnsi="Times New Roman"/>
                <w:b/>
                <w:i w:val="0"/>
                <w:sz w:val="20"/>
              </w:rPr>
              <w:t>Method</w:t>
            </w:r>
          </w:p>
        </w:tc>
        <w:tc>
          <w:tcPr>
            <w:tcW w:type="dxa" w:w="3168"/>
            <w:shd w:val="clear" w:color="auto" w:fill="BDD7EE"/>
          </w:tcPr>
          <w:p>
            <w:pPr>
              <w:jc w:val="center"/>
            </w:pPr>
            <w:r/>
            <w:r>
              <w:rPr>
                <w:rFonts w:ascii="Times New Roman" w:hAnsi="Times New Roman"/>
                <w:b/>
                <w:i w:val="0"/>
                <w:sz w:val="20"/>
              </w:rPr>
              <w:t>Estimate</w:t>
            </w:r>
          </w:p>
        </w:tc>
        <w:tc>
          <w:tcPr>
            <w:tcW w:type="dxa" w:w="2160"/>
            <w:shd w:val="clear" w:color="auto" w:fill="BDD7EE"/>
          </w:tcPr>
          <w:p>
            <w:pPr>
              <w:jc w:val="center"/>
            </w:pPr>
            <w:r/>
            <w:r>
              <w:rPr>
                <w:rFonts w:ascii="Times New Roman" w:hAnsi="Times New Roman"/>
                <w:b/>
                <w:i w:val="0"/>
                <w:sz w:val="20"/>
              </w:rPr>
              <w:t>Status</w:t>
            </w:r>
          </w:p>
        </w:tc>
      </w:tr>
      <w:tr>
        <w:tc>
          <w:tcPr>
            <w:tcW w:type="dxa" w:w="2126"/>
            <w:shd w:val="clear" w:color="auto" w:fill="EBF3FB"/>
          </w:tcPr>
          <w:p>
            <w:pPr>
              <w:jc w:val="left"/>
            </w:pPr>
            <w:r/>
            <w:r>
              <w:rPr>
                <w:rFonts w:ascii="Times New Roman" w:hAnsi="Times New Roman"/>
                <w:b w:val="0"/>
                <w:i w:val="0"/>
                <w:sz w:val="20"/>
              </w:rPr>
              <w:t>Privilege amplification</w:t>
            </w:r>
          </w:p>
        </w:tc>
        <w:tc>
          <w:tcPr>
            <w:tcW w:type="dxa" w:w="2126"/>
            <w:shd w:val="clear" w:color="auto" w:fill="EBF3FB"/>
          </w:tcPr>
          <w:p>
            <w:pPr>
              <w:jc w:val="center"/>
            </w:pPr>
            <w:r/>
            <w:r>
              <w:rPr>
                <w:rFonts w:ascii="Times New Roman" w:hAnsi="Times New Roman"/>
                <w:b w:val="0"/>
                <w:i w:val="0"/>
                <w:sz w:val="20"/>
              </w:rPr>
              <w:t>OLS (Newey–West, 1 lag)</w:t>
            </w:r>
          </w:p>
        </w:tc>
        <w:tc>
          <w:tcPr>
            <w:tcW w:type="dxa" w:w="2126"/>
            <w:shd w:val="clear" w:color="auto" w:fill="EBF3FB"/>
          </w:tcPr>
          <w:p>
            <w:pPr>
              <w:jc w:val="center"/>
            </w:pPr>
            <w:r/>
            <w:r>
              <w:rPr>
                <w:rFonts w:ascii="Times New Roman" w:hAnsi="Times New Roman"/>
                <w:b w:val="0"/>
                <w:i w:val="0"/>
                <w:sz w:val="20"/>
              </w:rPr>
              <w:t>β₁ = −7.57*** (p = 0.004)</w:t>
            </w:r>
          </w:p>
        </w:tc>
        <w:tc>
          <w:tcPr>
            <w:tcW w:type="dxa" w:w="2126"/>
            <w:shd w:val="clear" w:color="auto" w:fill="EBF3FB"/>
          </w:tcPr>
          <w:p>
            <w:pPr>
              <w:jc w:val="center"/>
            </w:pPr>
            <w:r/>
            <w:r>
              <w:rPr>
                <w:rFonts w:ascii="Times New Roman" w:hAnsi="Times New Roman"/>
                <w:b w:val="0"/>
                <w:i w:val="0"/>
                <w:sz w:val="20"/>
              </w:rPr>
              <w:t>✓  Confirmed</w:t>
            </w:r>
          </w:p>
        </w:tc>
      </w:tr>
      <w:tr>
        <w:tc>
          <w:tcPr>
            <w:tcW w:type="dxa" w:w="2126"/>
            <w:shd w:val="clear" w:color="auto" w:fill="FFFFFF"/>
          </w:tcPr>
          <w:p>
            <w:pPr>
              <w:jc w:val="left"/>
            </w:pPr>
            <w:r/>
            <w:r>
              <w:rPr>
                <w:rFonts w:ascii="Times New Roman" w:hAnsi="Times New Roman"/>
                <w:b w:val="0"/>
                <w:i w:val="0"/>
                <w:sz w:val="20"/>
              </w:rPr>
              <w:t>Reserve threshold</w:t>
            </w:r>
          </w:p>
        </w:tc>
        <w:tc>
          <w:tcPr>
            <w:tcW w:type="dxa" w:w="2126"/>
            <w:shd w:val="clear" w:color="auto" w:fill="FFFFFF"/>
          </w:tcPr>
          <w:p>
            <w:pPr>
              <w:jc w:val="center"/>
            </w:pPr>
            <w:r/>
            <w:r>
              <w:rPr>
                <w:rFonts w:ascii="Times New Roman" w:hAnsi="Times New Roman"/>
                <w:b w:val="0"/>
                <w:i w:val="0"/>
                <w:sz w:val="20"/>
              </w:rPr>
              <w:t>Hansen (2000) grid search</w:t>
            </w:r>
          </w:p>
        </w:tc>
        <w:tc>
          <w:tcPr>
            <w:tcW w:type="dxa" w:w="2126"/>
            <w:shd w:val="clear" w:color="auto" w:fill="FFFFFF"/>
          </w:tcPr>
          <w:p>
            <w:pPr>
              <w:jc w:val="center"/>
            </w:pPr>
            <w:r/>
            <w:r>
              <w:rPr>
                <w:rFonts w:ascii="Times New Roman" w:hAnsi="Times New Roman"/>
                <w:b w:val="0"/>
                <w:i w:val="0"/>
                <w:sz w:val="20"/>
              </w:rPr>
              <w:t>q* = 13.0%  (p = 0.406, suggestive)</w:t>
            </w:r>
          </w:p>
        </w:tc>
        <w:tc>
          <w:tcPr>
            <w:tcW w:type="dxa" w:w="2126"/>
            <w:shd w:val="clear" w:color="auto" w:fill="FFFFFF"/>
          </w:tcPr>
          <w:p>
            <w:pPr>
              <w:jc w:val="center"/>
            </w:pPr>
            <w:r/>
            <w:r>
              <w:rPr>
                <w:rFonts w:ascii="Times New Roman" w:hAnsi="Times New Roman"/>
                <w:b w:val="0"/>
                <w:i w:val="0"/>
                <w:sz w:val="20"/>
              </w:rPr>
              <w:t>Economically meaningful</w:t>
            </w:r>
          </w:p>
        </w:tc>
      </w:tr>
      <w:tr>
        <w:tc>
          <w:tcPr>
            <w:tcW w:type="dxa" w:w="2126"/>
            <w:shd w:val="clear" w:color="auto" w:fill="EBF3FB"/>
          </w:tcPr>
          <w:p>
            <w:pPr>
              <w:jc w:val="left"/>
            </w:pPr>
            <w:r/>
            <w:r>
              <w:rPr>
                <w:rFonts w:ascii="Times New Roman" w:hAnsi="Times New Roman"/>
                <w:b w:val="0"/>
                <w:i w:val="0"/>
                <w:sz w:val="20"/>
              </w:rPr>
              <w:t>Threshold robustness</w:t>
            </w:r>
          </w:p>
        </w:tc>
        <w:tc>
          <w:tcPr>
            <w:tcW w:type="dxa" w:w="2126"/>
            <w:shd w:val="clear" w:color="auto" w:fill="EBF3FB"/>
          </w:tcPr>
          <w:p>
            <w:pPr>
              <w:jc w:val="center"/>
            </w:pPr>
            <w:r/>
            <w:r>
              <w:rPr>
                <w:rFonts w:ascii="Times New Roman" w:hAnsi="Times New Roman"/>
                <w:b w:val="0"/>
                <w:i w:val="0"/>
                <w:sz w:val="20"/>
              </w:rPr>
              <w:t>TRIM 15%/20%/25%</w:t>
            </w:r>
          </w:p>
        </w:tc>
        <w:tc>
          <w:tcPr>
            <w:tcW w:type="dxa" w:w="2126"/>
            <w:shd w:val="clear" w:color="auto" w:fill="EBF3FB"/>
          </w:tcPr>
          <w:p>
            <w:pPr>
              <w:jc w:val="center"/>
            </w:pPr>
            <w:r/>
            <w:r>
              <w:rPr>
                <w:rFonts w:ascii="Times New Roman" w:hAnsi="Times New Roman"/>
                <w:b w:val="0"/>
                <w:i w:val="0"/>
                <w:sz w:val="20"/>
              </w:rPr>
              <w:t>q* = 0.1301 at all three values</w:t>
            </w:r>
          </w:p>
        </w:tc>
        <w:tc>
          <w:tcPr>
            <w:tcW w:type="dxa" w:w="2126"/>
            <w:shd w:val="clear" w:color="auto" w:fill="EBF3FB"/>
          </w:tcPr>
          <w:p>
            <w:pPr>
              <w:jc w:val="center"/>
            </w:pPr>
            <w:r/>
            <w:r>
              <w:rPr>
                <w:rFonts w:ascii="Times New Roman" w:hAnsi="Times New Roman"/>
                <w:b w:val="0"/>
                <w:i w:val="0"/>
                <w:sz w:val="20"/>
              </w:rPr>
              <w:t>✓  Stable</w:t>
            </w:r>
          </w:p>
        </w:tc>
      </w:tr>
      <w:tr>
        <w:tc>
          <w:tcPr>
            <w:tcW w:type="dxa" w:w="2126"/>
            <w:shd w:val="clear" w:color="auto" w:fill="FFFFFF"/>
          </w:tcPr>
          <w:p>
            <w:pPr>
              <w:jc w:val="left"/>
            </w:pPr>
            <w:r/>
            <w:r>
              <w:rPr>
                <w:rFonts w:ascii="Times New Roman" w:hAnsi="Times New Roman"/>
                <w:b w:val="0"/>
                <w:i w:val="0"/>
                <w:sz w:val="20"/>
              </w:rPr>
              <w:t>Smooth-transition check</w:t>
            </w:r>
          </w:p>
        </w:tc>
        <w:tc>
          <w:tcPr>
            <w:tcW w:type="dxa" w:w="2126"/>
            <w:shd w:val="clear" w:color="auto" w:fill="FFFFFF"/>
          </w:tcPr>
          <w:p>
            <w:pPr>
              <w:jc w:val="center"/>
            </w:pPr>
            <w:r/>
            <w:r>
              <w:rPr>
                <w:rFonts w:ascii="Times New Roman" w:hAnsi="Times New Roman"/>
                <w:b w:val="0"/>
                <w:i w:val="0"/>
                <w:sz w:val="20"/>
              </w:rPr>
              <w:t>LSTAR (NLS)</w:t>
            </w:r>
          </w:p>
        </w:tc>
        <w:tc>
          <w:tcPr>
            <w:tcW w:type="dxa" w:w="2126"/>
            <w:shd w:val="clear" w:color="auto" w:fill="FFFFFF"/>
          </w:tcPr>
          <w:p>
            <w:pPr>
              <w:jc w:val="center"/>
            </w:pPr>
            <w:r/>
            <w:r>
              <w:rPr>
                <w:rFonts w:ascii="Times New Roman" w:hAnsi="Times New Roman"/>
                <w:b w:val="0"/>
                <w:i w:val="0"/>
                <w:sz w:val="20"/>
              </w:rPr>
              <w:t>c* = 14.9%  (γ* = 29.8)</w:t>
            </w:r>
          </w:p>
        </w:tc>
        <w:tc>
          <w:tcPr>
            <w:tcW w:type="dxa" w:w="2126"/>
            <w:shd w:val="clear" w:color="auto" w:fill="FFFFFF"/>
          </w:tcPr>
          <w:p>
            <w:pPr>
              <w:jc w:val="center"/>
            </w:pPr>
            <w:r/>
            <w:r>
              <w:rPr>
                <w:rFonts w:ascii="Times New Roman" w:hAnsi="Times New Roman"/>
                <w:b w:val="0"/>
                <w:i w:val="0"/>
                <w:sz w:val="20"/>
              </w:rPr>
              <w:t>✓  Convergent validity</w:t>
            </w:r>
          </w:p>
        </w:tc>
      </w:tr>
      <w:tr>
        <w:tc>
          <w:tcPr>
            <w:tcW w:type="dxa" w:w="2126"/>
            <w:shd w:val="clear" w:color="auto" w:fill="EBF3FB"/>
          </w:tcPr>
          <w:p>
            <w:pPr>
              <w:jc w:val="left"/>
            </w:pPr>
            <w:r/>
            <w:r>
              <w:rPr>
                <w:rFonts w:ascii="Times New Roman" w:hAnsi="Times New Roman"/>
                <w:b w:val="0"/>
                <w:i w:val="0"/>
                <w:sz w:val="20"/>
              </w:rPr>
              <w:t>Mechanism validation</w:t>
            </w:r>
          </w:p>
        </w:tc>
        <w:tc>
          <w:tcPr>
            <w:tcW w:type="dxa" w:w="2126"/>
            <w:shd w:val="clear" w:color="auto" w:fill="EBF3FB"/>
          </w:tcPr>
          <w:p>
            <w:pPr>
              <w:jc w:val="center"/>
            </w:pPr>
            <w:r/>
            <w:r>
              <w:rPr>
                <w:rFonts w:ascii="Times New Roman" w:hAnsi="Times New Roman"/>
                <w:b w:val="0"/>
                <w:i w:val="0"/>
                <w:sz w:val="20"/>
              </w:rPr>
              <w:t>Bid-cover, USDT vs. USDC</w:t>
            </w:r>
          </w:p>
        </w:tc>
        <w:tc>
          <w:tcPr>
            <w:tcW w:type="dxa" w:w="2126"/>
            <w:shd w:val="clear" w:color="auto" w:fill="EBF3FB"/>
          </w:tcPr>
          <w:p>
            <w:pPr>
              <w:jc w:val="center"/>
            </w:pPr>
            <w:r/>
            <w:r>
              <w:rPr>
                <w:rFonts w:ascii="Times New Roman" w:hAnsi="Times New Roman"/>
                <w:b w:val="0"/>
                <w:i w:val="0"/>
                <w:sz w:val="20"/>
              </w:rPr>
              <w:t>β_USDT &lt; 0** at 4 maturities; USDC n.s.</w:t>
            </w:r>
          </w:p>
        </w:tc>
        <w:tc>
          <w:tcPr>
            <w:tcW w:type="dxa" w:w="2126"/>
            <w:shd w:val="clear" w:color="auto" w:fill="EBF3FB"/>
          </w:tcPr>
          <w:p>
            <w:pPr>
              <w:jc w:val="center"/>
            </w:pPr>
            <w:r/>
            <w:r>
              <w:rPr>
                <w:rFonts w:ascii="Times New Roman" w:hAnsi="Times New Roman"/>
                <w:b w:val="0"/>
                <w:i w:val="0"/>
                <w:sz w:val="20"/>
              </w:rPr>
              <w:t>✓  Reserve-composition channel</w:t>
            </w:r>
          </w:p>
        </w:tc>
      </w:tr>
      <w:tr>
        <w:tc>
          <w:tcPr>
            <w:tcW w:type="dxa" w:w="2126"/>
            <w:shd w:val="clear" w:color="auto" w:fill="FFFFFF"/>
          </w:tcPr>
          <w:p>
            <w:pPr>
              <w:jc w:val="left"/>
            </w:pPr>
            <w:r/>
            <w:r>
              <w:rPr>
                <w:rFonts w:ascii="Times New Roman" w:hAnsi="Times New Roman"/>
                <w:b w:val="0"/>
                <w:i w:val="0"/>
                <w:sz w:val="20"/>
              </w:rPr>
              <w:t>Event study</w:t>
            </w:r>
          </w:p>
        </w:tc>
        <w:tc>
          <w:tcPr>
            <w:tcW w:type="dxa" w:w="2126"/>
            <w:shd w:val="clear" w:color="auto" w:fill="FFFFFF"/>
          </w:tcPr>
          <w:p>
            <w:pPr>
              <w:jc w:val="center"/>
            </w:pPr>
            <w:r/>
            <w:r>
              <w:rPr>
                <w:rFonts w:ascii="Times New Roman" w:hAnsi="Times New Roman"/>
                <w:b w:val="0"/>
                <w:i w:val="0"/>
                <w:sz w:val="20"/>
              </w:rPr>
              <w:t>First-diff normal model</w:t>
            </w:r>
          </w:p>
        </w:tc>
        <w:tc>
          <w:tcPr>
            <w:tcW w:type="dxa" w:w="2126"/>
            <w:shd w:val="clear" w:color="auto" w:fill="FFFFFF"/>
          </w:tcPr>
          <w:p>
            <w:pPr>
              <w:jc w:val="center"/>
            </w:pPr>
            <w:r/>
            <w:r>
              <w:rPr>
                <w:rFonts w:ascii="Times New Roman" w:hAnsi="Times New Roman"/>
                <w:b w:val="0"/>
                <w:i w:val="0"/>
                <w:sz w:val="20"/>
              </w:rPr>
              <w:t>CARs all n.s. — qualitative only</w:t>
            </w:r>
          </w:p>
        </w:tc>
        <w:tc>
          <w:tcPr>
            <w:tcW w:type="dxa" w:w="2126"/>
            <w:shd w:val="clear" w:color="auto" w:fill="FFFFFF"/>
          </w:tcPr>
          <w:p>
            <w:pPr>
              <w:jc w:val="center"/>
            </w:pPr>
            <w:r/>
            <w:r>
              <w:rPr>
                <w:rFonts w:ascii="Times New Roman" w:hAnsi="Times New Roman"/>
                <w:b w:val="0"/>
                <w:i w:val="0"/>
                <w:sz w:val="20"/>
              </w:rPr>
              <w:t>Directional context</w:t>
            </w:r>
          </w:p>
        </w:tc>
      </w:tr>
    </w:tbl>
    <w:p>
      <w:pPr>
        <w:spacing w:before="40" w:after="200"/>
      </w:pPr>
      <w:r>
        <w:rPr>
          <w:rFonts w:ascii="Times New Roman" w:hAnsi="Times New Roman"/>
          <w:b w:val="0"/>
          <w:i/>
          <w:sz w:val="18"/>
        </w:rPr>
        <w:t>Note: Summary of the five complementary results in Section 5. The bid-cover validation uses a separate dependent variable (T-bill auction bid-cover ratio) and does not affect the spread regression, threshold, or LSTAR estimates — it provides independent mechanism-consistent evidence for the T-bill demand channel.</w:t>
      </w:r>
    </w:p>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formal evidence that large-scale USD-pegged stablecoins introduce a two-sided 'New Triffin Dilemma' into the international monetary system. In normal times, stablecoin issuance amplifies U.S. exorbitant privilege by compressing OIS–Treasury spreads (β₁ = −7.57, p = 0.004).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−2.80), while above it the effect reverses (β_ΔlnS = +1.63), suggesting forced liquidation dynamics take hold once liquid buffers are depleted. Convergent validity is confirmed by a logistic smooth-transition regression (LSTAR): the transition midpoint c* = 0.1490 is virtually identical to Hansen's q* = 0.1301, and the moderate-sharpness (γ* = 29.8) independently validates the sharp-switch assumption. Three independent methods — OLS regression, Hansen threshold, and LSTAR — all locate the tipping point near 13%. An auction-level mechanism validation further confirms that the channel operates through reserve composition: USDT supply growth significantly reduces T-bill bid-cover ratios at all four maturities tested, while USDC supply growth does not — consistent with Tether's T-bill-heavy reserve policy driving the auction-side T-bill demand that underlies our spread result.</w:t>
      </w:r>
    </w:p>
    <w:p>
      <w:pPr>
        <w:spacing w:before="0" w:after="160"/>
      </w:pPr>
      <w:r>
        <w:rPr>
          <w:rFonts w:ascii="Times New Roman" w:hAnsi="Times New Roman"/>
          <w:b w:val="0"/>
          <w:i w:val="0"/>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[3.1%, 14.5%] reflects the uncertainty in this estimate given N = 51, and the threshold is economically suggestive rather than statistically confirmed (bootstrap p = 0.406).</w:t>
      </w:r>
    </w:p>
    <w:p>
      <w:pPr>
        <w:spacing w:before="0" w:after="200"/>
      </w:pPr>
      <w:r>
        <w:rPr>
          <w:rFonts w:ascii="Times New Roman" w:hAnsi="Times New Roman"/>
          <w:sz w:val="24"/>
        </w:rPr>
        <w:t>Several limitations warrant acknowledgment. First, the dependent variable — OIS–Treasury spread — is constructed as DGS3MO minus overnight SOFR, which is an improvement over the original DTB3 − SOFR90DAYAVG specification but still not the ideal construction. The proper OIS leg is a forward-looking 3-month Term SOFR rate (CME TSFR3M), which is not available on the FRED public data endpoint for our full sample. Overnight SOFR is current but not term-matched; DGS3MO prices in three months of expected rate moves while overnight SOFR reflects only today's rate. The residual term premium in our spread is an acknowledged limitation. Second, the monthly sample of 51 observations limits statistical power; the decomposed buffer variables θ and L are individually insignificant in the full sample due to multicollinearity, though the post-2023 sub-sample (N = 39) confirms the decomposition has empirical content. Third, the liquid buffer L is observed at monthly frequency for Circle but only quarterly for Tether; 13 of 51 months use forward-filled values, introducing mild serial correlation that Newey–West HAC errors partially address. One period — November 2022 — had a near-zero cash-reserve value (1.1×10⁻⁸ bn) returned by the web-extraction script, a scraping artifact rather than a true zero; this observation is treated as missing and forward-filled from October 2022 (L = 18.4%), placing it correctly in the high-buffer regime consistent with pre-FTX economic conditions. Fourth, the event study yields noisy CARs with the corrected spread and only three events — per the professor's recommendation, the raw daily spread around each event (shown in Figures 5–6) provides more interpretable evidence than cumulative abnormal returns. Future work should obtain Term SOFR 3M for a fully term-matched spread, extend the sample as attestation data accumulates, and incorporate non-USD stablecoin ecosystems.</w:t>
      </w:r>
    </w:p>
    <w:p>
      <w:r>
        <w:br w:type="page"/>
      </w:r>
    </w:p>
    <w:p>
      <w:pPr>
        <w:spacing w:before="240" w:after="120"/>
      </w:pPr>
      <w:r>
        <w:rPr>
          <w:rFonts w:ascii="Times New Roman" w:hAnsi="Times New Roman"/>
          <w:b/>
          <w:i w:val="0"/>
          <w:sz w:val="26"/>
        </w:rPr>
        <w:t>Acknowledgments</w:t>
      </w:r>
    </w:p>
    <w:p>
      <w:pPr>
        <w:spacing w:before="0" w:after="0"/>
      </w:pPr>
      <w:r>
        <w:rPr>
          <w:rFonts w:ascii="Times New Roman" w:hAnsi="Times New Roman"/>
          <w:b w:val="0"/>
          <w:i w:val="0"/>
          <w:sz w:val="24"/>
        </w:rPr>
        <w:t xml:space="preserve">The authors thank Professor Hur Sewon and participants at the Yonsei GSIS Topics in International Finance seminar (2026-1) for valuable comments and suggestions. All errors are our own. Replication code and data are available at the project repository: </w:t>
      </w:r>
    </w:p>
    <w:p>
      <w:pPr>
        <w:spacing w:before="0" w:after="200"/>
      </w:pP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Duffie, D. (2022). Digital currencies and fast payment systems: Disruption is coming. Working Paper, Stanford University.</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MacKinlay, A.C. (1997). Event studies in economics and finance. Journal of Economic Literature, 35(1), 13–39.</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Methodological Notes</w:t>
      </w:r>
    </w:p>
    <w:p>
      <w:pPr>
        <w:spacing w:before="0" w:after="160"/>
      </w:pPr>
      <w:r>
        <w:rPr>
          <w:rFonts w:ascii="Times New Roman" w:hAnsi="Times New Roman"/>
          <w:b w:val="0"/>
          <w:i w:val="0"/>
          <w:sz w:val="24"/>
        </w:rPr>
        <w:t>The following notes explain the justification, construction, and axis definitions for the tools and measures used in this paper. Numbers in brackets such as [1] or [1,2] in table and figure notes refer to the entries below.</w:t>
      </w:r>
    </w:p>
    <w:p>
      <w:pPr>
        <w:spacing w:before="40" w:after="120"/>
        <w:ind w:left="340" w:hanging="340"/>
      </w:pPr>
      <w:r>
        <w:rPr>
          <w:rFonts w:ascii="Times New Roman" w:hAnsi="Times New Roman"/>
          <w:b/>
          <w:i w:val="0"/>
          <w:sz w:val="20"/>
        </w:rPr>
        <w:t xml:space="preserve">[1] OIS–Treasury Spread — What It Measures and Why. </w:t>
      </w:r>
      <w:r>
        <w:rPr>
          <w:rFonts w:ascii="Times New Roman" w:hAnsi="Times New Roman"/>
          <w:b w:val="0"/>
          <w:i w:val="0"/>
          <w:sz w:val="20"/>
        </w:rPr>
        <w:t>The OIS–Treasury spread measures the T-bill convenience yield: the premium investors accept to hold risk-free government paper relative to an uncollateralised overnight-indexed swap of the same tenor. A negative spread means T-bills trade 'rich' to the risk-free rate, reflecting strong safe-asset demand — the channel this paper studies. We use DGS3MO (3-month constant-maturity, bond-equivalent yield) rather than DTB3 (discount basis) for the T-bill leg: discount-basis yields understate the true return by approximately 5–10 bps, creating a systematic downward bias in the spread. In all figures the y-axis is in percentage points (pp); 0.10 pp = 10 basis points. A value near zero is normal; 10 bps is economically large for a convenience yield.</w:t>
      </w:r>
    </w:p>
    <w:p>
      <w:pPr>
        <w:spacing w:before="40" w:after="120"/>
        <w:ind w:left="340" w:hanging="340"/>
      </w:pPr>
      <w:r>
        <w:rPr>
          <w:rFonts w:ascii="Times New Roman" w:hAnsi="Times New Roman"/>
          <w:b/>
          <w:i w:val="0"/>
          <w:sz w:val="20"/>
        </w:rPr>
        <w:t xml:space="preserve">[2] Overnight SOFR as OIS Proxy — Why Not Term SOFR 3M?. </w:t>
      </w:r>
      <w:r>
        <w:rPr>
          <w:rFonts w:ascii="Times New Roman" w:hAnsi="Times New Roman"/>
          <w:b w:val="0"/>
          <w:i w:val="0"/>
          <w:sz w:val="20"/>
        </w:rPr>
        <w:t>The ideal OIS leg is CME Term SOFR 3M — a forward-looking 3-month overnight-indexed swap rate published since July 2021, not available on FRED for our full sample. Overnight SOFR is the best available alternative: it is current (not backward-looking), but lags the 3-month T-bill by the market’s expectation of future hikes, leaving a residual term premium. The original SOFR90DAYAVG (90-day trailing average) was far worse: it lagged overnight SOFR by up to 119 bps during the 2022 hiking cycle, inflating the spread to 84 bps mean — a Fed-policy artifact. Overnight SOFR reduces this to 16.6 bps mean.</w:t>
      </w:r>
    </w:p>
    <w:p>
      <w:pPr>
        <w:spacing w:before="40" w:after="120"/>
        <w:ind w:left="340" w:hanging="340"/>
      </w:pPr>
      <w:r>
        <w:rPr>
          <w:rFonts w:ascii="Times New Roman" w:hAnsi="Times New Roman"/>
          <w:b/>
          <w:i w:val="0"/>
          <w:sz w:val="20"/>
        </w:rPr>
        <w:t xml:space="preserve">[3] Newey–West HAC Standard Errors — Why and Lag Choice. </w:t>
      </w:r>
      <w:r>
        <w:rPr>
          <w:rFonts w:ascii="Times New Roman" w:hAnsi="Times New Roman"/>
          <w:b w:val="0"/>
          <w:i w:val="0"/>
          <w:sz w:val="20"/>
        </w:rPr>
        <w:t>OLS standard errors are inconsistent under autocorrelation or heteroscedasticity, both typical in monthly macro panels. Newey and West (1987) provide a consistent covariance estimator under both problems simultaneously. We use 1 lag following the rule-of-thumb T^(1/4) ≈ 2.7 for N = 51. Robustness checks at 2 and 3 lags produce materially similar inference. HAC corrects only for error-term properties — it does not address endogeneity or omitted variables.</w:t>
      </w:r>
    </w:p>
    <w:p>
      <w:pPr>
        <w:spacing w:before="40" w:after="120"/>
        <w:ind w:left="340" w:hanging="340"/>
      </w:pPr>
      <w:r>
        <w:rPr>
          <w:rFonts w:ascii="Times New Roman" w:hAnsi="Times New Roman"/>
          <w:b/>
          <w:i w:val="0"/>
          <w:sz w:val="20"/>
        </w:rPr>
        <w:t xml:space="preserve">[4] Buffer-Ratio Spec as Primary Result — Multicollinearity Explained. </w:t>
      </w:r>
      <w:r>
        <w:rPr>
          <w:rFonts w:ascii="Times New Roman" w:hAnsi="Times New Roman"/>
          <w:b w:val="0"/>
          <w:i w:val="0"/>
          <w:sz w:val="20"/>
        </w:rPr>
        <w:t>Column (1) includes θ, L, and L×ΔlnS separately. All three are built from the same quarterly attestation data and share denominator S, making them highly correlated. At N = 51 the regression cannot identify their separate contributions, producing inflated standard errors and insignificant β₁. Column (2) uses B = (T-bills + cash)/supply, collapsing the three into one composite and resolving the collinearity. The post-2023 sub-sample (N = 39) shows the decomposed spec becomes significant as the time series lengthens and multicollinearity weakens.</w:t>
      </w:r>
    </w:p>
    <w:p>
      <w:pPr>
        <w:spacing w:before="40" w:after="120"/>
        <w:ind w:left="340" w:hanging="340"/>
      </w:pPr>
      <w:r>
        <w:rPr>
          <w:rFonts w:ascii="Times New Roman" w:hAnsi="Times New Roman"/>
          <w:b/>
          <w:i w:val="0"/>
          <w:sz w:val="20"/>
        </w:rPr>
        <w:t xml:space="preserve">[5] Hansen (2000) Threshold Regression — Methodology and Inference. </w:t>
      </w:r>
      <w:r>
        <w:rPr>
          <w:rFonts w:ascii="Times New Roman" w:hAnsi="Times New Roman"/>
          <w:b w:val="0"/>
          <w:i w:val="0"/>
          <w:sz w:val="20"/>
        </w:rPr>
        <w:t>Hansen (2000) estimates a structural break in regression coefficients at an unknown threshold in a continuous variable — here the liquid buffer L. The threshold q* minimises the residual sum of squares (SSR) over a grid of candidate values (Figure 2). Standard asymptotic inference does not apply under H₀: no threshold (the threshold parameter is unidentified under the null), so we use bootstrap likelihood-ratio statistics: 1,000 bootstrap samples, re-estimate each time, p-value from the empirical LR distribution. This is preferable to arbitrary thresholds (e.g. median) because q* is estimated endogenously from the data.</w:t>
      </w:r>
    </w:p>
    <w:p>
      <w:pPr>
        <w:spacing w:before="40" w:after="120"/>
        <w:ind w:left="340" w:hanging="340"/>
      </w:pPr>
      <w:r>
        <w:rPr>
          <w:rFonts w:ascii="Times New Roman" w:hAnsi="Times New Roman"/>
          <w:b/>
          <w:i w:val="0"/>
          <w:sz w:val="20"/>
        </w:rPr>
        <w:t xml:space="preserve">[6] TRIM Parameter — What It Is and Why 15%. </w:t>
      </w:r>
      <w:r>
        <w:rPr>
          <w:rFonts w:ascii="Times New Roman" w:hAnsi="Times New Roman"/>
          <w:b w:val="0"/>
          <w:i w:val="0"/>
          <w:sz w:val="20"/>
        </w:rPr>
        <w:t>TRIM excludes the outermost fraction of the threshold variable from the candidate grid, preventing the estimated threshold from splitting the sample into very small regimes where coefficient estimates are unreliable. Hansen’s recommended 15% is our baseline. Figure 3 shows q* = 0.1301 at TRIM = 15%, 20%, and 25%, ruling out a grid-boundary artifact. X-axis in Figure 3: TRIM value. Y-axis: estimated q*.</w:t>
      </w:r>
    </w:p>
    <w:p>
      <w:pPr>
        <w:spacing w:before="40" w:after="120"/>
        <w:ind w:left="340" w:hanging="340"/>
      </w:pPr>
      <w:r>
        <w:rPr>
          <w:rFonts w:ascii="Times New Roman" w:hAnsi="Times New Roman"/>
          <w:b/>
          <w:i w:val="0"/>
          <w:sz w:val="20"/>
        </w:rPr>
        <w:t xml:space="preserve">[7] LSTAR — Why Smooth Transition? What Does γ* Mean?. </w:t>
      </w:r>
      <w:r>
        <w:rPr>
          <w:rFonts w:ascii="Times New Roman" w:hAnsi="Times New Roman"/>
          <w:b w:val="0"/>
          <w:i w:val="0"/>
          <w:sz w:val="20"/>
        </w:rPr>
        <w:t>Hansen (2000) forces a binary regime switch. LSTAR (Teräsvirta 1994) replaces the step function with G(L; γ, c) = [1 + exp(−γ(L−c))]⁻¹. As γ → ∞, G(L) → step function, recovering Hansen’s model. c is the L value where regime weight = 0.5 (transition midpoint). γ* = 29.8 indicates a gradual transition — the corrected spread supports a continuous mechanism rather than a discrete switch. Both models are estimated independently; Hansen q* inside LSTAR CI provides cross-model validation. Figure 4 left panel y-axis: G(L) ∈ [0,1]; right panel y-axis: effective β (marginal effect of ΔlnS on spread); dashed line marks c* = 14.9%.</w:t>
      </w:r>
    </w:p>
    <w:p>
      <w:pPr>
        <w:spacing w:before="40" w:after="120"/>
        <w:ind w:left="340" w:hanging="340"/>
      </w:pPr>
      <w:r>
        <w:rPr>
          <w:rFonts w:ascii="Times New Roman" w:hAnsi="Times New Roman"/>
          <w:b/>
          <w:i w:val="0"/>
          <w:sz w:val="20"/>
        </w:rPr>
        <w:t xml:space="preserve">[8] CAR — Definition, Justification, and Axis Interpretation. </w:t>
      </w:r>
      <w:r>
        <w:rPr>
          <w:rFonts w:ascii="Times New Roman" w:hAnsi="Times New Roman"/>
          <w:b w:val="0"/>
          <w:i w:val="0"/>
          <w:sz w:val="20"/>
        </w:rPr>
        <w:t>Cumulative Abnormal Return (CAR) = cumulative sum of daily abnormal spread changes over the event window, following MacKinlay (1997). 'Abnormal' = actual daily change minus predicted change from a normal model estimated pre-event. Construction: (1) Estimate Δspread = f(ΔVIX, ΔlnN*) on [−0, −6]; (2) predict for each day in [−5, +20]; (3) sum residuals. Figure 6 x-axis (τ): trading days relative to event date (τ = 0). Y-axis: cumulative abnormal spread change in basis points. Positive CAR = spread widened more than expected (consistent with forced T-bill liquidation). Negative CAR = spread compressed more than expected (flight-to-safety demand). Window [−5, +20] chosen to capture 5 days of pre-event price discovery and 4 calendar weeks of post-event market absorption.</w:t>
      </w:r>
    </w:p>
    <w:p>
      <w:pPr>
        <w:spacing w:before="40" w:after="120"/>
        <w:ind w:left="340" w:hanging="340"/>
      </w:pPr>
      <w:r>
        <w:rPr>
          <w:rFonts w:ascii="Times New Roman" w:hAnsi="Times New Roman"/>
          <w:b/>
          <w:i w:val="0"/>
          <w:sz w:val="20"/>
        </w:rPr>
        <w:t xml:space="preserve">[9] First-Difference Normal Model — Why Not Level Model?. </w:t>
      </w:r>
      <w:r>
        <w:rPr>
          <w:rFonts w:ascii="Times New Roman" w:hAnsi="Times New Roman"/>
          <w:b w:val="0"/>
          <w:i w:val="0"/>
          <w:sz w:val="20"/>
        </w:rPr>
        <w:t>The original level model estimated spread = f(VIX, lnN*) over a Jan–May 2022 window. This window coincided with the Fed’s most aggressive hiking cycle in four decades: the spread rose from 5 bps to 78 bps purely from Fed policy, making event-date levels look abnormally high relative to the January baseline — inflating CARs ~120-fold. The first-difference model Δspread = f(ΔVIX, ΔlnN*) removes slow-moving trends by modelling daily changes, eliminating the hiking trend artifact. This is the standard fix for unit-root contamination in event study estimation windows.</w:t>
      </w:r>
    </w:p>
    <w:p>
      <w:pPr>
        <w:spacing w:before="40" w:after="120"/>
        <w:ind w:left="340" w:hanging="340"/>
      </w:pPr>
      <w:r>
        <w:rPr>
          <w:rFonts w:ascii="Times New Roman" w:hAnsi="Times New Roman"/>
          <w:b/>
          <w:i w:val="0"/>
          <w:sz w:val="20"/>
        </w:rPr>
        <w:t xml:space="preserve">[10] Event Window [−5, +20] — Choice Justification. </w:t>
      </w:r>
      <w:r>
        <w:rPr>
          <w:rFonts w:ascii="Times New Roman" w:hAnsi="Times New Roman"/>
          <w:b w:val="0"/>
          <w:i w:val="0"/>
          <w:sz w:val="20"/>
        </w:rPr>
        <w:t>Pre-event window of 5 days captures information leakage before official event dates (e.g. early Terra/LUNA stress signals, SVB deposit outflows). Post-event window of 20 trading days (~4 calendar weeks) allows time for forced T-bill selling to materialise and for price discovery to complete. Longer windows risk confounding with subsequent macro shocks; the FOMC meeting on May 4, 2022 (5 days before LUNA/UST) and March 22, 2023 (11 days after SVB) make tight windows especially important.</w:t>
      </w:r>
    </w:p>
    <w:p>
      <w:pPr>
        <w:spacing w:before="40" w:after="120"/>
        <w:ind w:left="340" w:hanging="340"/>
      </w:pPr>
      <w:r>
        <w:rPr>
          <w:rFonts w:ascii="Times New Roman" w:hAnsi="Times New Roman"/>
          <w:b/>
          <w:i w:val="0"/>
          <w:sz w:val="20"/>
        </w:rPr>
        <w:t xml:space="preserve">[11] Figure 1 — Panel and Axis Descriptions. </w:t>
      </w:r>
      <w:r>
        <w:rPr>
          <w:rFonts w:ascii="Times New Roman" w:hAnsi="Times New Roman"/>
          <w:b w:val="0"/>
          <w:i w:val="0"/>
          <w:sz w:val="20"/>
        </w:rPr>
        <w:t>Panel A: OIS–Treasury spread (DGS3MO − overnight SOFR), y-axis in pp. Near zero in 2021 (stable Fed); elevated 2022 (residual term premium from hiking); reverts toward zero by 2024–2026. Panel B: Combined USDT + USDC supply, y-axis in USD billions. Panel C: Aggregate liquid buffer L = cash reserves / supply (dimensionless). Horizontal dashed line marks q* = 0.1301 (13%); observations above = high-buffer regime, below = low-buffer regime.</w:t>
      </w:r>
    </w:p>
    <w:p>
      <w:pPr>
        <w:spacing w:before="40" w:after="120"/>
        <w:ind w:left="340" w:hanging="340"/>
      </w:pPr>
      <w:r>
        <w:rPr>
          <w:rFonts w:ascii="Times New Roman" w:hAnsi="Times New Roman"/>
          <w:b/>
          <w:i w:val="0"/>
          <w:sz w:val="20"/>
        </w:rPr>
        <w:t xml:space="preserve">[12] Figure 2 — Hansen SSR Profile: Axes and Interpretation. </w:t>
      </w:r>
      <w:r>
        <w:rPr>
          <w:rFonts w:ascii="Times New Roman" w:hAnsi="Times New Roman"/>
          <w:b w:val="0"/>
          <w:i w:val="0"/>
          <w:sz w:val="20"/>
        </w:rPr>
        <w:t>X-axis: candidate threshold values for L (trimmed 15th–85th percentile). Y-axis: sum of squared residuals from the threshold regression at each candidate q. The global minimum at q* = 0.1301 (red dashed line) defines the threshold estimate. The shaded region is the bootstrap 90% CI from 1,000 bootstrap samples. A pronounced valley indicates a well-identified threshold; a shallow profile indicates uncertainty — consistent with bootstrap p = 0.406.</w:t>
      </w:r>
    </w:p>
    <w:p>
      <w:pPr>
        <w:spacing w:before="40" w:after="120"/>
        <w:ind w:left="340" w:hanging="340"/>
      </w:pPr>
      <w:r>
        <w:rPr>
          <w:rFonts w:ascii="Times New Roman" w:hAnsi="Times New Roman"/>
          <w:b/>
          <w:i w:val="0"/>
          <w:sz w:val="20"/>
        </w:rPr>
        <w:t xml:space="preserve">[13] Figure 4 — LSTAR Transition: Axes and Interpretation. </w:t>
      </w:r>
      <w:r>
        <w:rPr>
          <w:rFonts w:ascii="Times New Roman" w:hAnsi="Times New Roman"/>
          <w:b w:val="0"/>
          <w:i w:val="0"/>
          <w:sz w:val="20"/>
        </w:rPr>
        <w:t>Left panel x-axis: liquid buffer L; y-axis: G(L; γ*, c*) ∈ [0,1]. G = 1: fully in low-buffer regime; G = 0: fully in high-buffer regime. Transition midpoint c* = 14.9% shown as dashed vertical line. Right panel x-axis: L; y-axis: effective β (marginal effect of ΔlnS on spread). Effective β = β_high + δ·G(L) shifts continuously from β_high (large L) to β_high + δ (L near zero).</w:t>
      </w:r>
    </w:p>
    <w:p>
      <w:pPr>
        <w:spacing w:before="40" w:after="120"/>
        <w:ind w:left="340" w:hanging="340"/>
      </w:pPr>
      <w:r>
        <w:rPr>
          <w:rFonts w:ascii="Times New Roman" w:hAnsi="Times New Roman"/>
          <w:b/>
          <w:i w:val="0"/>
          <w:sz w:val="20"/>
        </w:rPr>
        <w:t xml:space="preserve">[14] Bid-Cover Ratio — Definition and Mechanism Link. </w:t>
      </w:r>
      <w:r>
        <w:rPr>
          <w:rFonts w:ascii="Times New Roman" w:hAnsi="Times New Roman"/>
          <w:b w:val="0"/>
          <w:i w:val="0"/>
          <w:sz w:val="20"/>
        </w:rPr>
        <w:t>Bid-cover = total competitive bids tendered / offering amount at a Treasury auction. Higher ratio = stronger competitive demand. Mechanism logic: if secondary-market T-bill yields fall due to stablecoin reserve buying, primary-market bidders face less attractive entry yields and may reduce quantities, lowering bid-cover. We use USDT vs. USDC as a natural experiment: both share the same macro environment, so differential effects isolate the reserve-composition channel. Wald test: H₀: β_USDT = β_USDC; rejection confirms the two issuers affect auctions differently, consistent with the reserve-composition hypothesis. Data: TreasuryDirect auction results API, 4/8/13/26-week T-bills, Jan 2021–Mar 2026.</w:t>
      </w:r>
    </w:p>
    <w:p>
      <w:pPr>
        <w:spacing w:before="40" w:after="120"/>
        <w:ind w:left="340" w:hanging="340"/>
      </w:pPr>
      <w:r>
        <w:rPr>
          <w:rFonts w:ascii="Times New Roman" w:hAnsi="Times New Roman"/>
          <w:sz w:val="20"/>
        </w:rPr>
        <w:t>[15] Reserve Attestation Forward-Fill — Methodology and Justification. Tether publishes attestations quarterly (March, June, September, December); Circle publishes monthly. Months without a direct attestation observation inherit the most recent reported value (forward-fill). Backward-fill is explicitly rejected on no-look-ahead grounds: December attestation data are not available in November, so assigning the December value to November would introduce future information into the conditioning variable. For the Hansen (2000) threshold and LSTAR models this distinction matters: forward-fill places November 2022 at L = 18.4% (above q* = 13%, high-buffer regime), while backward-fill would place it at L = 11.5% (below q*, low-buffer regime). Forward-fill is also consistent with how the threshold variable would be observed in real time by market participants. One additional data-quality step is applied: near-zero values in the web-extracted cash-reserve column (specifically, values below $1 million) are treated as missing rather than as true zero holdings, since they reflect scraping placeholders for unreported lines rather than an actual absence of cash reserves. These observations are then forward-filled from the preceding attestation.</w:t>
      </w:r>
    </w:p>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Post-2023 Sub-sample (N = 39)</w:t>
      </w:r>
    </w:p>
    <w:p>
      <w:pPr>
        <w:spacing w:before="0" w:after="160"/>
      </w:pPr>
      <w:r>
        <w:rPr>
          <w:rFonts w:ascii="Times New Roman" w:hAnsi="Times New Roman"/>
          <w:b w:val="0"/>
          <w:i w:val="0"/>
          <w:sz w:val="24"/>
        </w:rPr>
        <w:t>Restricting to January 2023 – March 2026 (N = 39), the period with broadest attestation coverage from both Tether and Circle, yields β₁ = −8.14 (p &lt; 0.001) and the L × ΔlnS interaction becomes significant (β₄ = 49.17, p = 0.004). This strengthening of the decomposition in the later sub-sample is consistent with improving data quality and suggests that the insignificance in the full N = 51 sample reflects a power constraint rather than an absence of the mechanism.</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BDD7EE"/>
          </w:tcPr>
          <w:p>
            <w:pPr>
              <w:jc w:val="left"/>
            </w:pPr>
            <w:r/>
            <w:r>
              <w:rPr>
                <w:rFonts w:ascii="Times New Roman" w:hAnsi="Times New Roman"/>
                <w:b/>
                <w:i w:val="0"/>
                <w:sz w:val="20"/>
              </w:rPr>
              <w:t>Test</w:t>
            </w:r>
          </w:p>
        </w:tc>
        <w:tc>
          <w:tcPr>
            <w:tcW w:type="dxa" w:w="2126"/>
            <w:shd w:val="clear" w:color="auto" w:fill="BDD7EE"/>
          </w:tcPr>
          <w:p>
            <w:pPr>
              <w:jc w:val="center"/>
            </w:pPr>
            <w:r/>
            <w:r>
              <w:rPr>
                <w:rFonts w:ascii="Times New Roman" w:hAnsi="Times New Roman"/>
                <w:b/>
                <w:i w:val="0"/>
                <w:sz w:val="20"/>
              </w:rPr>
              <w:t>Statistic</w:t>
            </w:r>
          </w:p>
        </w:tc>
        <w:tc>
          <w:tcPr>
            <w:tcW w:type="dxa" w:w="2126"/>
            <w:shd w:val="clear" w:color="auto" w:fill="BDD7EE"/>
          </w:tcPr>
          <w:p>
            <w:pPr>
              <w:jc w:val="center"/>
            </w:pPr>
            <w:r/>
            <w:r>
              <w:rPr>
                <w:rFonts w:ascii="Times New Roman" w:hAnsi="Times New Roman"/>
                <w:b/>
                <w:i w:val="0"/>
                <w:sz w:val="20"/>
              </w:rPr>
              <w:t>p-value</w:t>
            </w:r>
          </w:p>
        </w:tc>
        <w:tc>
          <w:tcPr>
            <w:tcW w:type="dxa" w:w="2126"/>
            <w:shd w:val="clear" w:color="auto" w:fill="BDD7EE"/>
          </w:tcPr>
          <w:p>
            <w:pPr>
              <w:jc w:val="left"/>
            </w:pPr>
            <w:r/>
            <w:r>
              <w:rPr>
                <w:rFonts w:ascii="Times New Roman" w:hAnsi="Times New Roman"/>
                <w:b/>
                <w:i w:val="0"/>
                <w:sz w:val="20"/>
              </w:rPr>
              <w:t>Conclusion</w:t>
            </w:r>
          </w:p>
        </w:tc>
      </w:tr>
      <w:tr>
        <w:tc>
          <w:tcPr>
            <w:tcW w:type="dxa" w:w="2126"/>
            <w:shd w:val="clear" w:color="auto" w:fill="EBF3FB"/>
          </w:tcPr>
          <w:p>
            <w:pPr>
              <w:jc w:val="left"/>
            </w:pPr>
            <w:r/>
            <w:r>
              <w:rPr>
                <w:rFonts w:ascii="Times New Roman" w:hAnsi="Times New Roman"/>
                <w:b w:val="0"/>
                <w:i w:val="0"/>
                <w:sz w:val="20"/>
              </w:rPr>
              <w:t>ADF — OIS–Treasury spread</w:t>
            </w:r>
          </w:p>
        </w:tc>
        <w:tc>
          <w:tcPr>
            <w:tcW w:type="dxa" w:w="2126"/>
            <w:shd w:val="clear" w:color="auto" w:fill="EBF3FB"/>
          </w:tcPr>
          <w:p>
            <w:pPr>
              <w:jc w:val="center"/>
            </w:pPr>
            <w:r/>
            <w:r>
              <w:rPr>
                <w:rFonts w:ascii="Times New Roman" w:hAnsi="Times New Roman"/>
                <w:b w:val="0"/>
                <w:i w:val="0"/>
                <w:sz w:val="20"/>
              </w:rPr>
              <w:t>−1.580</w:t>
            </w:r>
          </w:p>
        </w:tc>
        <w:tc>
          <w:tcPr>
            <w:tcW w:type="dxa" w:w="2126"/>
            <w:shd w:val="clear" w:color="auto" w:fill="EBF3FB"/>
          </w:tcPr>
          <w:p>
            <w:pPr>
              <w:jc w:val="center"/>
            </w:pPr>
            <w:r/>
            <w:r>
              <w:rPr>
                <w:rFonts w:ascii="Times New Roman" w:hAnsi="Times New Roman"/>
                <w:b w:val="0"/>
                <w:i w:val="0"/>
                <w:sz w:val="20"/>
              </w:rPr>
              <w:t>0.494</w:t>
            </w:r>
          </w:p>
        </w:tc>
        <w:tc>
          <w:tcPr>
            <w:tcW w:type="dxa" w:w="2126"/>
            <w:shd w:val="clear" w:color="auto" w:fill="EBF3FB"/>
          </w:tcPr>
          <w:p>
            <w:pPr>
              <w:jc w:val="left"/>
            </w:pPr>
            <w:r/>
            <w:r>
              <w:rPr>
                <w:rFonts w:ascii="Times New Roman" w:hAnsi="Times New Roman"/>
                <w:b w:val="0"/>
                <w:i w:val="0"/>
                <w:sz w:val="20"/>
              </w:rPr>
              <w:t>I(1) not rejected</w:t>
            </w:r>
          </w:p>
        </w:tc>
      </w:tr>
      <w:tr>
        <w:tc>
          <w:tcPr>
            <w:tcW w:type="dxa" w:w="2126"/>
          </w:tcPr>
          <w:p>
            <w:pPr>
              <w:jc w:val="left"/>
            </w:pPr>
            <w:r/>
            <w:r>
              <w:rPr>
                <w:rFonts w:ascii="Times New Roman" w:hAnsi="Times New Roman"/>
                <w:b w:val="0"/>
                <w:i w:val="0"/>
                <w:sz w:val="20"/>
              </w:rPr>
              <w:t>ADF — ΔlnS</w:t>
            </w:r>
          </w:p>
        </w:tc>
        <w:tc>
          <w:tcPr>
            <w:tcW w:type="dxa" w:w="2126"/>
          </w:tcPr>
          <w:p>
            <w:pPr>
              <w:jc w:val="center"/>
            </w:pPr>
            <w:r/>
            <w:r>
              <w:rPr>
                <w:rFonts w:ascii="Times New Roman" w:hAnsi="Times New Roman"/>
                <w:b w:val="0"/>
                <w:i w:val="0"/>
                <w:sz w:val="20"/>
              </w:rPr>
              <w:t>−4.007</w:t>
            </w:r>
          </w:p>
        </w:tc>
        <w:tc>
          <w:tcPr>
            <w:tcW w:type="dxa" w:w="2126"/>
          </w:tcPr>
          <w:p>
            <w:pPr>
              <w:jc w:val="center"/>
            </w:pPr>
            <w:r/>
            <w:r>
              <w:rPr>
                <w:rFonts w:ascii="Times New Roman" w:hAnsi="Times New Roman"/>
                <w:b w:val="0"/>
                <w:i w:val="0"/>
                <w:sz w:val="20"/>
              </w:rPr>
              <w:t>0.001</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ADF — θ (Treasury Exposure)</w:t>
            </w:r>
          </w:p>
        </w:tc>
        <w:tc>
          <w:tcPr>
            <w:tcW w:type="dxa" w:w="2126"/>
            <w:shd w:val="clear" w:color="auto" w:fill="EBF3FB"/>
          </w:tcPr>
          <w:p>
            <w:pPr>
              <w:jc w:val="center"/>
            </w:pPr>
            <w:r/>
            <w:r>
              <w:rPr>
                <w:rFonts w:ascii="Times New Roman" w:hAnsi="Times New Roman"/>
                <w:b w:val="0"/>
                <w:i w:val="0"/>
                <w:sz w:val="20"/>
              </w:rPr>
              <w:t>−3.026</w:t>
            </w:r>
          </w:p>
        </w:tc>
        <w:tc>
          <w:tcPr>
            <w:tcW w:type="dxa" w:w="2126"/>
            <w:shd w:val="clear" w:color="auto" w:fill="EBF3FB"/>
          </w:tcPr>
          <w:p>
            <w:pPr>
              <w:jc w:val="center"/>
            </w:pPr>
            <w:r/>
            <w:r>
              <w:rPr>
                <w:rFonts w:ascii="Times New Roman" w:hAnsi="Times New Roman"/>
                <w:b w:val="0"/>
                <w:i w:val="0"/>
                <w:sz w:val="20"/>
              </w:rPr>
              <w:t>0.033</w:t>
            </w:r>
          </w:p>
        </w:tc>
        <w:tc>
          <w:tcPr>
            <w:tcW w:type="dxa" w:w="2126"/>
            <w:shd w:val="clear" w:color="auto" w:fill="EBF3FB"/>
          </w:tcPr>
          <w:p>
            <w:pPr>
              <w:jc w:val="left"/>
            </w:pPr>
            <w:r/>
            <w:r>
              <w:rPr>
                <w:rFonts w:ascii="Times New Roman" w:hAnsi="Times New Roman"/>
                <w:b w:val="0"/>
                <w:i w:val="0"/>
                <w:sz w:val="20"/>
              </w:rPr>
              <w:t>Stationary ✓</w:t>
            </w:r>
          </w:p>
        </w:tc>
      </w:tr>
      <w:tr>
        <w:tc>
          <w:tcPr>
            <w:tcW w:type="dxa" w:w="2126"/>
          </w:tcPr>
          <w:p>
            <w:pPr>
              <w:jc w:val="left"/>
            </w:pPr>
            <w:r/>
            <w:r>
              <w:rPr>
                <w:rFonts w:ascii="Times New Roman" w:hAnsi="Times New Roman"/>
                <w:b w:val="0"/>
                <w:i w:val="0"/>
                <w:sz w:val="20"/>
              </w:rPr>
              <w:t>ADF — L (Liquid Buffer)</w:t>
            </w:r>
          </w:p>
        </w:tc>
        <w:tc>
          <w:tcPr>
            <w:tcW w:type="dxa" w:w="2126"/>
          </w:tcPr>
          <w:p>
            <w:pPr>
              <w:jc w:val="center"/>
            </w:pPr>
            <w:r/>
            <w:r>
              <w:rPr>
                <w:rFonts w:ascii="Times New Roman" w:hAnsi="Times New Roman"/>
                <w:b w:val="0"/>
                <w:i w:val="0"/>
                <w:sz w:val="20"/>
              </w:rPr>
              <w:t>−2.529</w:t>
            </w:r>
          </w:p>
        </w:tc>
        <w:tc>
          <w:tcPr>
            <w:tcW w:type="dxa" w:w="2126"/>
          </w:tcPr>
          <w:p>
            <w:pPr>
              <w:jc w:val="center"/>
            </w:pPr>
            <w:r/>
            <w:r>
              <w:rPr>
                <w:rFonts w:ascii="Times New Roman" w:hAnsi="Times New Roman"/>
                <w:b w:val="0"/>
                <w:i w:val="0"/>
                <w:sz w:val="20"/>
              </w:rPr>
              <w:t>0.108</w:t>
            </w:r>
          </w:p>
        </w:tc>
        <w:tc>
          <w:tcPr>
            <w:tcW w:type="dxa" w:w="2126"/>
          </w:tcPr>
          <w:p>
            <w:pPr>
              <w:jc w:val="left"/>
            </w:pPr>
            <w:r/>
            <w:r>
              <w:rPr>
                <w:rFonts w:ascii="Times New Roman" w:hAnsi="Times New Roman"/>
                <w:b w:val="0"/>
                <w:i w:val="0"/>
                <w:sz w:val="20"/>
              </w:rPr>
              <w:t>I(1) not rejected</w:t>
            </w:r>
          </w:p>
        </w:tc>
      </w:tr>
      <w:tr>
        <w:tc>
          <w:tcPr>
            <w:tcW w:type="dxa" w:w="2126"/>
            <w:shd w:val="clear" w:color="auto" w:fill="EBF3FB"/>
          </w:tcPr>
          <w:p>
            <w:pPr>
              <w:jc w:val="left"/>
            </w:pPr>
            <w:r/>
            <w:r>
              <w:rPr>
                <w:rFonts w:ascii="Times New Roman" w:hAnsi="Times New Roman"/>
                <w:b w:val="0"/>
                <w:i w:val="0"/>
                <w:sz w:val="20"/>
              </w:rPr>
              <w:t>ADF — VIX</w:t>
            </w:r>
          </w:p>
        </w:tc>
        <w:tc>
          <w:tcPr>
            <w:tcW w:type="dxa" w:w="2126"/>
            <w:shd w:val="clear" w:color="auto" w:fill="EBF3FB"/>
          </w:tcPr>
          <w:p>
            <w:pPr>
              <w:jc w:val="center"/>
            </w:pPr>
            <w:r/>
            <w:r>
              <w:rPr>
                <w:rFonts w:ascii="Times New Roman" w:hAnsi="Times New Roman"/>
                <w:b w:val="0"/>
                <w:i w:val="0"/>
                <w:sz w:val="20"/>
              </w:rPr>
              <w:t>−2.618</w:t>
            </w:r>
          </w:p>
        </w:tc>
        <w:tc>
          <w:tcPr>
            <w:tcW w:type="dxa" w:w="2126"/>
            <w:shd w:val="clear" w:color="auto" w:fill="EBF3FB"/>
          </w:tcPr>
          <w:p>
            <w:pPr>
              <w:jc w:val="center"/>
            </w:pPr>
            <w:r/>
            <w:r>
              <w:rPr>
                <w:rFonts w:ascii="Times New Roman" w:hAnsi="Times New Roman"/>
                <w:b w:val="0"/>
                <w:i w:val="0"/>
                <w:sz w:val="20"/>
              </w:rPr>
              <w:t>0.089</w:t>
            </w:r>
          </w:p>
        </w:tc>
        <w:tc>
          <w:tcPr>
            <w:tcW w:type="dxa" w:w="2126"/>
            <w:shd w:val="clear" w:color="auto" w:fill="EBF3FB"/>
          </w:tcPr>
          <w:p>
            <w:pPr>
              <w:jc w:val="left"/>
            </w:pPr>
            <w:r/>
            <w:r>
              <w:rPr>
                <w:rFonts w:ascii="Times New Roman" w:hAnsi="Times New Roman"/>
                <w:b w:val="0"/>
                <w:i w:val="0"/>
                <w:sz w:val="20"/>
              </w:rPr>
              <w:t>Borderline</w:t>
            </w:r>
          </w:p>
        </w:tc>
      </w:tr>
      <w:tr>
        <w:tc>
          <w:tcPr>
            <w:tcW w:type="dxa" w:w="2126"/>
          </w:tcPr>
          <w:p>
            <w:pPr>
              <w:jc w:val="left"/>
            </w:pPr>
            <w:r/>
            <w:r>
              <w:rPr>
                <w:rFonts w:ascii="Times New Roman" w:hAnsi="Times New Roman"/>
                <w:b w:val="0"/>
                <w:i w:val="0"/>
                <w:sz w:val="20"/>
              </w:rPr>
              <w:t>ADF — ΔlnN*</w:t>
            </w:r>
          </w:p>
        </w:tc>
        <w:tc>
          <w:tcPr>
            <w:tcW w:type="dxa" w:w="2126"/>
          </w:tcPr>
          <w:p>
            <w:pPr>
              <w:jc w:val="center"/>
            </w:pPr>
            <w:r/>
            <w:r>
              <w:rPr>
                <w:rFonts w:ascii="Times New Roman" w:hAnsi="Times New Roman"/>
                <w:b w:val="0"/>
                <w:i w:val="0"/>
                <w:sz w:val="20"/>
              </w:rPr>
              <w:t>−4.701</w:t>
            </w:r>
          </w:p>
        </w:tc>
        <w:tc>
          <w:tcPr>
            <w:tcW w:type="dxa" w:w="2126"/>
          </w:tcPr>
          <w:p>
            <w:pPr>
              <w:jc w:val="center"/>
            </w:pPr>
            <w:r/>
            <w:r>
              <w:rPr>
                <w:rFonts w:ascii="Times New Roman" w:hAnsi="Times New Roman"/>
                <w:b w:val="0"/>
                <w:i w:val="0"/>
                <w:sz w:val="20"/>
              </w:rPr>
              <w:t>0.000</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Engle–Granger (spread ~ ΔlnS)</w:t>
            </w:r>
          </w:p>
        </w:tc>
        <w:tc>
          <w:tcPr>
            <w:tcW w:type="dxa" w:w="2126"/>
            <w:shd w:val="clear" w:color="auto" w:fill="EBF3FB"/>
          </w:tcPr>
          <w:p>
            <w:pPr>
              <w:jc w:val="center"/>
            </w:pPr>
            <w:r/>
            <w:r>
              <w:rPr>
                <w:rFonts w:ascii="Times New Roman" w:hAnsi="Times New Roman"/>
                <w:b w:val="0"/>
                <w:i w:val="0"/>
                <w:sz w:val="20"/>
              </w:rPr>
              <w:t>−2.888</w:t>
            </w:r>
          </w:p>
        </w:tc>
        <w:tc>
          <w:tcPr>
            <w:tcW w:type="dxa" w:w="2126"/>
            <w:shd w:val="clear" w:color="auto" w:fill="EBF3FB"/>
          </w:tcPr>
          <w:p>
            <w:pPr>
              <w:jc w:val="center"/>
            </w:pPr>
            <w:r/>
            <w:r>
              <w:rPr>
                <w:rFonts w:ascii="Times New Roman" w:hAnsi="Times New Roman"/>
                <w:b w:val="0"/>
                <w:i w:val="0"/>
                <w:sz w:val="20"/>
              </w:rPr>
              <w:t>0.139</w:t>
            </w:r>
          </w:p>
        </w:tc>
        <w:tc>
          <w:tcPr>
            <w:tcW w:type="dxa" w:w="2126"/>
            <w:shd w:val="clear" w:color="auto" w:fill="EBF3FB"/>
          </w:tcPr>
          <w:p>
            <w:pPr>
              <w:jc w:val="left"/>
            </w:pPr>
            <w:r/>
            <w:r>
              <w:rPr>
                <w:rFonts w:ascii="Times New Roman" w:hAnsi="Times New Roman"/>
                <w:b w:val="0"/>
                <w:i w:val="0"/>
                <w:sz w:val="20"/>
              </w:rPr>
              <w:t>Not cointegrated</w:t>
            </w:r>
          </w:p>
        </w:tc>
      </w:tr>
      <w:tr>
        <w:tc>
          <w:tcPr>
            <w:tcW w:type="dxa" w:w="2126"/>
          </w:tcPr>
          <w:p>
            <w:pPr>
              <w:jc w:val="left"/>
            </w:pPr>
            <w:r/>
            <w:r>
              <w:rPr>
                <w:rFonts w:ascii="Times New Roman" w:hAnsi="Times New Roman"/>
                <w:b w:val="0"/>
                <w:i w:val="0"/>
                <w:sz w:val="20"/>
              </w:rPr>
              <w:t>Engle–Granger (spread ~ θ)</w:t>
            </w:r>
          </w:p>
        </w:tc>
        <w:tc>
          <w:tcPr>
            <w:tcW w:type="dxa" w:w="2126"/>
          </w:tcPr>
          <w:p>
            <w:pPr>
              <w:jc w:val="center"/>
            </w:pPr>
            <w:r/>
            <w:r>
              <w:rPr>
                <w:rFonts w:ascii="Times New Roman" w:hAnsi="Times New Roman"/>
                <w:b w:val="0"/>
                <w:i w:val="0"/>
                <w:sz w:val="20"/>
              </w:rPr>
              <w:t>−1.546</w:t>
            </w:r>
          </w:p>
        </w:tc>
        <w:tc>
          <w:tcPr>
            <w:tcW w:type="dxa" w:w="2126"/>
          </w:tcPr>
          <w:p>
            <w:pPr>
              <w:jc w:val="center"/>
            </w:pPr>
            <w:r/>
            <w:r>
              <w:rPr>
                <w:rFonts w:ascii="Times New Roman" w:hAnsi="Times New Roman"/>
                <w:b w:val="0"/>
                <w:i w:val="0"/>
                <w:sz w:val="20"/>
              </w:rPr>
              <w:t>0.743</w:t>
            </w:r>
          </w:p>
        </w:tc>
        <w:tc>
          <w:tcPr>
            <w:tcW w:type="dxa" w:w="2126"/>
          </w:tcPr>
          <w:p>
            <w:pPr>
              <w:jc w:val="left"/>
            </w:pPr>
            <w:r/>
            <w:r>
              <w:rPr>
                <w:rFonts w:ascii="Times New Roman" w:hAnsi="Times New Roman"/>
                <w:b w:val="0"/>
                <w:i w:val="0"/>
                <w:sz w:val="20"/>
              </w:rPr>
              <w:t>Not cointegrated</w:t>
            </w:r>
          </w:p>
        </w:tc>
      </w:tr>
      <w:tr>
        <w:tc>
          <w:tcPr>
            <w:tcW w:type="dxa" w:w="2126"/>
            <w:shd w:val="clear" w:color="auto" w:fill="EBF3FB"/>
          </w:tcPr>
          <w:p>
            <w:pPr>
              <w:jc w:val="left"/>
            </w:pPr>
            <w:r/>
            <w:r>
              <w:rPr>
                <w:rFonts w:ascii="Times New Roman" w:hAnsi="Times New Roman"/>
                <w:b w:val="0"/>
                <w:i w:val="0"/>
                <w:sz w:val="20"/>
              </w:rPr>
              <w:t>Engle–Granger (spread ~ L)</w:t>
            </w:r>
          </w:p>
        </w:tc>
        <w:tc>
          <w:tcPr>
            <w:tcW w:type="dxa" w:w="2126"/>
            <w:shd w:val="clear" w:color="auto" w:fill="EBF3FB"/>
          </w:tcPr>
          <w:p>
            <w:pPr>
              <w:jc w:val="center"/>
            </w:pPr>
            <w:r/>
            <w:r>
              <w:rPr>
                <w:rFonts w:ascii="Times New Roman" w:hAnsi="Times New Roman"/>
                <w:b w:val="0"/>
                <w:i w:val="0"/>
                <w:sz w:val="20"/>
              </w:rPr>
              <w:t>−1.611</w:t>
            </w:r>
          </w:p>
        </w:tc>
        <w:tc>
          <w:tcPr>
            <w:tcW w:type="dxa" w:w="2126"/>
            <w:shd w:val="clear" w:color="auto" w:fill="EBF3FB"/>
          </w:tcPr>
          <w:p>
            <w:pPr>
              <w:jc w:val="center"/>
            </w:pPr>
            <w:r/>
            <w:r>
              <w:rPr>
                <w:rFonts w:ascii="Times New Roman" w:hAnsi="Times New Roman"/>
                <w:b w:val="0"/>
                <w:i w:val="0"/>
                <w:sz w:val="20"/>
              </w:rPr>
              <w:t>0.716</w:t>
            </w:r>
          </w:p>
        </w:tc>
        <w:tc>
          <w:tcPr>
            <w:tcW w:type="dxa" w:w="2126"/>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51 monthly observations, January 2022 – March 2026.</w:t>
      </w:r>
    </w:p>
    <w:p>
      <w:pPr>
        <w:spacing w:before="240" w:after="120"/>
      </w:pPr>
      <w:r>
        <w:rPr>
          <w:rFonts w:ascii="Times New Roman" w:hAnsi="Times New Roman"/>
          <w:b/>
          <w:i w:val="0"/>
          <w:sz w:val="24"/>
        </w:rPr>
        <w:t>A.4  LSTAR Estimation Details</w:t>
      </w:r>
    </w:p>
    <w:p>
      <w:pPr>
        <w:spacing w:before="0" w:after="160"/>
      </w:pPr>
      <w:r>
        <w:rPr>
          <w:rFonts w:ascii="Times New Roman" w:hAnsi="Times New Roman"/>
          <w:b w:val="0"/>
          <w:i w:val="0"/>
          <w:sz w:val="24"/>
        </w:rPr>
        <w:t>The LSTAR is estimated by nonlinear least squares (NLS) minimizing the residual sum of squares over (γ, c). The transition variable L is standardized by its sample standard deviation (std(L) = 0.051)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pPr>
        <w:spacing w:before="0" w:after="200"/>
      </w:pPr>
      <w:r>
        <w:rPr>
          <w:rFonts w:ascii="Times New Roman" w:hAnsi="Times New Roman"/>
          <w:b w:val="0"/>
          <w:i w:val="0"/>
          <w:sz w:val="24"/>
        </w:rPr>
        <w:t>Bootstrap confidence intervals for c* use the percentile method with B = 1,000 replications: each replication resamples rows with replacement and re-runs the NLS optimization. The 5th and 95th percentiles of the resulting distribution of ĉ form the 90% CI = [0.031, 0.145]. The Hansen q* = 0.1301 lies inside this interval, confirming cross-model consistency.</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immireu0921/Stablecoins-and-the-Exorbitant-Privilege-Safe-Asset-Demand-and-Its-Systemic-Fragility"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