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spacing w:after="120"/>
        <w:jc w:val="center"/>
      </w:pPr>
      <w:r>
        <w:rPr>
          <w:rFonts w:ascii="Times New Roman" w:hAnsi="Times New Roman"/>
          <w:b/>
          <w:i w:val="0"/>
          <w:sz w:val="32"/>
        </w:rPr>
        <w:t>Stablecoins and the Exorbitant Privilege:</w:t>
      </w:r>
    </w:p>
    <w:p>
      <w:pPr>
        <w:spacing w:after="360"/>
        <w:jc w:val="center"/>
      </w:pPr>
      <w:r>
        <w:rPr>
          <w:rFonts w:ascii="Times New Roman" w:hAnsi="Times New Roman"/>
          <w:b/>
          <w:i w:val="0"/>
          <w:sz w:val="28"/>
        </w:rPr>
        <w:t>A New Channel for Safe-Asset Demand and Its Systemic Fragility</w:t>
      </w:r>
    </w:p>
    <w:p>
      <w:pPr>
        <w:spacing w:after="60"/>
        <w:jc w:val="center"/>
      </w:pPr>
      <w:r>
        <w:rPr>
          <w:rFonts w:ascii="Times New Roman" w:hAnsi="Times New Roman"/>
          <w:b w:val="0"/>
          <w:i w:val="0"/>
          <w:sz w:val="24"/>
        </w:rPr>
        <w:t>Mireu Mimi Kim (2025462112)</w:t>
      </w:r>
    </w:p>
    <w:p>
      <w:pPr>
        <w:spacing w:after="60"/>
        <w:jc w:val="center"/>
      </w:pPr>
      <w:r>
        <w:rPr>
          <w:rFonts w:ascii="Times New Roman" w:hAnsi="Times New Roman"/>
          <w:b w:val="0"/>
          <w:i w:val="0"/>
          <w:sz w:val="24"/>
        </w:rPr>
        <w:t>Sara Ambre Chekroune (2025462014)</w:t>
      </w:r>
    </w:p>
    <w:p>
      <w:pPr>
        <w:spacing w:after="60"/>
        <w:jc w:val="center"/>
      </w:pPr>
      <w:r>
        <w:rPr>
          <w:rFonts w:ascii="Times New Roman" w:hAnsi="Times New Roman"/>
          <w:b w:val="0"/>
          <w:i w:val="0"/>
          <w:sz w:val="24"/>
        </w:rPr>
        <w:t>Oybek Ibragimov (2024462029)</w:t>
      </w:r>
    </w:p>
    <w:p>
      <w:pPr>
        <w:spacing w:after="60"/>
        <w:jc w:val="center"/>
      </w:pPr>
      <w:r>
        <w:rPr>
          <w:rFonts w:ascii="Times New Roman" w:hAnsi="Times New Roman"/>
          <w:b w:val="0"/>
          <w:i w:val="0"/>
          <w:sz w:val="24"/>
        </w:rPr>
        <w:t>Jade Zhu (2026846114)</w:t>
      </w:r>
    </w:p>
    <w:p>
      <w:pPr>
        <w:spacing w:after="60"/>
        <w:jc w:val="center"/>
      </w:pPr>
      <w:r>
        <w:rPr>
          <w:rFonts w:ascii="Times New Roman" w:hAnsi="Times New Roman"/>
          <w:b w:val="0"/>
          <w:i w:val="0"/>
          <w:sz w:val="24"/>
        </w:rPr>
        <w:t>Alexandre Godefroy (2026846111)</w:t>
      </w:r>
    </w:p>
    <w:p>
      <w:pPr>
        <w:spacing w:after="60"/>
        <w:jc w:val="center"/>
      </w:pPr>
      <w:r>
        <w:rPr>
          <w:rFonts w:ascii="Times New Roman" w:hAnsi="Times New Roman"/>
          <w:b w:val="0"/>
          <w:i w:val="0"/>
          <w:sz w:val="24"/>
        </w:rPr>
        <w:t>Baptiste Degand (2026847313)</w:t>
      </w:r>
    </w:p>
    <w:p>
      <w:pPr>
        <w:spacing w:after="60"/>
        <w:jc w:val="center"/>
      </w:pPr>
      <w:r>
        <w:rPr>
          <w:rFonts w:ascii="Times New Roman" w:hAnsi="Times New Roman"/>
          <w:b w:val="0"/>
          <w:i w:val="0"/>
          <w:sz w:val="24"/>
        </w:rPr>
        <w:t>Minjin Kim (2025461111)</w:t>
      </w:r>
    </w:p>
    <w:p>
      <w:pPr>
        <w:spacing w:after="60"/>
        <w:jc w:val="center"/>
      </w:pPr>
      <w:r>
        <w:rPr>
          <w:rFonts w:ascii="Times New Roman" w:hAnsi="Times New Roman"/>
          <w:b w:val="0"/>
          <w:i/>
          <w:sz w:val="22"/>
        </w:rPr>
        <w:t>Yonsei GSIS — Topics in International Finance (2026-1)</w:t>
      </w:r>
    </w:p>
    <w:p>
      <w:pPr>
        <w:spacing w:after="480"/>
        <w:jc w:val="center"/>
      </w:pPr>
      <w:r>
        <w:rPr>
          <w:rFonts w:ascii="Times New Roman" w:hAnsi="Times New Roman"/>
          <w:b w:val="0"/>
          <w:i w:val="0"/>
          <w:sz w:val="22"/>
        </w:rPr>
        <w:t>June 2026</w:t>
      </w:r>
    </w:p>
    <w:p>
      <w:pPr>
        <w:spacing w:after="120"/>
        <w:jc w:val="center"/>
      </w:pPr>
      <w:r>
        <w:rPr>
          <w:rFonts w:ascii="Times New Roman" w:hAnsi="Times New Roman"/>
          <w:b/>
          <w:i w:val="0"/>
          <w:sz w:val="22"/>
        </w:rPr>
        <w:t xml:space="preserve">JEL Classification: </w:t>
      </w:r>
      <w:r>
        <w:rPr>
          <w:rFonts w:ascii="Times New Roman" w:hAnsi="Times New Roman"/>
          <w:b w:val="0"/>
          <w:i w:val="0"/>
          <w:sz w:val="22"/>
        </w:rPr>
        <w:t>E44, F31, G12, G18, G23</w:t>
      </w:r>
    </w:p>
    <w:p/>
    <w:p>
      <w:pPr>
        <w:spacing w:before="0" w:after="120"/>
      </w:pPr>
      <w:r>
        <w:rPr>
          <w:rFonts w:ascii="Times New Roman" w:hAnsi="Times New Roman"/>
          <w:b/>
          <w:i w:val="0"/>
          <w:sz w:val="26"/>
        </w:rPr>
        <w:t>Abstract</w:t>
      </w:r>
    </w:p>
    <w:p>
      <w:pPr>
        <w:spacing w:after="120"/>
        <w:ind w:left="567" w:right="567"/>
      </w:pPr>
      <w:r>
        <w:rPr>
          <w:rFonts w:ascii="Times New Roman" w:hAnsi="Times New Roman"/>
          <w:sz w:val="22"/>
        </w:rPr>
        <w:t>We examine whether large-scale USD-pegged stablecoins introduce a novel, two-sided form of systemic fragility — a 'New Triffin Dilemma' — and whether the severity of downside risk depends critically on the adequacy of issuers' reserve buffers. Extending Maggiori's (2017) two-country continuous-time framework to incorporate stablecoin supply S, Treasury exposure θ (T-bill holdings / supply), and liquid buffer L (cash reserves / supply), we derive a testable reserve adequacy threshold below which forced Treasury liquidation generates measurable sovereign spillovers. Using 51 monthly observations from January 2022 to March 2026, we find that stablecoin issuance significantly compresses OIS–Treasury spreads (β₁ = −7.57, p = 0.004), confirming the privilege amplification hypothesis. The decomposed buffer variables θ and L are individually not significant in the monthly panel, consistent with limited statistical power at N = 51; however, a Hansen (2000) threshold regression on L identifies an economically meaningful liquid buffer threshold at q* = 0.130 (bootstrap p = 0.406, 90% CI: [3.1%, 14.5%]), below which supply growth compresses spreads more strongly (β_ΔlnS = −2.80 vs. +1.63 above). Convergent validity is confirmed by a logistic smooth-transition regression (LSTAR): the transition midpoint c* = 0.1490 is virtually identical to Hansen's q* = 0.1301, and the moderate-sharpness parameter (γ* = 29.8) independently validates the sharp-switch assumption. A buffer-conditioned event study, re-estimated using a first-difference normal model to remove low-frequency trend contamination, yields insignificant CARs (ranging from −41.0 to +22.5 bps) for all three stress episodes, confirming that the quantitative proof rests on the regression and threshold results while the event study provides directional qualitative context. Our threshold estimate suggests issuers should maintain liquid reserves above approximately 13% of outstanding supply to avoid T-bill market spillovers during stress.</w:t>
      </w:r>
    </w:p>
    <w:p>
      <w:pPr>
        <w:spacing w:after="280"/>
        <w:ind w:left="567" w:right="567"/>
      </w:pPr>
      <w:r>
        <w:rPr>
          <w:rFonts w:ascii="Times New Roman" w:hAnsi="Times New Roman"/>
          <w:b/>
          <w:i w:val="0"/>
          <w:sz w:val="22"/>
        </w:rPr>
        <w:t xml:space="preserve">Keywords: </w:t>
      </w:r>
      <w:r>
        <w:rPr>
          <w:rFonts w:ascii="Times New Roman" w:hAnsi="Times New Roman"/>
          <w:b w:val="0"/>
          <w:i/>
          <w:sz w:val="22"/>
        </w:rPr>
        <w:t>stablecoins, exorbitant privilege, safe-asset demand, reserve adequacy, Triffin dilemma, OIS–Treasury spread, threshold regression</w:t>
      </w:r>
    </w:p>
    <w:p>
      <w:r>
        <w:br w:type="page"/>
      </w:r>
    </w:p>
    <w:p>
      <w:pPr>
        <w:spacing w:before="240" w:after="120"/>
      </w:pPr>
      <w:r>
        <w:rPr>
          <w:rFonts w:ascii="Times New Roman" w:hAnsi="Times New Roman"/>
          <w:b/>
          <w:i w:val="0"/>
          <w:sz w:val="26"/>
        </w:rPr>
        <w:t>1.  Introduction</w:t>
      </w:r>
    </w:p>
    <w:p>
      <w:pPr>
        <w:spacing w:before="0" w:after="160"/>
      </w:pPr>
      <w:r>
        <w:rPr>
          <w:rFonts w:ascii="Times New Roman" w:hAnsi="Times New Roman"/>
          <w:b w:val="0"/>
          <w:i w:val="0"/>
          <w:sz w:val="24"/>
        </w:rPr>
        <w:t>The rapid ascent of USD-pegged stablecoins from under $50 billion in market capitalization in 2021 to over $300 billion by early 2026 has created a new class of large-scale, rule-bound buyers of short-term U.S. Treasuries. Tether (USDT) and USD Coin (USDC) together back their liabilities 1:1 with short-duration dollar assets, making their combined Treasury holdings comparable in scale to those of mid-sized sovereign reserve managers. Projections envision a $1–2 trillion stablecoin ecosystem within this decade, cementing this structural role.</w:t>
      </w:r>
    </w:p>
    <w:p>
      <w:pPr>
        <w:spacing w:before="0" w:after="160"/>
      </w:pPr>
      <w:r>
        <w:rPr>
          <w:rFonts w:ascii="Times New Roman" w:hAnsi="Times New Roman"/>
          <w:b w:val="0"/>
          <w:i w:val="0"/>
          <w:sz w:val="24"/>
        </w:rPr>
        <w:t>This paper asks two inseparable questions. First, do stablecoins amplify the 'exorbitant privilege' by mechanically deepening demand for U.S. safe assets in normal times? Second, does the severity of the downside risk — a run-induced forced Treasury liquidation — depend critically on the adequacy of issuers' reserve buffers? We call this combination a 'New Triffin Dilemma': the same mechanism that benefits U.S. borrowing costs in normal times embeds a fragility that can rapidly reverse that benefit.</w:t>
      </w:r>
    </w:p>
    <w:p>
      <w:pPr>
        <w:spacing w:before="0" w:after="80"/>
      </w:pPr>
      <w:r>
        <w:rPr>
          <w:rFonts w:ascii="Times New Roman" w:hAnsi="Times New Roman"/>
          <w:b w:val="0"/>
          <w:i w:val="0"/>
          <w:sz w:val="24"/>
        </w:rPr>
        <w:t>We extend Maggiori's (2017) open-economy framework by introducing stablecoin supply S, Treasury exposure θ ≡ T-bill holdings / S, and liquid buffer L ≡ cash reserves / S. The two variables separate the privilege channel (θ captures structural T-bill demand) from the fragility channel (L determines whether runs are absorbed without market impact). L enters asymmetrically: in normal times it over-demands safe assets; during a run, a sufficiently large L absorbs redemptions without forced T-bill liquidation, while an inadequate L activates the Cole–Kehoe (2000) crisis-zone mechanism. Our main estimating equation — extending Maggiori's Equation 21 — is:</w:t>
      </w:r>
    </w:p>
    <w:p>
      <w:pPr>
        <w:spacing w:before="0" w:after="80"/>
      </w:pPr>
      <w:r>
        <w:rPr>
          <w:rFonts w:ascii="Times New Roman" w:hAnsi="Times New Roman"/>
          <w:b w:val="0"/>
          <w:i/>
          <w:sz w:val="24"/>
        </w:rPr>
        <w:t>Spread</w:t>
      </w:r>
      <w:r>
        <w:rPr>
          <w:rFonts w:ascii="Times New Roman" w:hAnsi="Times New Roman"/>
          <w:b w:val="0"/>
          <w:i w:val="0"/>
          <w:sz w:val="24"/>
        </w:rPr>
        <w:t>ₜ = α + β₁·Δln</w:t>
      </w:r>
      <w:r>
        <w:rPr>
          <w:rFonts w:ascii="Times New Roman" w:hAnsi="Times New Roman"/>
          <w:b w:val="0"/>
          <w:i/>
          <w:sz w:val="24"/>
        </w:rPr>
        <w:t>S</w:t>
      </w:r>
      <w:r>
        <w:rPr>
          <w:rFonts w:ascii="Times New Roman" w:hAnsi="Times New Roman"/>
          <w:b w:val="0"/>
          <w:i w:val="0"/>
          <w:sz w:val="24"/>
        </w:rPr>
        <w:t>ₜ + β₂·θₜ + β₃·</w:t>
      </w:r>
      <w:r>
        <w:rPr>
          <w:rFonts w:ascii="Times New Roman" w:hAnsi="Times New Roman"/>
          <w:b w:val="0"/>
          <w:i/>
          <w:sz w:val="24"/>
        </w:rPr>
        <w:t>L</w:t>
      </w:r>
      <w:r>
        <w:rPr>
          <w:rFonts w:ascii="Times New Roman" w:hAnsi="Times New Roman"/>
          <w:b w:val="0"/>
          <w:i w:val="0"/>
          <w:sz w:val="24"/>
        </w:rPr>
        <w:t>ₜ + β₄·(</w:t>
      </w:r>
      <w:r>
        <w:rPr>
          <w:rFonts w:ascii="Times New Roman" w:hAnsi="Times New Roman"/>
          <w:b w:val="0"/>
          <w:i/>
          <w:sz w:val="24"/>
        </w:rPr>
        <w:t>L</w:t>
      </w:r>
      <w:r>
        <w:rPr>
          <w:rFonts w:ascii="Times New Roman" w:hAnsi="Times New Roman"/>
          <w:b w:val="0"/>
          <w:i w:val="0"/>
          <w:sz w:val="24"/>
        </w:rPr>
        <w:t>ₜ × Δln</w:t>
      </w:r>
      <w:r>
        <w:rPr>
          <w:rFonts w:ascii="Times New Roman" w:hAnsi="Times New Roman"/>
          <w:b w:val="0"/>
          <w:i/>
          <w:sz w:val="24"/>
        </w:rPr>
        <w:t>S</w:t>
      </w:r>
      <w:r>
        <w:rPr>
          <w:rFonts w:ascii="Times New Roman" w:hAnsi="Times New Roman"/>
          <w:b w:val="0"/>
          <w:i w:val="0"/>
          <w:sz w:val="24"/>
        </w:rPr>
        <w:t>ₜ) + β₅·</w:t>
      </w:r>
      <w:r>
        <w:rPr>
          <w:rFonts w:ascii="Times New Roman" w:hAnsi="Times New Roman"/>
          <w:b w:val="0"/>
          <w:i/>
          <w:sz w:val="24"/>
        </w:rPr>
        <w:t>V</w:t>
      </w:r>
      <w:r>
        <w:rPr>
          <w:rFonts w:ascii="Times New Roman" w:hAnsi="Times New Roman"/>
          <w:b w:val="0"/>
          <w:i w:val="0"/>
          <w:sz w:val="24"/>
        </w:rPr>
        <w:t>ₜ + β₆·VIXₜ + β₇·Δln</w:t>
      </w:r>
      <w:r>
        <w:rPr>
          <w:rFonts w:ascii="Times New Roman" w:hAnsi="Times New Roman"/>
          <w:b w:val="0"/>
          <w:i/>
          <w:sz w:val="24"/>
        </w:rPr>
        <w:t>N*</w:t>
      </w:r>
      <w:r>
        <w:rPr>
          <w:rFonts w:ascii="Times New Roman" w:hAnsi="Times New Roman"/>
          <w:b w:val="0"/>
          <w:i w:val="0"/>
          <w:sz w:val="24"/>
        </w:rPr>
        <w:t>ₜ + εₜ</w:t>
      </w:r>
    </w:p>
    <w:p>
      <w:pPr>
        <w:spacing w:before="0" w:after="160"/>
      </w:pPr>
      <w:r>
        <w:rPr>
          <w:rFonts w:ascii="Times New Roman" w:hAnsi="Times New Roman"/>
          <w:sz w:val="24"/>
        </w:rPr>
        <w:t>where Spread is the OIS–Treasury spread (DGS3MO minus overnight SOFR), V is supply-growth volatility (7-day rolling standard deviation of daily supply log-changes), and ΔlnN* is the log-change in the rest-of-world equity index. We predict β₁ &lt; 0 (issuance compresses spreads) and β₄ &gt; 0 (a larger liquid buffer dampens the crisis transmission, with the threshold L* marking where redemptions first spill into forced T-bill selling).</w:t>
      </w:r>
    </w:p>
    <w:p>
      <w:pPr>
        <w:spacing w:before="0" w:after="160"/>
      </w:pPr>
      <w:r>
        <w:rPr>
          <w:rFonts w:ascii="Times New Roman" w:hAnsi="Times New Roman"/>
          <w:b w:val="0"/>
          <w:i w:val="0"/>
          <w:sz w:val="24"/>
        </w:rPr>
        <w:t>Our empirical results confirm H1 and provide suggestive evidence for H2. Using 51 monthly observations (January 2022 – March 2026), we find β₁ = −7.57 (p = 0.004), confirming that supply growth compresses spreads. The decomposed buffer variables θ and L are individually not significant at conventional levels in the monthly panel (N = 51 limits power for the full decomposition), but a Hansen (2000) threshold regression identifies an economically meaningful liquid buffer threshold at q* = 0.130 separating two regimes with markedly different supply-growth effects. Convergent validity is confirmed by an LSTAR smooth-transition regression (c* = 0.1490), which independently locates the same tipping point. A buffer-conditioned event study, re-estimated in first differences to remove Fed hiking cycle contamination, yields insignificant CARs but directionally consistent patterns.</w:t>
      </w:r>
    </w:p>
    <w:p>
      <w:pPr>
        <w:spacing w:before="80" w:after="80"/>
        <w:ind w:left="567" w:right="567"/>
      </w:pPr>
      <w:r>
        <w:rPr>
          <w:rFonts w:ascii="Times New Roman" w:hAnsi="Times New Roman"/>
          <w:b/>
          <w:i w:val="0"/>
          <w:sz w:val="22"/>
        </w:rPr>
        <w:t xml:space="preserve">H1 (Privilege Amplification): </w:t>
      </w:r>
      <w:r>
        <w:rPr>
          <w:rFonts w:ascii="Times New Roman" w:hAnsi="Times New Roman"/>
          <w:b w:val="0"/>
          <w:i w:val="0"/>
          <w:sz w:val="22"/>
        </w:rPr>
        <w:t>Stablecoin supply growth compresses OIS–Treasury spreads in normal times (β₁ &lt; 0).</w:t>
      </w:r>
    </w:p>
    <w:p>
      <w:pPr>
        <w:spacing w:before="80" w:after="240"/>
        <w:ind w:left="567" w:right="567"/>
      </w:pPr>
      <w:r>
        <w:rPr>
          <w:rFonts w:ascii="Times New Roman" w:hAnsi="Times New Roman"/>
          <w:b/>
          <w:i w:val="0"/>
          <w:sz w:val="22"/>
        </w:rPr>
        <w:t xml:space="preserve">H2 (Reserve Adequacy Threshold): </w:t>
      </w:r>
      <w:r>
        <w:rPr>
          <w:rFonts w:ascii="Times New Roman" w:hAnsi="Times New Roman"/>
          <w:b w:val="0"/>
          <w:i w:val="0"/>
          <w:sz w:val="22"/>
        </w:rPr>
        <w:t>There exists a threshold L* such that below L*, stablecoin supply growth produces more adverse spread dynamics; above L*, liquid buffer absorption attenuates the crisis transmission.</w:t>
      </w:r>
    </w:p>
    <w:p>
      <w:pPr>
        <w:spacing w:before="0" w:after="200"/>
      </w:pPr>
      <w:r>
        <w:rPr>
          <w:rFonts w:ascii="Times New Roman" w:hAnsi="Times New Roman"/>
          <w:b w:val="0"/>
          <w:i w:val="0"/>
          <w:sz w:val="24"/>
        </w:rPr>
        <w:t>The paper proceeds as follows. Section 2 reviews the literature. Section 3 presents the theoretical framework. Section 4 describes data and methodology. Section 5 reports results across four specifications: the main OLS regression (5.1), Hansen threshold (5.2), LSTAR smooth-transition robustness (5.3), and buffer-conditioned event study (5.4). Section 6 concludes with policy implications.</w:t>
      </w:r>
    </w:p>
    <w:p>
      <w:pPr>
        <w:spacing w:before="240" w:after="120"/>
      </w:pPr>
      <w:r>
        <w:rPr>
          <w:rFonts w:ascii="Times New Roman" w:hAnsi="Times New Roman"/>
          <w:b/>
          <w:i w:val="0"/>
          <w:sz w:val="26"/>
        </w:rPr>
        <w:t>2.  Literature Review</w:t>
      </w:r>
    </w:p>
    <w:p>
      <w:pPr>
        <w:spacing w:before="0" w:after="160"/>
      </w:pPr>
      <w:r>
        <w:rPr>
          <w:rFonts w:ascii="Times New Roman" w:hAnsi="Times New Roman"/>
          <w:b w:val="0"/>
          <w:i w:val="0"/>
          <w:sz w:val="24"/>
        </w:rPr>
        <w:t>The theoretical foundation is Maggiori (2017), whose two-country continuous-time model characterizes the exorbitant privilege through an equilibrium risk-sharing condition in which the marginal value of rest-of-world (RoW) financial net worth — countercyclical and designated Ω*(Ñ*) — is the key driver of safe-asset demand. His calibration finds that a 10 percent loss in RoW financial net worth is associated with a 1.2 percent deterioration in the U.S. net foreign asset position. Critically, his framework predates rule-bound programmatic Treasury buyers and contains no role for reserve adequacy in governing shock amplification — the gap this paper addresses.</w:t>
      </w:r>
    </w:p>
    <w:p>
      <w:pPr>
        <w:spacing w:before="0" w:after="160"/>
      </w:pPr>
      <w:r>
        <w:rPr>
          <w:rFonts w:ascii="Times New Roman" w:hAnsi="Times New Roman"/>
          <w:b w:val="0"/>
          <w:i w:val="0"/>
          <w:sz w:val="24"/>
        </w:rPr>
        <w:t>Gourinchas and Rey (2007) establish the empirical stylized facts of the privilege, and Caballero, Farhi, and Gourinchas (2008) show that the U.S.'s superior capacity to produce safe assets generates structural global imbalances; stablecoin issuers represent a new, non-sovereign safe-asset conduit their framework did not anticipate. Cole and Kehoe (2000) provide the most relevant model of the downside scenario: a self-fulfilling debt crisis that materializes when fundamentals enter a 'crisis zone.' Their framework maps directly onto the stablecoin run — forced Treasury liquidation may push yields high enough to validate the original redemption pressure, with whether an issuer lies inside or outside the crisis zone depending on buffer size.</w:t>
      </w:r>
    </w:p>
    <w:p>
      <w:pPr>
        <w:spacing w:before="0" w:after="160"/>
      </w:pPr>
      <w:r>
        <w:rPr>
          <w:rFonts w:ascii="Times New Roman" w:hAnsi="Times New Roman"/>
          <w:b w:val="0"/>
          <w:i w:val="0"/>
          <w:sz w:val="24"/>
        </w:rPr>
        <w:t>On reserve adequacy, Jeanne and Rancière (2011) and Obstfeld, Shambaugh, and Taylor (2010) model optimal foreign exchange reserves as precautionary buffers against sudden stops, finding that adequate reserves are increasing in liability dollarization, financial openness, and the velocity of potential outflows — insights that translate directly to the stablecoin context. Gorton and Zhang (2021) compare stablecoins to wildcat banking but do not connect reserve adequacy to the international macro literature on safe-asset demand, the gap this paper addresses.</w:t>
      </w:r>
    </w:p>
    <w:p>
      <w:pPr>
        <w:spacing w:before="0" w:after="160"/>
      </w:pPr>
      <w:r>
        <w:rPr>
          <w:rFonts w:ascii="Times New Roman" w:hAnsi="Times New Roman"/>
          <w:b w:val="0"/>
          <w:i w:val="0"/>
          <w:sz w:val="24"/>
        </w:rPr>
        <w:t>The emerging stablecoin-specific literature has grown rapidly alongside regulatory attention. Ghamami, Glasserman, and Young (2023) examine macroprudential implications of stablecoin runs but focus on systemic contagion within the crypto ecosystem rather than spillovers into sovereign bond markets. Duffie (2022) analyzes stablecoins as payment-system innovations and argues that reserve composition is the first-order regulatory concern, consistent with our emphasis on the liquid buffer L rather than total T-bill holdings. Recent legislative proposals — including the U.S. GENIUS Act (2025) and the EU's MiCA framework (2024) — impose minimum liquid reserve requirements; our empirical threshold q* = 0.130 provides a data-grounded benchmark against which these regulatory floors can be evaluated.</w:t>
      </w:r>
    </w:p>
    <w:p>
      <w:pPr>
        <w:spacing w:before="0" w:after="200"/>
      </w:pPr>
      <w:r>
        <w:rPr>
          <w:rFonts w:ascii="Times New Roman" w:hAnsi="Times New Roman"/>
          <w:b w:val="0"/>
          <w:i w:val="0"/>
          <w:sz w:val="24"/>
        </w:rPr>
        <w:t>Our event study methodology follows MacKinlay (1997). We use daily abnormal spread changes to sidestep the unit-root concerns that limit inference in the monthly panel, and condition on the reserve regime to test the asymmetric fragility prediction. The use of a first-difference normal model rather than a level model is essential here: the Jan–May 2022 estimation window coincided with the Federal Reserve's most aggressive hiking cycle in four decades, generating a spurious trend in the spread that contaminated the level-model CARs by approximately 120-fold.</w:t>
      </w:r>
    </w:p>
    <w:p>
      <w:pPr>
        <w:spacing w:before="240" w:after="120"/>
      </w:pPr>
      <w:r>
        <w:rPr>
          <w:rFonts w:ascii="Times New Roman" w:hAnsi="Times New Roman"/>
          <w:b/>
          <w:i w:val="0"/>
          <w:sz w:val="26"/>
        </w:rPr>
        <w:t>3.  Theoretical Framework</w:t>
      </w:r>
    </w:p>
    <w:p>
      <w:pPr>
        <w:spacing w:before="0" w:after="80"/>
      </w:pPr>
      <w:r>
        <w:rPr>
          <w:rFonts w:ascii="Times New Roman" w:hAnsi="Times New Roman"/>
          <w:b w:val="0"/>
          <w:i w:val="0"/>
          <w:sz w:val="24"/>
        </w:rPr>
        <w:t>We extend Maggiori's (2017) equilibrium demand for U.S. safe assets by introducing stablecoin supply S, Treasury exposure θ ≡ T-bill holdings / S, and liquid buffer L ≡ cash-equivalent reserves / S. The two variables separate the privilege channel (θ) from the fragility channel (L). The modified equilibrium demand becomes:</w:t>
      </w:r>
    </w:p>
    <w:p>
      <w:pPr>
        <w:spacing w:before="0" w:after="120"/>
      </w:pPr>
      <w:r>
        <w:rPr>
          <w:rFonts w:ascii="Times New Roman" w:hAnsi="Times New Roman"/>
          <w:b w:val="0"/>
          <w:i w:val="0"/>
          <w:sz w:val="24"/>
        </w:rPr>
        <w:t>D*(Ñ*, S, θ, L) = D*</w:t>
      </w:r>
      <w:r>
        <w:rPr>
          <w:rFonts w:ascii="Times New Roman" w:hAnsi="Times New Roman"/>
          <w:b w:val="0"/>
          <w:i/>
          <w:sz w:val="24"/>
        </w:rPr>
        <w:t>precautionary</w:t>
      </w:r>
      <w:r>
        <w:rPr>
          <w:rFonts w:ascii="Times New Roman" w:hAnsi="Times New Roman"/>
          <w:b w:val="0"/>
          <w:i w:val="0"/>
          <w:sz w:val="24"/>
        </w:rPr>
        <w:t>(Ñ*) + D*</w:t>
      </w:r>
      <w:r>
        <w:rPr>
          <w:rFonts w:ascii="Times New Roman" w:hAnsi="Times New Roman"/>
          <w:b w:val="0"/>
          <w:i/>
          <w:sz w:val="24"/>
        </w:rPr>
        <w:t>theta</w:t>
      </w:r>
      <w:r>
        <w:rPr>
          <w:rFonts w:ascii="Times New Roman" w:hAnsi="Times New Roman"/>
          <w:b w:val="0"/>
          <w:i w:val="0"/>
          <w:sz w:val="24"/>
        </w:rPr>
        <w:t>(S, θ) + D*</w:t>
      </w:r>
      <w:r>
        <w:rPr>
          <w:rFonts w:ascii="Times New Roman" w:hAnsi="Times New Roman"/>
          <w:b w:val="0"/>
          <w:i/>
          <w:sz w:val="24"/>
        </w:rPr>
        <w:t>liquid</w:t>
      </w:r>
      <w:r>
        <w:rPr>
          <w:rFonts w:ascii="Times New Roman" w:hAnsi="Times New Roman"/>
          <w:b w:val="0"/>
          <w:i w:val="0"/>
          <w:sz w:val="24"/>
        </w:rPr>
        <w:t>(L)</w:t>
      </w:r>
    </w:p>
    <w:p>
      <w:pPr>
        <w:spacing w:before="0" w:after="160"/>
      </w:pPr>
      <w:r>
        <w:rPr>
          <w:rFonts w:ascii="Times New Roman" w:hAnsi="Times New Roman"/>
          <w:b w:val="0"/>
          <w:i w:val="0"/>
          <w:sz w:val="24"/>
        </w:rPr>
        <w:t>L enters asymmetrically. In normal times (positive ΔS), θ drives structural T-bill demand that amplifies the privilege. During a run (negative ΔS), a sufficiently large L absorbs redemptions without forced T-bill liquidation, and the market impact is invisible. When L is inadequate — formally, when the redemption shock exceeds L — the liquidation channel is activated and the Cole–Kehoe crisis-zone mechanism applies. This generates a testable liquid reserve threshold L* below which a run produces measurable sovereign spillovers, and above which it does not.</w:t>
      </w:r>
    </w:p>
    <w:p>
      <w:pPr>
        <w:spacing w:before="0" w:after="200"/>
      </w:pPr>
      <w:r>
        <w:rPr>
          <w:rFonts w:ascii="Times New Roman" w:hAnsi="Times New Roman"/>
          <w:b w:val="0"/>
          <w:i w:val="0"/>
          <w:sz w:val="24"/>
        </w:rPr>
        <w:t>The total marginal effect of stablecoin supply growth on the OIS–Treasury spread is β₁ + β₄·L. β₄ &gt; 0 would imply that when L is large, the effect of supply growth on spreads is less negative — i.e., a larger liquid buffer dampens the privilege amplification. The threshold L* is the value of L at which the regime shifts: below L*, forced liquidation begins and the spread response changes qualitatively. The sign flip in regime-specific β_ΔlnS (−2.80 below L* vs. +1.63 above) captures this.</w:t>
      </w:r>
    </w:p>
    <w:p>
      <w:pPr>
        <w:spacing w:before="240" w:after="120"/>
      </w:pPr>
      <w:r>
        <w:rPr>
          <w:rFonts w:ascii="Times New Roman" w:hAnsi="Times New Roman"/>
          <w:b/>
          <w:i w:val="0"/>
          <w:sz w:val="26"/>
        </w:rPr>
        <w:t>4.  Data and Methodology</w:t>
      </w:r>
    </w:p>
    <w:p>
      <w:pPr>
        <w:spacing w:before="240" w:after="120"/>
      </w:pPr>
      <w:r>
        <w:rPr>
          <w:rFonts w:ascii="Times New Roman" w:hAnsi="Times New Roman"/>
          <w:b/>
          <w:i w:val="0"/>
          <w:sz w:val="24"/>
        </w:rPr>
        <w:t>4.1  Data</w:t>
      </w:r>
    </w:p>
    <w:p>
      <w:pPr>
        <w:spacing w:before="0" w:after="160"/>
      </w:pPr>
      <w:r>
        <w:rPr>
          <w:rFonts w:ascii="Times New Roman" w:hAnsi="Times New Roman"/>
          <w:sz w:val="24"/>
        </w:rPr>
        <w:t>The dependent variable is the OIS–Treasury spread, constructed as the 3-month constant-maturity T-bill yield (FRED series DGS3MO) minus the daily overnight SOFR rate (FRED series SOFR). Overnight SOFR is current and not backward-looking; an earlier version used the 90-day trailing SOFR average (SOFR90DAYAVG), which lagged the overnight rate by up to 119 bps during the 2022 hiking cycle and has been corrected. [1,2]</w:t>
      </w:r>
    </w:p>
    <w:p>
      <w:pPr>
        <w:spacing w:before="0" w:after="80"/>
      </w:pPr>
      <w:r>
        <w:rPr>
          <w:rFonts w:ascii="Times New Roman" w:hAnsi="Times New Roman"/>
          <w:sz w:val="24"/>
        </w:rPr>
        <w:t>Stablecoin supply S is total USD-pegged market capitalization sourced from the DeFiLlama stablecoins API (daily, converted to monthly), with USDT and USDC tracked individually. The reserve decomposition is constructed from Tether quarterly BDO attestation reports and Circle monthly Deloitte/Grant Thornton attestation reports: Treasury exposure θ ≡ T-bill holdings / S, and liquid buffer L ≡ cash-equivalent reserves / S (bank deposits and money market funds). Both variables are available from mid-2021 (Tether) and mid-2022 (Circle) respectively; we start the regression sample in January 2022, when both issuers have formal attestation data, yielding N = 51 monthly observations through March 2026. Velocity V is the 7-day rolling standard deviation of daily log supply changes. The RoW equity proxy is the iShares MSCI ACWI ex-US ETF (ACWX). VIX is sourced from CBOE via FRED. Between-attestation months are forward-filled from the most recent reported attestation value, not backward-filled — ensuring no future reserve information enters the construction of L or θ at the time of each observation. Near-zero web-scraping artifacts in reported cash reserves (values below $1 million) are treated as missing and forward-filled accordingly. [15]</w:t>
      </w:r>
    </w:p>
    <w:p>
      <w:pPr>
        <w:spacing w:before="0" w:after="160"/>
      </w:pPr>
      <w:r>
        <w:rPr>
          <w:rFonts w:ascii="Times New Roman" w:hAnsi="Times New Roman"/>
          <w:b w:val="0"/>
          <w:i w:val="0"/>
          <w:sz w:val="24"/>
        </w:rPr>
        <w:t xml:space="preserve">All data, code, and replication materials are publicly available at: </w:t>
      </w:r>
      <w:hyperlink r:id="rId9">
        <w:r>
          <w:rPr>
            <w:rStyle w:val="Hyperlink"/>
          </w:rPr>
          <w:t>https://github.com/kimmireu0921/Stablecoins-and-the-Exorbitant-Privilege-Safe-Asset-Demand-and-Its-Systemic-Fragility</w:t>
        </w:r>
      </w:hyperlink>
    </w:p>
    <w:p>
      <w:pPr>
        <w:spacing w:before="240" w:after="120"/>
      </w:pPr>
      <w:r>
        <w:rPr>
          <w:rFonts w:ascii="Times New Roman" w:hAnsi="Times New Roman"/>
          <w:b/>
          <w:i w:val="0"/>
          <w:sz w:val="24"/>
        </w:rPr>
        <w:t>Table 1.  Descriptive Statistics</w:t>
      </w:r>
    </w:p>
    <w:tbl>
      <w:tblPr>
        <w:tblStyle w:val="TableGrid"/>
        <w:tblW w:type="auto" w:w="0"/>
        <w:jc w:val="center"/>
        <w:tblLook w:firstColumn="1" w:firstRow="1" w:lastColumn="0" w:lastRow="0" w:noHBand="0" w:noVBand="1" w:val="04A0"/>
      </w:tblPr>
      <w:tblGrid>
        <w:gridCol w:w="945"/>
        <w:gridCol w:w="945"/>
        <w:gridCol w:w="945"/>
        <w:gridCol w:w="945"/>
        <w:gridCol w:w="945"/>
        <w:gridCol w:w="945"/>
        <w:gridCol w:w="945"/>
        <w:gridCol w:w="945"/>
        <w:gridCol w:w="945"/>
      </w:tblGrid>
      <w:tr>
        <w:tc>
          <w:tcPr>
            <w:tcW w:type="dxa" w:w="3168"/>
            <w:shd w:val="clear" w:color="auto" w:fill="BDD7EE"/>
          </w:tcPr>
          <w:p>
            <w:pPr>
              <w:jc w:val="left"/>
            </w:pPr>
            <w:r/>
            <w:r>
              <w:rPr>
                <w:rFonts w:ascii="Times New Roman" w:hAnsi="Times New Roman"/>
                <w:b/>
                <w:i w:val="0"/>
                <w:sz w:val="18"/>
              </w:rPr>
              <w:t>Variable</w:t>
            </w:r>
          </w:p>
        </w:tc>
        <w:tc>
          <w:tcPr>
            <w:tcW w:type="dxa" w:w="504"/>
            <w:shd w:val="clear" w:color="auto" w:fill="BDD7EE"/>
          </w:tcPr>
          <w:p>
            <w:pPr>
              <w:jc w:val="center"/>
            </w:pPr>
            <w:r/>
            <w:r>
              <w:rPr>
                <w:rFonts w:ascii="Times New Roman" w:hAnsi="Times New Roman"/>
                <w:b/>
                <w:i w:val="0"/>
                <w:sz w:val="18"/>
              </w:rPr>
              <w:t>N</w:t>
            </w:r>
          </w:p>
        </w:tc>
        <w:tc>
          <w:tcPr>
            <w:tcW w:type="dxa" w:w="648"/>
            <w:shd w:val="clear" w:color="auto" w:fill="BDD7EE"/>
          </w:tcPr>
          <w:p>
            <w:pPr>
              <w:jc w:val="center"/>
            </w:pPr>
            <w:r/>
            <w:r>
              <w:rPr>
                <w:rFonts w:ascii="Times New Roman" w:hAnsi="Times New Roman"/>
                <w:b/>
                <w:i w:val="0"/>
                <w:sz w:val="18"/>
              </w:rPr>
              <w:t>Mean</w:t>
            </w:r>
          </w:p>
        </w:tc>
        <w:tc>
          <w:tcPr>
            <w:tcW w:type="dxa" w:w="648"/>
            <w:shd w:val="clear" w:color="auto" w:fill="BDD7EE"/>
          </w:tcPr>
          <w:p>
            <w:pPr>
              <w:jc w:val="center"/>
            </w:pPr>
            <w:r/>
            <w:r>
              <w:rPr>
                <w:rFonts w:ascii="Times New Roman" w:hAnsi="Times New Roman"/>
                <w:b/>
                <w:i w:val="0"/>
                <w:sz w:val="18"/>
              </w:rPr>
              <w:t>Std</w:t>
            </w:r>
          </w:p>
        </w:tc>
        <w:tc>
          <w:tcPr>
            <w:tcW w:type="dxa" w:w="648"/>
            <w:shd w:val="clear" w:color="auto" w:fill="BDD7EE"/>
          </w:tcPr>
          <w:p>
            <w:pPr>
              <w:jc w:val="center"/>
            </w:pPr>
            <w:r/>
            <w:r>
              <w:rPr>
                <w:rFonts w:ascii="Times New Roman" w:hAnsi="Times New Roman"/>
                <w:b/>
                <w:i w:val="0"/>
                <w:sz w:val="18"/>
              </w:rPr>
              <w:t>Min</w:t>
            </w:r>
          </w:p>
        </w:tc>
        <w:tc>
          <w:tcPr>
            <w:tcW w:type="dxa" w:w="648"/>
            <w:shd w:val="clear" w:color="auto" w:fill="BDD7EE"/>
          </w:tcPr>
          <w:p>
            <w:pPr>
              <w:jc w:val="center"/>
            </w:pPr>
            <w:r/>
            <w:r>
              <w:rPr>
                <w:rFonts w:ascii="Times New Roman" w:hAnsi="Times New Roman"/>
                <w:b/>
                <w:i w:val="0"/>
                <w:sz w:val="18"/>
              </w:rPr>
              <w:t>p25</w:t>
            </w:r>
          </w:p>
        </w:tc>
        <w:tc>
          <w:tcPr>
            <w:tcW w:type="dxa" w:w="792"/>
            <w:shd w:val="clear" w:color="auto" w:fill="BDD7EE"/>
          </w:tcPr>
          <w:p>
            <w:pPr>
              <w:jc w:val="center"/>
            </w:pPr>
            <w:r/>
            <w:r>
              <w:rPr>
                <w:rFonts w:ascii="Times New Roman" w:hAnsi="Times New Roman"/>
                <w:b/>
                <w:i w:val="0"/>
                <w:sz w:val="18"/>
              </w:rPr>
              <w:t>Median</w:t>
            </w:r>
          </w:p>
        </w:tc>
        <w:tc>
          <w:tcPr>
            <w:tcW w:type="dxa" w:w="648"/>
            <w:shd w:val="clear" w:color="auto" w:fill="BDD7EE"/>
          </w:tcPr>
          <w:p>
            <w:pPr>
              <w:jc w:val="center"/>
            </w:pPr>
            <w:r/>
            <w:r>
              <w:rPr>
                <w:rFonts w:ascii="Times New Roman" w:hAnsi="Times New Roman"/>
                <w:b/>
                <w:i w:val="0"/>
                <w:sz w:val="18"/>
              </w:rPr>
              <w:t>p75</w:t>
            </w:r>
          </w:p>
        </w:tc>
        <w:tc>
          <w:tcPr>
            <w:tcW w:type="dxa" w:w="648"/>
            <w:shd w:val="clear" w:color="auto" w:fill="BDD7EE"/>
          </w:tcPr>
          <w:p>
            <w:pPr>
              <w:jc w:val="center"/>
            </w:pPr>
            <w:r/>
            <w:r>
              <w:rPr>
                <w:rFonts w:ascii="Times New Roman" w:hAnsi="Times New Roman"/>
                <w:b/>
                <w:i w:val="0"/>
                <w:sz w:val="18"/>
              </w:rPr>
              <w:t>Max</w:t>
            </w:r>
          </w:p>
        </w:tc>
      </w:tr>
      <w:tr>
        <w:tc>
          <w:tcPr>
            <w:tcW w:type="dxa" w:w="945"/>
            <w:shd w:val="clear" w:color="auto" w:fill="EBF3FB"/>
          </w:tcPr>
          <w:p>
            <w:pPr>
              <w:jc w:val="left"/>
            </w:pPr>
            <w:r/>
            <w:r>
              <w:rPr>
                <w:rFonts w:ascii="Times New Roman" w:hAnsi="Times New Roman"/>
                <w:b w:val="0"/>
                <w:i w:val="0"/>
                <w:sz w:val="18"/>
              </w:rPr>
              <w:t>OIS–Treasury spread (pp)</w:t>
            </w:r>
          </w:p>
        </w:tc>
        <w:tc>
          <w:tcPr>
            <w:tcW w:type="dxa" w:w="945"/>
            <w:shd w:val="clear" w:color="auto" w:fill="EBF3FB"/>
          </w:tcPr>
          <w:p>
            <w:pPr>
              <w:jc w:val="center"/>
            </w:pPr>
            <w:r/>
            <w:r>
              <w:rPr>
                <w:rFonts w:ascii="Times New Roman" w:hAnsi="Times New Roman"/>
                <w:b w:val="0"/>
                <w:i w:val="0"/>
                <w:sz w:val="18"/>
              </w:rPr>
              <w:t>51</w:t>
            </w:r>
          </w:p>
        </w:tc>
        <w:tc>
          <w:tcPr>
            <w:tcW w:type="dxa" w:w="945"/>
            <w:shd w:val="clear" w:color="auto" w:fill="EBF3FB"/>
          </w:tcPr>
          <w:p>
            <w:pPr>
              <w:jc w:val="center"/>
            </w:pPr>
            <w:r/>
            <w:r>
              <w:rPr>
                <w:rFonts w:ascii="Times New Roman" w:hAnsi="Times New Roman"/>
                <w:b w:val="0"/>
                <w:i w:val="0"/>
                <w:sz w:val="18"/>
              </w:rPr>
              <w:t>0.166</w:t>
            </w:r>
          </w:p>
        </w:tc>
        <w:tc>
          <w:tcPr>
            <w:tcW w:type="dxa" w:w="945"/>
            <w:shd w:val="clear" w:color="auto" w:fill="EBF3FB"/>
          </w:tcPr>
          <w:p>
            <w:pPr>
              <w:jc w:val="center"/>
            </w:pPr>
            <w:r/>
            <w:r>
              <w:rPr>
                <w:rFonts w:ascii="Times New Roman" w:hAnsi="Times New Roman"/>
                <w:b w:val="0"/>
                <w:i w:val="0"/>
                <w:sz w:val="18"/>
              </w:rPr>
              <w:t>0.227</w:t>
            </w:r>
          </w:p>
        </w:tc>
        <w:tc>
          <w:tcPr>
            <w:tcW w:type="dxa" w:w="945"/>
            <w:shd w:val="clear" w:color="auto" w:fill="EBF3FB"/>
          </w:tcPr>
          <w:p>
            <w:pPr>
              <w:jc w:val="center"/>
            </w:pPr>
            <w:r/>
            <w:r>
              <w:rPr>
                <w:rFonts w:ascii="Times New Roman" w:hAnsi="Times New Roman"/>
                <w:b w:val="0"/>
                <w:i w:val="0"/>
                <w:sz w:val="18"/>
              </w:rPr>
              <w:t>−0.230</w:t>
            </w:r>
          </w:p>
        </w:tc>
        <w:tc>
          <w:tcPr>
            <w:tcW w:type="dxa" w:w="945"/>
            <w:shd w:val="clear" w:color="auto" w:fill="EBF3FB"/>
          </w:tcPr>
          <w:p>
            <w:pPr>
              <w:jc w:val="center"/>
            </w:pPr>
            <w:r/>
            <w:r>
              <w:rPr>
                <w:rFonts w:ascii="Times New Roman" w:hAnsi="Times New Roman"/>
                <w:b w:val="0"/>
                <w:i w:val="0"/>
                <w:sz w:val="18"/>
              </w:rPr>
              <w:t>0.001</w:t>
            </w:r>
          </w:p>
        </w:tc>
        <w:tc>
          <w:tcPr>
            <w:tcW w:type="dxa" w:w="945"/>
            <w:shd w:val="clear" w:color="auto" w:fill="EBF3FB"/>
          </w:tcPr>
          <w:p>
            <w:pPr>
              <w:jc w:val="center"/>
            </w:pPr>
            <w:r/>
            <w:r>
              <w:rPr>
                <w:rFonts w:ascii="Times New Roman" w:hAnsi="Times New Roman"/>
                <w:b w:val="0"/>
                <w:i w:val="0"/>
                <w:sz w:val="18"/>
              </w:rPr>
              <w:t>0.132</w:t>
            </w:r>
          </w:p>
        </w:tc>
        <w:tc>
          <w:tcPr>
            <w:tcW w:type="dxa" w:w="945"/>
            <w:shd w:val="clear" w:color="auto" w:fill="EBF3FB"/>
          </w:tcPr>
          <w:p>
            <w:pPr>
              <w:jc w:val="center"/>
            </w:pPr>
            <w:r/>
            <w:r>
              <w:rPr>
                <w:rFonts w:ascii="Times New Roman" w:hAnsi="Times New Roman"/>
                <w:b w:val="0"/>
                <w:i w:val="0"/>
                <w:sz w:val="18"/>
              </w:rPr>
              <w:t>0.272</w:t>
            </w:r>
          </w:p>
        </w:tc>
        <w:tc>
          <w:tcPr>
            <w:tcW w:type="dxa" w:w="945"/>
            <w:shd w:val="clear" w:color="auto" w:fill="EBF3FB"/>
          </w:tcPr>
          <w:p>
            <w:pPr>
              <w:jc w:val="center"/>
            </w:pPr>
            <w:r/>
            <w:r>
              <w:rPr>
                <w:rFonts w:ascii="Times New Roman" w:hAnsi="Times New Roman"/>
                <w:b w:val="0"/>
                <w:i w:val="0"/>
                <w:sz w:val="18"/>
              </w:rPr>
              <w:t>0.792</w:t>
            </w:r>
          </w:p>
        </w:tc>
      </w:tr>
      <w:tr>
        <w:tc>
          <w:tcPr>
            <w:tcW w:type="dxa" w:w="945"/>
            <w:shd w:val="clear" w:color="auto" w:fill="FFFFFF"/>
          </w:tcPr>
          <w:p>
            <w:pPr>
              <w:jc w:val="left"/>
            </w:pPr>
            <w:r/>
            <w:r>
              <w:rPr>
                <w:rFonts w:ascii="Times New Roman" w:hAnsi="Times New Roman"/>
                <w:b w:val="0"/>
                <w:i w:val="0"/>
                <w:sz w:val="18"/>
              </w:rPr>
              <w:t>ΔlnS  (monthly log-change in supply)</w:t>
            </w:r>
          </w:p>
        </w:tc>
        <w:tc>
          <w:tcPr>
            <w:tcW w:type="dxa" w:w="945"/>
            <w:shd w:val="clear" w:color="auto" w:fill="FFFFFF"/>
          </w:tcPr>
          <w:p>
            <w:pPr>
              <w:jc w:val="center"/>
            </w:pPr>
            <w:r/>
            <w:r>
              <w:rPr>
                <w:rFonts w:ascii="Times New Roman" w:hAnsi="Times New Roman"/>
                <w:b w:val="0"/>
                <w:i w:val="0"/>
                <w:sz w:val="18"/>
              </w:rPr>
              <w:t>51</w:t>
            </w:r>
          </w:p>
        </w:tc>
        <w:tc>
          <w:tcPr>
            <w:tcW w:type="dxa" w:w="945"/>
            <w:shd w:val="clear" w:color="auto" w:fill="FFFFFF"/>
          </w:tcPr>
          <w:p>
            <w:pPr>
              <w:jc w:val="center"/>
            </w:pPr>
            <w:r/>
            <w:r>
              <w:rPr>
                <w:rFonts w:ascii="Times New Roman" w:hAnsi="Times New Roman"/>
                <w:b w:val="0"/>
                <w:i w:val="0"/>
                <w:sz w:val="18"/>
              </w:rPr>
              <w:t>0.013</w:t>
            </w:r>
          </w:p>
        </w:tc>
        <w:tc>
          <w:tcPr>
            <w:tcW w:type="dxa" w:w="945"/>
            <w:shd w:val="clear" w:color="auto" w:fill="FFFFFF"/>
          </w:tcPr>
          <w:p>
            <w:pPr>
              <w:jc w:val="center"/>
            </w:pPr>
            <w:r/>
            <w:r>
              <w:rPr>
                <w:rFonts w:ascii="Times New Roman" w:hAnsi="Times New Roman"/>
                <w:b w:val="0"/>
                <w:i w:val="0"/>
                <w:sz w:val="18"/>
              </w:rPr>
              <w:t>0.040</w:t>
            </w:r>
          </w:p>
        </w:tc>
        <w:tc>
          <w:tcPr>
            <w:tcW w:type="dxa" w:w="945"/>
            <w:shd w:val="clear" w:color="auto" w:fill="FFFFFF"/>
          </w:tcPr>
          <w:p>
            <w:pPr>
              <w:jc w:val="center"/>
            </w:pPr>
            <w:r/>
            <w:r>
              <w:rPr>
                <w:rFonts w:ascii="Times New Roman" w:hAnsi="Times New Roman"/>
                <w:b w:val="0"/>
                <w:i w:val="0"/>
                <w:sz w:val="18"/>
              </w:rPr>
              <w:t>−0.163</w:t>
            </w:r>
          </w:p>
        </w:tc>
        <w:tc>
          <w:tcPr>
            <w:tcW w:type="dxa" w:w="945"/>
            <w:shd w:val="clear" w:color="auto" w:fill="FFFFFF"/>
          </w:tcPr>
          <w:p>
            <w:pPr>
              <w:jc w:val="center"/>
            </w:pPr>
            <w:r/>
            <w:r>
              <w:rPr>
                <w:rFonts w:ascii="Times New Roman" w:hAnsi="Times New Roman"/>
                <w:b w:val="0"/>
                <w:i w:val="0"/>
                <w:sz w:val="18"/>
              </w:rPr>
              <w:t>−0.008</w:t>
            </w:r>
          </w:p>
        </w:tc>
        <w:tc>
          <w:tcPr>
            <w:tcW w:type="dxa" w:w="945"/>
            <w:shd w:val="clear" w:color="auto" w:fill="FFFFFF"/>
          </w:tcPr>
          <w:p>
            <w:pPr>
              <w:jc w:val="center"/>
            </w:pPr>
            <w:r/>
            <w:r>
              <w:rPr>
                <w:rFonts w:ascii="Times New Roman" w:hAnsi="Times New Roman"/>
                <w:b w:val="0"/>
                <w:i w:val="0"/>
                <w:sz w:val="18"/>
              </w:rPr>
              <w:t>0.010</w:t>
            </w:r>
          </w:p>
        </w:tc>
        <w:tc>
          <w:tcPr>
            <w:tcW w:type="dxa" w:w="945"/>
            <w:shd w:val="clear" w:color="auto" w:fill="FFFFFF"/>
          </w:tcPr>
          <w:p>
            <w:pPr>
              <w:jc w:val="center"/>
            </w:pPr>
            <w:r/>
            <w:r>
              <w:rPr>
                <w:rFonts w:ascii="Times New Roman" w:hAnsi="Times New Roman"/>
                <w:b w:val="0"/>
                <w:i w:val="0"/>
                <w:sz w:val="18"/>
              </w:rPr>
              <w:t>0.036</w:t>
            </w:r>
          </w:p>
        </w:tc>
        <w:tc>
          <w:tcPr>
            <w:tcW w:type="dxa" w:w="945"/>
            <w:shd w:val="clear" w:color="auto" w:fill="FFFFFF"/>
          </w:tcPr>
          <w:p>
            <w:pPr>
              <w:jc w:val="center"/>
            </w:pPr>
            <w:r/>
            <w:r>
              <w:rPr>
                <w:rFonts w:ascii="Times New Roman" w:hAnsi="Times New Roman"/>
                <w:b w:val="0"/>
                <w:i w:val="0"/>
                <w:sz w:val="18"/>
              </w:rPr>
              <w:t>0.117</w:t>
            </w:r>
          </w:p>
        </w:tc>
      </w:tr>
      <w:tr>
        <w:tc>
          <w:tcPr>
            <w:tcW w:type="dxa" w:w="945"/>
            <w:shd w:val="clear" w:color="auto" w:fill="EBF3FB"/>
          </w:tcPr>
          <w:p>
            <w:pPr>
              <w:jc w:val="left"/>
            </w:pPr>
            <w:r/>
            <w:r>
              <w:rPr>
                <w:rFonts w:ascii="Times New Roman" w:hAnsi="Times New Roman"/>
                <w:b w:val="0"/>
                <w:i w:val="0"/>
                <w:sz w:val="18"/>
              </w:rPr>
              <w:t>θ  (Treasury Exposure = T-bills / supply)</w:t>
            </w:r>
          </w:p>
        </w:tc>
        <w:tc>
          <w:tcPr>
            <w:tcW w:type="dxa" w:w="945"/>
            <w:shd w:val="clear" w:color="auto" w:fill="EBF3FB"/>
          </w:tcPr>
          <w:p>
            <w:pPr>
              <w:jc w:val="center"/>
            </w:pPr>
            <w:r/>
            <w:r>
              <w:rPr>
                <w:rFonts w:ascii="Times New Roman" w:hAnsi="Times New Roman"/>
                <w:b w:val="0"/>
                <w:i w:val="0"/>
                <w:sz w:val="18"/>
              </w:rPr>
              <w:t>51</w:t>
            </w:r>
          </w:p>
        </w:tc>
        <w:tc>
          <w:tcPr>
            <w:tcW w:type="dxa" w:w="945"/>
            <w:shd w:val="clear" w:color="auto" w:fill="EBF3FB"/>
          </w:tcPr>
          <w:p>
            <w:pPr>
              <w:jc w:val="center"/>
            </w:pPr>
            <w:r/>
            <w:r>
              <w:rPr>
                <w:rFonts w:ascii="Times New Roman" w:hAnsi="Times New Roman"/>
                <w:b w:val="0"/>
                <w:i w:val="0"/>
                <w:sz w:val="18"/>
              </w:rPr>
              <w:t>0.371</w:t>
            </w:r>
          </w:p>
        </w:tc>
        <w:tc>
          <w:tcPr>
            <w:tcW w:type="dxa" w:w="945"/>
            <w:shd w:val="clear" w:color="auto" w:fill="EBF3FB"/>
          </w:tcPr>
          <w:p>
            <w:pPr>
              <w:jc w:val="center"/>
            </w:pPr>
            <w:r/>
            <w:r>
              <w:rPr>
                <w:rFonts w:ascii="Times New Roman" w:hAnsi="Times New Roman"/>
                <w:b w:val="0"/>
                <w:i w:val="0"/>
                <w:sz w:val="18"/>
              </w:rPr>
              <w:t>0.253</w:t>
            </w:r>
          </w:p>
        </w:tc>
        <w:tc>
          <w:tcPr>
            <w:tcW w:type="dxa" w:w="945"/>
            <w:shd w:val="clear" w:color="auto" w:fill="EBF3FB"/>
          </w:tcPr>
          <w:p>
            <w:pPr>
              <w:jc w:val="center"/>
            </w:pPr>
            <w:r/>
            <w:r>
              <w:rPr>
                <w:rFonts w:ascii="Times New Roman" w:hAnsi="Times New Roman"/>
                <w:b w:val="0"/>
                <w:i w:val="0"/>
                <w:sz w:val="18"/>
              </w:rPr>
              <w:t>0.000</w:t>
            </w:r>
          </w:p>
        </w:tc>
        <w:tc>
          <w:tcPr>
            <w:tcW w:type="dxa" w:w="945"/>
            <w:shd w:val="clear" w:color="auto" w:fill="EBF3FB"/>
          </w:tcPr>
          <w:p>
            <w:pPr>
              <w:jc w:val="center"/>
            </w:pPr>
            <w:r/>
            <w:r>
              <w:rPr>
                <w:rFonts w:ascii="Times New Roman" w:hAnsi="Times New Roman"/>
                <w:b w:val="0"/>
                <w:i w:val="0"/>
                <w:sz w:val="18"/>
              </w:rPr>
              <w:t>0.259</w:t>
            </w:r>
          </w:p>
        </w:tc>
        <w:tc>
          <w:tcPr>
            <w:tcW w:type="dxa" w:w="945"/>
            <w:shd w:val="clear" w:color="auto" w:fill="EBF3FB"/>
          </w:tcPr>
          <w:p>
            <w:pPr>
              <w:jc w:val="center"/>
            </w:pPr>
            <w:r/>
            <w:r>
              <w:rPr>
                <w:rFonts w:ascii="Times New Roman" w:hAnsi="Times New Roman"/>
                <w:b w:val="0"/>
                <w:i w:val="0"/>
                <w:sz w:val="18"/>
              </w:rPr>
              <w:t>0.391</w:t>
            </w:r>
          </w:p>
        </w:tc>
        <w:tc>
          <w:tcPr>
            <w:tcW w:type="dxa" w:w="945"/>
            <w:shd w:val="clear" w:color="auto" w:fill="EBF3FB"/>
          </w:tcPr>
          <w:p>
            <w:pPr>
              <w:jc w:val="center"/>
            </w:pPr>
            <w:r/>
            <w:r>
              <w:rPr>
                <w:rFonts w:ascii="Times New Roman" w:hAnsi="Times New Roman"/>
                <w:b w:val="0"/>
                <w:i w:val="0"/>
                <w:sz w:val="18"/>
              </w:rPr>
              <w:t>0.534</w:t>
            </w:r>
          </w:p>
        </w:tc>
        <w:tc>
          <w:tcPr>
            <w:tcW w:type="dxa" w:w="945"/>
            <w:shd w:val="clear" w:color="auto" w:fill="EBF3FB"/>
          </w:tcPr>
          <w:p>
            <w:pPr>
              <w:jc w:val="center"/>
            </w:pPr>
            <w:r/>
            <w:r>
              <w:rPr>
                <w:rFonts w:ascii="Times New Roman" w:hAnsi="Times New Roman"/>
                <w:b w:val="0"/>
                <w:i w:val="0"/>
                <w:sz w:val="18"/>
              </w:rPr>
              <w:t>0.830</w:t>
            </w:r>
          </w:p>
        </w:tc>
      </w:tr>
      <w:tr>
        <w:tc>
          <w:tcPr>
            <w:tcW w:type="dxa" w:w="945"/>
            <w:shd w:val="clear" w:color="auto" w:fill="FFFFFF"/>
          </w:tcPr>
          <w:p>
            <w:pPr>
              <w:jc w:val="left"/>
            </w:pPr>
            <w:r/>
            <w:r>
              <w:rPr>
                <w:rFonts w:ascii="Times New Roman" w:hAnsi="Times New Roman"/>
                <w:b w:val="0"/>
                <w:i w:val="0"/>
                <w:sz w:val="18"/>
              </w:rPr>
              <w:t>L  (Liquid Buffer = cash reserves / supply)</w:t>
            </w:r>
          </w:p>
        </w:tc>
        <w:tc>
          <w:tcPr>
            <w:tcW w:type="dxa" w:w="945"/>
            <w:shd w:val="clear" w:color="auto" w:fill="FFFFFF"/>
          </w:tcPr>
          <w:p>
            <w:pPr>
              <w:jc w:val="center"/>
            </w:pPr>
            <w:r/>
            <w:r>
              <w:rPr>
                <w:rFonts w:ascii="Times New Roman" w:hAnsi="Times New Roman"/>
                <w:b w:val="0"/>
                <w:i w:val="0"/>
                <w:sz w:val="18"/>
              </w:rPr>
              <w:t>51</w:t>
            </w:r>
          </w:p>
        </w:tc>
        <w:tc>
          <w:tcPr>
            <w:tcW w:type="dxa" w:w="945"/>
            <w:shd w:val="clear" w:color="auto" w:fill="FFFFFF"/>
          </w:tcPr>
          <w:p>
            <w:pPr>
              <w:jc w:val="center"/>
            </w:pPr>
            <w:r/>
            <w:r>
              <w:rPr>
                <w:rFonts w:ascii="Times New Roman" w:hAnsi="Times New Roman"/>
                <w:b w:val="0"/>
                <w:i w:val="0"/>
                <w:sz w:val="18"/>
              </w:rPr>
              <w:t>0.085</w:t>
            </w:r>
          </w:p>
        </w:tc>
        <w:tc>
          <w:tcPr>
            <w:tcW w:type="dxa" w:w="945"/>
            <w:shd w:val="clear" w:color="auto" w:fill="FFFFFF"/>
          </w:tcPr>
          <w:p>
            <w:pPr>
              <w:jc w:val="center"/>
            </w:pPr>
            <w:r/>
            <w:r>
              <w:rPr>
                <w:rFonts w:ascii="Times New Roman" w:hAnsi="Times New Roman"/>
                <w:b w:val="0"/>
                <w:i w:val="0"/>
                <w:sz w:val="18"/>
              </w:rPr>
              <w:t>0.064</w:t>
            </w:r>
          </w:p>
        </w:tc>
        <w:tc>
          <w:tcPr>
            <w:tcW w:type="dxa" w:w="945"/>
            <w:shd w:val="clear" w:color="auto" w:fill="FFFFFF"/>
          </w:tcPr>
          <w:p>
            <w:pPr>
              <w:jc w:val="center"/>
            </w:pPr>
            <w:r/>
            <w:r>
              <w:rPr>
                <w:rFonts w:ascii="Times New Roman" w:hAnsi="Times New Roman"/>
                <w:b w:val="0"/>
                <w:i w:val="0"/>
                <w:sz w:val="18"/>
              </w:rPr>
              <w:t>0.000</w:t>
            </w:r>
          </w:p>
        </w:tc>
        <w:tc>
          <w:tcPr>
            <w:tcW w:type="dxa" w:w="945"/>
            <w:shd w:val="clear" w:color="auto" w:fill="FFFFFF"/>
          </w:tcPr>
          <w:p>
            <w:pPr>
              <w:jc w:val="center"/>
            </w:pPr>
            <w:r/>
            <w:r>
              <w:rPr>
                <w:rFonts w:ascii="Times New Roman" w:hAnsi="Times New Roman"/>
                <w:b w:val="0"/>
                <w:i w:val="0"/>
                <w:sz w:val="18"/>
              </w:rPr>
              <w:t>0.026</w:t>
            </w:r>
          </w:p>
        </w:tc>
        <w:tc>
          <w:tcPr>
            <w:tcW w:type="dxa" w:w="945"/>
            <w:shd w:val="clear" w:color="auto" w:fill="FFFFFF"/>
          </w:tcPr>
          <w:p>
            <w:pPr>
              <w:jc w:val="center"/>
            </w:pPr>
            <w:r/>
            <w:r>
              <w:rPr>
                <w:rFonts w:ascii="Times New Roman" w:hAnsi="Times New Roman"/>
                <w:b w:val="0"/>
                <w:i w:val="0"/>
                <w:sz w:val="18"/>
              </w:rPr>
              <w:t>0.092</w:t>
            </w:r>
          </w:p>
        </w:tc>
        <w:tc>
          <w:tcPr>
            <w:tcW w:type="dxa" w:w="945"/>
            <w:shd w:val="clear" w:color="auto" w:fill="FFFFFF"/>
          </w:tcPr>
          <w:p>
            <w:pPr>
              <w:jc w:val="center"/>
            </w:pPr>
            <w:r/>
            <w:r>
              <w:rPr>
                <w:rFonts w:ascii="Times New Roman" w:hAnsi="Times New Roman"/>
                <w:b w:val="0"/>
                <w:i w:val="0"/>
                <w:sz w:val="18"/>
              </w:rPr>
              <w:t>0.131</w:t>
            </w:r>
          </w:p>
        </w:tc>
        <w:tc>
          <w:tcPr>
            <w:tcW w:type="dxa" w:w="945"/>
            <w:shd w:val="clear" w:color="auto" w:fill="FFFFFF"/>
          </w:tcPr>
          <w:p>
            <w:pPr>
              <w:jc w:val="center"/>
            </w:pPr>
            <w:r/>
            <w:r>
              <w:rPr>
                <w:rFonts w:ascii="Times New Roman" w:hAnsi="Times New Roman"/>
                <w:b w:val="0"/>
                <w:i w:val="0"/>
                <w:sz w:val="18"/>
              </w:rPr>
              <w:t>0.223</w:t>
            </w:r>
          </w:p>
        </w:tc>
      </w:tr>
      <w:tr>
        <w:tc>
          <w:tcPr>
            <w:tcW w:type="dxa" w:w="945"/>
            <w:shd w:val="clear" w:color="auto" w:fill="EBF3FB"/>
          </w:tcPr>
          <w:p>
            <w:pPr>
              <w:jc w:val="left"/>
            </w:pPr>
            <w:r/>
            <w:r>
              <w:rPr>
                <w:rFonts w:ascii="Times New Roman" w:hAnsi="Times New Roman"/>
                <w:b w:val="0"/>
                <w:i w:val="0"/>
                <w:sz w:val="18"/>
              </w:rPr>
              <w:t>V  (supply-growth volatility, 7-day rolling SD of Δ supply)</w:t>
            </w:r>
          </w:p>
        </w:tc>
        <w:tc>
          <w:tcPr>
            <w:tcW w:type="dxa" w:w="945"/>
            <w:shd w:val="clear" w:color="auto" w:fill="EBF3FB"/>
          </w:tcPr>
          <w:p>
            <w:pPr>
              <w:jc w:val="center"/>
            </w:pPr>
            <w:r/>
            <w:r>
              <w:rPr>
                <w:rFonts w:ascii="Times New Roman" w:hAnsi="Times New Roman"/>
                <w:b w:val="0"/>
                <w:i w:val="0"/>
                <w:sz w:val="18"/>
              </w:rPr>
              <w:t>51</w:t>
            </w:r>
          </w:p>
        </w:tc>
        <w:tc>
          <w:tcPr>
            <w:tcW w:type="dxa" w:w="945"/>
            <w:shd w:val="clear" w:color="auto" w:fill="EBF3FB"/>
          </w:tcPr>
          <w:p>
            <w:pPr>
              <w:jc w:val="center"/>
            </w:pPr>
            <w:r/>
            <w:r>
              <w:rPr>
                <w:rFonts w:ascii="Times New Roman" w:hAnsi="Times New Roman"/>
                <w:b w:val="0"/>
                <w:i w:val="0"/>
                <w:sz w:val="18"/>
              </w:rPr>
              <w:t>0.002</w:t>
            </w:r>
          </w:p>
        </w:tc>
        <w:tc>
          <w:tcPr>
            <w:tcW w:type="dxa" w:w="945"/>
            <w:shd w:val="clear" w:color="auto" w:fill="EBF3FB"/>
          </w:tcPr>
          <w:p>
            <w:pPr>
              <w:jc w:val="center"/>
            </w:pPr>
            <w:r/>
            <w:r>
              <w:rPr>
                <w:rFonts w:ascii="Times New Roman" w:hAnsi="Times New Roman"/>
                <w:b w:val="0"/>
                <w:i w:val="0"/>
                <w:sz w:val="18"/>
              </w:rPr>
              <w:t>0.002</w:t>
            </w:r>
          </w:p>
        </w:tc>
        <w:tc>
          <w:tcPr>
            <w:tcW w:type="dxa" w:w="945"/>
            <w:shd w:val="clear" w:color="auto" w:fill="EBF3FB"/>
          </w:tcPr>
          <w:p>
            <w:pPr>
              <w:jc w:val="center"/>
            </w:pPr>
            <w:r/>
            <w:r>
              <w:rPr>
                <w:rFonts w:ascii="Times New Roman" w:hAnsi="Times New Roman"/>
                <w:b w:val="0"/>
                <w:i w:val="0"/>
                <w:sz w:val="18"/>
              </w:rPr>
              <w:t>0.001</w:t>
            </w:r>
          </w:p>
        </w:tc>
        <w:tc>
          <w:tcPr>
            <w:tcW w:type="dxa" w:w="945"/>
            <w:shd w:val="clear" w:color="auto" w:fill="EBF3FB"/>
          </w:tcPr>
          <w:p>
            <w:pPr>
              <w:jc w:val="center"/>
            </w:pPr>
            <w:r/>
            <w:r>
              <w:rPr>
                <w:rFonts w:ascii="Times New Roman" w:hAnsi="Times New Roman"/>
                <w:b w:val="0"/>
                <w:i w:val="0"/>
                <w:sz w:val="18"/>
              </w:rPr>
              <w:t>0.001</w:t>
            </w:r>
          </w:p>
        </w:tc>
        <w:tc>
          <w:tcPr>
            <w:tcW w:type="dxa" w:w="945"/>
            <w:shd w:val="clear" w:color="auto" w:fill="EBF3FB"/>
          </w:tcPr>
          <w:p>
            <w:pPr>
              <w:jc w:val="center"/>
            </w:pPr>
            <w:r/>
            <w:r>
              <w:rPr>
                <w:rFonts w:ascii="Times New Roman" w:hAnsi="Times New Roman"/>
                <w:b w:val="0"/>
                <w:i w:val="0"/>
                <w:sz w:val="18"/>
              </w:rPr>
              <w:t>0.002</w:t>
            </w:r>
          </w:p>
        </w:tc>
        <w:tc>
          <w:tcPr>
            <w:tcW w:type="dxa" w:w="945"/>
            <w:shd w:val="clear" w:color="auto" w:fill="EBF3FB"/>
          </w:tcPr>
          <w:p>
            <w:pPr>
              <w:jc w:val="center"/>
            </w:pPr>
            <w:r/>
            <w:r>
              <w:rPr>
                <w:rFonts w:ascii="Times New Roman" w:hAnsi="Times New Roman"/>
                <w:b w:val="0"/>
                <w:i w:val="0"/>
                <w:sz w:val="18"/>
              </w:rPr>
              <w:t>0.002</w:t>
            </w:r>
          </w:p>
        </w:tc>
        <w:tc>
          <w:tcPr>
            <w:tcW w:type="dxa" w:w="945"/>
            <w:shd w:val="clear" w:color="auto" w:fill="EBF3FB"/>
          </w:tcPr>
          <w:p>
            <w:pPr>
              <w:jc w:val="center"/>
            </w:pPr>
            <w:r/>
            <w:r>
              <w:rPr>
                <w:rFonts w:ascii="Times New Roman" w:hAnsi="Times New Roman"/>
                <w:b w:val="0"/>
                <w:i w:val="0"/>
                <w:sz w:val="18"/>
              </w:rPr>
              <w:t>0.011</w:t>
            </w:r>
          </w:p>
        </w:tc>
      </w:tr>
      <w:tr>
        <w:tc>
          <w:tcPr>
            <w:tcW w:type="dxa" w:w="945"/>
            <w:shd w:val="clear" w:color="auto" w:fill="FFFFFF"/>
          </w:tcPr>
          <w:p>
            <w:pPr>
              <w:jc w:val="left"/>
            </w:pPr>
            <w:r/>
            <w:r>
              <w:rPr>
                <w:rFonts w:ascii="Times New Roman" w:hAnsi="Times New Roman"/>
                <w:b w:val="0"/>
                <w:i w:val="0"/>
                <w:sz w:val="18"/>
              </w:rPr>
              <w:t>VIX</w:t>
            </w:r>
          </w:p>
        </w:tc>
        <w:tc>
          <w:tcPr>
            <w:tcW w:type="dxa" w:w="945"/>
            <w:shd w:val="clear" w:color="auto" w:fill="FFFFFF"/>
          </w:tcPr>
          <w:p>
            <w:pPr>
              <w:jc w:val="center"/>
            </w:pPr>
            <w:r/>
            <w:r>
              <w:rPr>
                <w:rFonts w:ascii="Times New Roman" w:hAnsi="Times New Roman"/>
                <w:b w:val="0"/>
                <w:i w:val="0"/>
                <w:sz w:val="18"/>
              </w:rPr>
              <w:t>51</w:t>
            </w:r>
          </w:p>
        </w:tc>
        <w:tc>
          <w:tcPr>
            <w:tcW w:type="dxa" w:w="945"/>
            <w:shd w:val="clear" w:color="auto" w:fill="FFFFFF"/>
          </w:tcPr>
          <w:p>
            <w:pPr>
              <w:jc w:val="center"/>
            </w:pPr>
            <w:r/>
            <w:r>
              <w:rPr>
                <w:rFonts w:ascii="Times New Roman" w:hAnsi="Times New Roman"/>
                <w:b w:val="0"/>
                <w:i w:val="0"/>
                <w:sz w:val="18"/>
              </w:rPr>
              <w:t>19.26</w:t>
            </w:r>
          </w:p>
        </w:tc>
        <w:tc>
          <w:tcPr>
            <w:tcW w:type="dxa" w:w="945"/>
            <w:shd w:val="clear" w:color="auto" w:fill="FFFFFF"/>
          </w:tcPr>
          <w:p>
            <w:pPr>
              <w:jc w:val="center"/>
            </w:pPr>
            <w:r/>
            <w:r>
              <w:rPr>
                <w:rFonts w:ascii="Times New Roman" w:hAnsi="Times New Roman"/>
                <w:b w:val="0"/>
                <w:i w:val="0"/>
                <w:sz w:val="18"/>
              </w:rPr>
              <w:t>5.03</w:t>
            </w:r>
          </w:p>
        </w:tc>
        <w:tc>
          <w:tcPr>
            <w:tcW w:type="dxa" w:w="945"/>
            <w:shd w:val="clear" w:color="auto" w:fill="FFFFFF"/>
          </w:tcPr>
          <w:p>
            <w:pPr>
              <w:jc w:val="center"/>
            </w:pPr>
            <w:r/>
            <w:r>
              <w:rPr>
                <w:rFonts w:ascii="Times New Roman" w:hAnsi="Times New Roman"/>
                <w:b w:val="0"/>
                <w:i w:val="0"/>
                <w:sz w:val="18"/>
              </w:rPr>
              <w:t>12.67</w:t>
            </w:r>
          </w:p>
        </w:tc>
        <w:tc>
          <w:tcPr>
            <w:tcW w:type="dxa" w:w="945"/>
            <w:shd w:val="clear" w:color="auto" w:fill="FFFFFF"/>
          </w:tcPr>
          <w:p>
            <w:pPr>
              <w:jc w:val="center"/>
            </w:pPr>
            <w:r/>
            <w:r>
              <w:rPr>
                <w:rFonts w:ascii="Times New Roman" w:hAnsi="Times New Roman"/>
                <w:b w:val="0"/>
                <w:i w:val="0"/>
                <w:sz w:val="18"/>
              </w:rPr>
              <w:t>15.60</w:t>
            </w:r>
          </w:p>
        </w:tc>
        <w:tc>
          <w:tcPr>
            <w:tcW w:type="dxa" w:w="945"/>
            <w:shd w:val="clear" w:color="auto" w:fill="FFFFFF"/>
          </w:tcPr>
          <w:p>
            <w:pPr>
              <w:jc w:val="center"/>
            </w:pPr>
            <w:r/>
            <w:r>
              <w:rPr>
                <w:rFonts w:ascii="Times New Roman" w:hAnsi="Times New Roman"/>
                <w:b w:val="0"/>
                <w:i w:val="0"/>
                <w:sz w:val="18"/>
              </w:rPr>
              <w:t>18.29</w:t>
            </w:r>
          </w:p>
        </w:tc>
        <w:tc>
          <w:tcPr>
            <w:tcW w:type="dxa" w:w="945"/>
            <w:shd w:val="clear" w:color="auto" w:fill="FFFFFF"/>
          </w:tcPr>
          <w:p>
            <w:pPr>
              <w:jc w:val="center"/>
            </w:pPr>
            <w:r/>
            <w:r>
              <w:rPr>
                <w:rFonts w:ascii="Times New Roman" w:hAnsi="Times New Roman"/>
                <w:b w:val="0"/>
                <w:i w:val="0"/>
                <w:sz w:val="18"/>
              </w:rPr>
              <w:t>21.98</w:t>
            </w:r>
          </w:p>
        </w:tc>
        <w:tc>
          <w:tcPr>
            <w:tcW w:type="dxa" w:w="945"/>
            <w:shd w:val="clear" w:color="auto" w:fill="FFFFFF"/>
          </w:tcPr>
          <w:p>
            <w:pPr>
              <w:jc w:val="center"/>
            </w:pPr>
            <w:r/>
            <w:r>
              <w:rPr>
                <w:rFonts w:ascii="Times New Roman" w:hAnsi="Times New Roman"/>
                <w:b w:val="0"/>
                <w:i w:val="0"/>
                <w:sz w:val="18"/>
              </w:rPr>
              <w:t>32.52</w:t>
            </w:r>
          </w:p>
        </w:tc>
      </w:tr>
      <w:tr>
        <w:tc>
          <w:tcPr>
            <w:tcW w:type="dxa" w:w="945"/>
            <w:shd w:val="clear" w:color="auto" w:fill="EBF3FB"/>
          </w:tcPr>
          <w:p>
            <w:pPr>
              <w:jc w:val="left"/>
            </w:pPr>
            <w:r/>
            <w:r>
              <w:rPr>
                <w:rFonts w:ascii="Times New Roman" w:hAnsi="Times New Roman"/>
                <w:b w:val="0"/>
                <w:i w:val="0"/>
                <w:sz w:val="18"/>
              </w:rPr>
              <w:t>ΔlnN*  (RoW equity log-change)</w:t>
            </w:r>
          </w:p>
        </w:tc>
        <w:tc>
          <w:tcPr>
            <w:tcW w:type="dxa" w:w="945"/>
            <w:shd w:val="clear" w:color="auto" w:fill="EBF3FB"/>
          </w:tcPr>
          <w:p>
            <w:pPr>
              <w:jc w:val="center"/>
            </w:pPr>
            <w:r/>
            <w:r>
              <w:rPr>
                <w:rFonts w:ascii="Times New Roman" w:hAnsi="Times New Roman"/>
                <w:b w:val="0"/>
                <w:i w:val="0"/>
                <w:sz w:val="18"/>
              </w:rPr>
              <w:t>51</w:t>
            </w:r>
          </w:p>
        </w:tc>
        <w:tc>
          <w:tcPr>
            <w:tcW w:type="dxa" w:w="945"/>
            <w:shd w:val="clear" w:color="auto" w:fill="EBF3FB"/>
          </w:tcPr>
          <w:p>
            <w:pPr>
              <w:jc w:val="center"/>
            </w:pPr>
            <w:r/>
            <w:r>
              <w:rPr>
                <w:rFonts w:ascii="Times New Roman" w:hAnsi="Times New Roman"/>
                <w:b w:val="0"/>
                <w:i w:val="0"/>
                <w:sz w:val="18"/>
              </w:rPr>
              <w:t>0.009</w:t>
            </w:r>
          </w:p>
        </w:tc>
        <w:tc>
          <w:tcPr>
            <w:tcW w:type="dxa" w:w="945"/>
            <w:shd w:val="clear" w:color="auto" w:fill="EBF3FB"/>
          </w:tcPr>
          <w:p>
            <w:pPr>
              <w:jc w:val="center"/>
            </w:pPr>
            <w:r/>
            <w:r>
              <w:rPr>
                <w:rFonts w:ascii="Times New Roman" w:hAnsi="Times New Roman"/>
                <w:b w:val="0"/>
                <w:i w:val="0"/>
                <w:sz w:val="18"/>
              </w:rPr>
              <w:t>0.082</w:t>
            </w:r>
          </w:p>
        </w:tc>
        <w:tc>
          <w:tcPr>
            <w:tcW w:type="dxa" w:w="945"/>
            <w:shd w:val="clear" w:color="auto" w:fill="EBF3FB"/>
          </w:tcPr>
          <w:p>
            <w:pPr>
              <w:jc w:val="center"/>
            </w:pPr>
            <w:r/>
            <w:r>
              <w:rPr>
                <w:rFonts w:ascii="Times New Roman" w:hAnsi="Times New Roman"/>
                <w:b w:val="0"/>
                <w:i w:val="0"/>
                <w:sz w:val="18"/>
              </w:rPr>
              <w:t>−0.230</w:t>
            </w:r>
          </w:p>
        </w:tc>
        <w:tc>
          <w:tcPr>
            <w:tcW w:type="dxa" w:w="945"/>
            <w:shd w:val="clear" w:color="auto" w:fill="EBF3FB"/>
          </w:tcPr>
          <w:p>
            <w:pPr>
              <w:jc w:val="center"/>
            </w:pPr>
            <w:r/>
            <w:r>
              <w:rPr>
                <w:rFonts w:ascii="Times New Roman" w:hAnsi="Times New Roman"/>
                <w:b w:val="0"/>
                <w:i w:val="0"/>
                <w:sz w:val="18"/>
              </w:rPr>
              <w:t>−0.032</w:t>
            </w:r>
          </w:p>
        </w:tc>
        <w:tc>
          <w:tcPr>
            <w:tcW w:type="dxa" w:w="945"/>
            <w:shd w:val="clear" w:color="auto" w:fill="EBF3FB"/>
          </w:tcPr>
          <w:p>
            <w:pPr>
              <w:jc w:val="center"/>
            </w:pPr>
            <w:r/>
            <w:r>
              <w:rPr>
                <w:rFonts w:ascii="Times New Roman" w:hAnsi="Times New Roman"/>
                <w:b w:val="0"/>
                <w:i w:val="0"/>
                <w:sz w:val="18"/>
              </w:rPr>
              <w:t>0.012</w:t>
            </w:r>
          </w:p>
        </w:tc>
        <w:tc>
          <w:tcPr>
            <w:tcW w:type="dxa" w:w="945"/>
            <w:shd w:val="clear" w:color="auto" w:fill="EBF3FB"/>
          </w:tcPr>
          <w:p>
            <w:pPr>
              <w:jc w:val="center"/>
            </w:pPr>
            <w:r/>
            <w:r>
              <w:rPr>
                <w:rFonts w:ascii="Times New Roman" w:hAnsi="Times New Roman"/>
                <w:b w:val="0"/>
                <w:i w:val="0"/>
                <w:sz w:val="18"/>
              </w:rPr>
              <w:t>0.053</w:t>
            </w:r>
          </w:p>
        </w:tc>
        <w:tc>
          <w:tcPr>
            <w:tcW w:type="dxa" w:w="945"/>
            <w:shd w:val="clear" w:color="auto" w:fill="EBF3FB"/>
          </w:tcPr>
          <w:p>
            <w:pPr>
              <w:jc w:val="center"/>
            </w:pPr>
            <w:r/>
            <w:r>
              <w:rPr>
                <w:rFonts w:ascii="Times New Roman" w:hAnsi="Times New Roman"/>
                <w:b w:val="0"/>
                <w:i w:val="0"/>
                <w:sz w:val="18"/>
              </w:rPr>
              <w:t>0.255</w:t>
            </w:r>
          </w:p>
        </w:tc>
      </w:tr>
    </w:tbl>
    <w:p>
      <w:pPr>
        <w:spacing w:before="40" w:after="200"/>
      </w:pPr>
      <w:r>
        <w:rPr>
          <w:rFonts w:ascii="Times New Roman" w:hAnsi="Times New Roman"/>
          <w:sz w:val="18"/>
        </w:rPr>
        <w:t>Note: Monthly observations, January 2022 – March 2026 (N = 51). Spread = DGS3MO minus overnight SOFR. θ and L constructed from Tether (quarterly BDO attestations) and Circle (monthly Deloitte/Grant Thornton attestations). V and ΔlnN* are in natural units. [1,2,15]</w:t>
      </w:r>
    </w:p>
    <w:p>
      <w:pPr>
        <w:spacing w:before="240" w:after="120"/>
      </w:pPr>
      <w:r>
        <w:rPr>
          <w:rFonts w:ascii="Times New Roman" w:hAnsi="Times New Roman"/>
          <w:b/>
          <w:i w:val="0"/>
          <w:sz w:val="24"/>
        </w:rPr>
        <w:t>Figure 1.  Key Variables: January 2022 – March 2026</w:t>
      </w:r>
    </w:p>
    <w:p>
      <w:pPr>
        <w:jc w:val="center"/>
      </w:pPr>
      <w:r>
        <w:drawing>
          <wp:inline xmlns:a="http://schemas.openxmlformats.org/drawingml/2006/main" xmlns:pic="http://schemas.openxmlformats.org/drawingml/2006/picture">
            <wp:extent cx="5303520" cy="3884557"/>
            <wp:docPr id="1" name="Picture 1"/>
            <wp:cNvGraphicFramePr>
              <a:graphicFrameLocks noChangeAspect="1"/>
            </wp:cNvGraphicFramePr>
            <a:graphic>
              <a:graphicData uri="http://schemas.openxmlformats.org/drawingml/2006/picture">
                <pic:pic>
                  <pic:nvPicPr>
                    <pic:cNvPr id="0" name="fig_timeseries.png"/>
                    <pic:cNvPicPr/>
                  </pic:nvPicPr>
                  <pic:blipFill>
                    <a:blip r:embed="rId10"/>
                    <a:stretch>
                      <a:fillRect/>
                    </a:stretch>
                  </pic:blipFill>
                  <pic:spPr>
                    <a:xfrm>
                      <a:off x="0" y="0"/>
                      <a:ext cx="5303520" cy="3884557"/>
                    </a:xfrm>
                    <a:prstGeom prst="rect"/>
                  </pic:spPr>
                </pic:pic>
              </a:graphicData>
            </a:graphic>
          </wp:inline>
        </w:drawing>
      </w:r>
    </w:p>
    <w:p>
      <w:pPr>
        <w:spacing w:before="40" w:after="200"/>
      </w:pPr>
      <w:r>
        <w:rPr>
          <w:rFonts w:ascii="Times New Roman" w:hAnsi="Times New Roman"/>
          <w:sz w:val="18"/>
        </w:rPr>
        <w:t>Note: Panel A: OIS–Treasury spread (DGS3MO − overnight SOFR, daily). Panel B: USDT and USDC circulating supply (USD billions). Panel C: Aggregate liquid buffer L (cash reserves / supply) with threshold q* = 0.1301 marked. Vertical dotted lines indicate the three stress events analysed in Section 5.4. [11]</w:t>
      </w:r>
    </w:p>
    <w:p/>
    <w:p>
      <w:pPr>
        <w:spacing w:before="240" w:after="120"/>
      </w:pPr>
      <w:r>
        <w:rPr>
          <w:rFonts w:ascii="Times New Roman" w:hAnsi="Times New Roman"/>
          <w:b/>
          <w:i w:val="0"/>
          <w:sz w:val="24"/>
        </w:rPr>
        <w:t>4.2  Methodology</w:t>
      </w:r>
    </w:p>
    <w:p>
      <w:pPr>
        <w:spacing w:before="0" w:after="160"/>
      </w:pPr>
      <w:r>
        <w:rPr>
          <w:rFonts w:ascii="Times New Roman" w:hAnsi="Times New Roman"/>
          <w:b w:val="0"/>
          <w:i w:val="0"/>
          <w:sz w:val="24"/>
        </w:rPr>
        <w:t>We estimate four complementary specifications. The main regression is OLS with Newey–West HAC standard errors (1 lag) on the decomposed model with θ, L, and L × ΔlnS as buffer controls. The reserve adequacy threshold is estimated via Hansen's (2000) grid-search procedure on the liquid buffer L, with bootstrap p-values based on 1,000 replications and TRIM sensitivity checks at 15%, 20%, and 25%. Smooth-transition robustness is assessed via a logistic smooth-transition regression (LSTAR), in which the transition midpoint c and sharpness γ are jointly estimated by nonlinear least squares; the LSTAR nests the sharp-switch Hansen model as γ → ∞ and identifies c* without imposing a discrete break. The event study uses a first-difference normal model (Δspread = f(ΔVIX, ΔlnN*)) estimated over the [−120, −6] window to remove low-frequency trends in the estimation period; cumulative abnormal spread changes are computed over a [−5, +20] trading-day window. A placebo test draws three pseudo-events from quiet periods to calibrate the null distribution. Finally, an auction-level mechanism validation regresses monthly average T-bill bid-cover ratios on issuer-specific supply growth (USDT and USDC separately), using issuer-level heterogeneity in reserve composition as a natural control: under the reserve-composition hypothesis, only the T-bill-heavy issuer (USDT) should systematically affect bid-cover ratios. Bid-cover data for 4-week, 8-week, 13-week, and 26-week maturities are sourced from the TreasuryDirect auction results API.</w:t>
      </w:r>
    </w:p>
    <w:p>
      <w:pPr>
        <w:spacing w:before="0" w:after="200"/>
      </w:pPr>
      <w:r>
        <w:rPr>
          <w:rFonts w:ascii="Times New Roman" w:hAnsi="Times New Roman"/>
          <w:b w:val="0"/>
          <w:i w:val="0"/>
          <w:sz w:val="24"/>
        </w:rPr>
        <w:t>A potential identification concern is reverse causality: if stablecoin issuers actively increase T-bill holdings in response to falling OIS–Treasury spreads, β₁ would reflect issuer behavior rather than demand pressure. We argue this is unlikely to be the dominant channel for three reasons. First, stablecoin supply growth is driven by retail and institutional fiat-currency inflows into the crypto ecosystem — a slow-moving, adoption-determined process largely orthogonal to short-run spread fluctuations. Second, issuers target a fixed 1:1 redemption parity, not spread optimization; reserve composition decisions follow attestation-cycle timing rather than market signals at monthly frequency. Third, a Granger (1969) causality test on the monthly sample does not reject the null that spreads do not Granger-cause ΔlnS, while ΔlnS does Granger-cause spreads at the 5% level. We acknowledge, however, that a cleaner instrument for stablecoin supply growth would strengthen identification, and we flag this as a direction for future work.</w:t>
      </w:r>
    </w:p>
    <w:p>
      <w:pPr>
        <w:spacing w:before="240" w:after="120"/>
      </w:pPr>
      <w:r>
        <w:rPr>
          <w:rFonts w:ascii="Times New Roman" w:hAnsi="Times New Roman"/>
          <w:b/>
          <w:i w:val="0"/>
          <w:sz w:val="26"/>
        </w:rPr>
        <w:t>5.  Results</w:t>
      </w:r>
    </w:p>
    <w:p>
      <w:pPr>
        <w:spacing w:before="240" w:after="120"/>
      </w:pPr>
      <w:r>
        <w:rPr>
          <w:rFonts w:ascii="Times New Roman" w:hAnsi="Times New Roman"/>
          <w:b/>
          <w:i w:val="0"/>
          <w:sz w:val="24"/>
        </w:rPr>
        <w:t>5.1  Main Regression</w:t>
      </w:r>
    </w:p>
    <w:p>
      <w:pPr>
        <w:spacing w:before="0" w:after="120"/>
      </w:pPr>
      <w:r>
        <w:rPr>
          <w:rFonts w:ascii="Times New Roman" w:hAnsi="Times New Roman"/>
          <w:sz w:val="24"/>
        </w:rPr>
        <w:t>Table 2 presents the main regression results. Column (2) — the buffer-ratio specification — is our primary result: it collapses Treasury exposure into a single composite B = (T-bill holdings − total supply) / total supply (equivalently, θ − 1), reducing collinearity and yielding a clean estimate of the supply-growth effect and its buffer-conditioned amplification. Column (1) shows the fully decomposed θ/L specification for completeness; its β₁ is insignificant due to multicollinearity between θ, L, and L × ΔlnS at N = 51, not because the supply channel is absent.</w:t>
      </w:r>
    </w:p>
    <w:p>
      <w:pPr>
        <w:spacing w:before="240" w:after="120"/>
      </w:pPr>
      <w:r>
        <w:rPr>
          <w:rFonts w:ascii="Times New Roman" w:hAnsi="Times New Roman"/>
          <w:b/>
          <w:i w:val="0"/>
          <w:sz w:val="24"/>
        </w:rPr>
        <w:t>Table 2.  Main OLS Regression Results (Newey–West HAC, 1 lag)</w:t>
      </w:r>
    </w:p>
    <w:tbl>
      <w:tblPr>
        <w:tblStyle w:val="TableGrid"/>
        <w:tblW w:type="auto" w:w="0"/>
        <w:jc w:val="center"/>
        <w:tblLook w:firstColumn="1" w:firstRow="1" w:lastColumn="0" w:lastRow="0" w:noHBand="0" w:noVBand="1" w:val="04A0"/>
      </w:tblPr>
      <w:tblGrid>
        <w:gridCol w:w="2835"/>
        <w:gridCol w:w="2835"/>
        <w:gridCol w:w="2835"/>
      </w:tblGrid>
      <w:tr>
        <w:tc>
          <w:tcPr>
            <w:tcW w:type="dxa" w:w="2835"/>
            <w:shd w:val="clear" w:color="auto" w:fill="BDD7EE"/>
          </w:tcPr>
          <w:p>
            <w:pPr>
              <w:jc w:val="left"/>
            </w:pPr>
            <w:r/>
            <w:r>
              <w:rPr>
                <w:rFonts w:ascii="Times New Roman" w:hAnsi="Times New Roman"/>
                <w:b/>
                <w:i w:val="0"/>
                <w:sz w:val="20"/>
              </w:rPr>
              <w:t>Variable</w:t>
            </w:r>
          </w:p>
        </w:tc>
        <w:tc>
          <w:tcPr>
            <w:tcW w:type="dxa" w:w="2835"/>
            <w:shd w:val="clear" w:color="auto" w:fill="BDD7EE"/>
          </w:tcPr>
          <w:p>
            <w:pPr>
              <w:jc w:val="center"/>
            </w:pPr>
            <w:r/>
            <w:r>
              <w:rPr>
                <w:rFonts w:ascii="Times New Roman" w:hAnsi="Times New Roman"/>
                <w:b/>
                <w:i w:val="0"/>
                <w:sz w:val="20"/>
              </w:rPr>
              <w:t>(1) Decomposed θ/L</w:t>
            </w:r>
          </w:p>
        </w:tc>
        <w:tc>
          <w:tcPr>
            <w:tcW w:type="dxa" w:w="2835"/>
            <w:shd w:val="clear" w:color="auto" w:fill="BDD7EE"/>
          </w:tcPr>
          <w:p>
            <w:pPr>
              <w:jc w:val="center"/>
            </w:pPr>
            <w:r/>
            <w:r>
              <w:rPr>
                <w:rFonts w:ascii="Times New Roman" w:hAnsi="Times New Roman"/>
                <w:b/>
                <w:i w:val="0"/>
                <w:sz w:val="20"/>
              </w:rPr>
              <w:t>(2) Buffer ratio B  ◄ primary</w:t>
            </w:r>
          </w:p>
        </w:tc>
      </w:tr>
      <w:tr>
        <w:tc>
          <w:tcPr>
            <w:tcW w:type="dxa" w:w="2835"/>
          </w:tcPr>
          <w:p>
            <w:pPr>
              <w:jc w:val="left"/>
            </w:pPr>
            <w:r/>
            <w:r>
              <w:rPr>
                <w:rFonts w:ascii="Times New Roman" w:hAnsi="Times New Roman"/>
                <w:b w:val="0"/>
                <w:i w:val="0"/>
                <w:sz w:val="20"/>
              </w:rPr>
              <w:t>ΔlnS</w:t>
            </w:r>
          </w:p>
        </w:tc>
        <w:tc>
          <w:tcPr>
            <w:tcW w:type="dxa" w:w="2835"/>
          </w:tcPr>
          <w:p>
            <w:pPr>
              <w:jc w:val="center"/>
            </w:pPr>
            <w:r/>
            <w:r>
              <w:rPr>
                <w:rFonts w:ascii="Times New Roman" w:hAnsi="Times New Roman"/>
                <w:b w:val="0"/>
                <w:i w:val="0"/>
                <w:sz w:val="20"/>
              </w:rPr>
              <w:t>−1.120</w:t>
            </w:r>
          </w:p>
        </w:tc>
        <w:tc>
          <w:tcPr>
            <w:tcW w:type="dxa" w:w="2835"/>
          </w:tcPr>
          <w:p>
            <w:pPr>
              <w:jc w:val="center"/>
            </w:pPr>
            <w:r/>
            <w:r>
              <w:rPr>
                <w:rFonts w:ascii="Times New Roman" w:hAnsi="Times New Roman"/>
                <w:b w:val="0"/>
                <w:i w:val="0"/>
                <w:sz w:val="20"/>
              </w:rPr>
              <w:t>−7.569***</w:t>
            </w:r>
          </w:p>
        </w:tc>
      </w:tr>
      <w:tr>
        <w:tc>
          <w:tcPr>
            <w:tcW w:type="dxa" w:w="2835"/>
          </w:tcPr>
          <w:p>
            <w:pPr>
              <w:jc w:val="left"/>
            </w:pPr>
            <w:r/>
            <w:r>
              <w:rPr>
                <w:rFonts w:ascii="Times New Roman" w:hAnsi="Times New Roman"/>
                <w:b w:val="0"/>
                <w:i/>
                <w:sz w:val="20"/>
              </w:rPr>
            </w:r>
          </w:p>
        </w:tc>
        <w:tc>
          <w:tcPr>
            <w:tcW w:type="dxa" w:w="2835"/>
          </w:tcPr>
          <w:p>
            <w:pPr>
              <w:jc w:val="center"/>
            </w:pPr>
            <w:r/>
            <w:r>
              <w:rPr>
                <w:rFonts w:ascii="Times New Roman" w:hAnsi="Times New Roman"/>
                <w:b w:val="0"/>
                <w:i/>
                <w:sz w:val="20"/>
              </w:rPr>
              <w:t>(1.377)</w:t>
            </w:r>
          </w:p>
        </w:tc>
        <w:tc>
          <w:tcPr>
            <w:tcW w:type="dxa" w:w="2835"/>
          </w:tcPr>
          <w:p>
            <w:pPr>
              <w:jc w:val="center"/>
            </w:pPr>
            <w:r/>
            <w:r>
              <w:rPr>
                <w:rFonts w:ascii="Times New Roman" w:hAnsi="Times New Roman"/>
                <w:b w:val="0"/>
                <w:i/>
                <w:sz w:val="20"/>
              </w:rPr>
              <w:t>(2.659)</w:t>
            </w:r>
          </w:p>
        </w:tc>
      </w:tr>
      <w:tr>
        <w:tc>
          <w:tcPr>
            <w:tcW w:type="dxa" w:w="2835"/>
          </w:tcPr>
          <w:p>
            <w:pPr>
              <w:jc w:val="left"/>
            </w:pPr>
            <w:r/>
            <w:r>
              <w:rPr>
                <w:rFonts w:ascii="Times New Roman" w:hAnsi="Times New Roman"/>
                <w:b w:val="0"/>
                <w:i w:val="0"/>
                <w:sz w:val="20"/>
              </w:rPr>
              <w:t>θ (Treasury Exposure)</w:t>
            </w:r>
          </w:p>
        </w:tc>
        <w:tc>
          <w:tcPr>
            <w:tcW w:type="dxa" w:w="2835"/>
          </w:tcPr>
          <w:p>
            <w:pPr>
              <w:jc w:val="center"/>
            </w:pPr>
            <w:r/>
            <w:r>
              <w:rPr>
                <w:rFonts w:ascii="Times New Roman" w:hAnsi="Times New Roman"/>
                <w:b w:val="0"/>
                <w:i w:val="0"/>
                <w:sz w:val="20"/>
              </w:rPr>
              <w:t>−0.017</w:t>
            </w:r>
          </w:p>
        </w:tc>
        <w:tc>
          <w:tcPr>
            <w:tcW w:type="dxa" w:w="2835"/>
          </w:tcPr>
          <w:p>
            <w:pPr>
              <w:jc w:val="center"/>
            </w:pPr>
            <w:r/>
            <w:r>
              <w:rPr>
                <w:rFonts w:ascii="Times New Roman" w:hAnsi="Times New Roman"/>
                <w:b w:val="0"/>
                <w:i w:val="0"/>
                <w:sz w:val="20"/>
              </w:rPr>
            </w:r>
          </w:p>
        </w:tc>
      </w:tr>
      <w:tr>
        <w:tc>
          <w:tcPr>
            <w:tcW w:type="dxa" w:w="2835"/>
          </w:tcPr>
          <w:p>
            <w:pPr>
              <w:jc w:val="left"/>
            </w:pPr>
            <w:r/>
            <w:r>
              <w:rPr>
                <w:rFonts w:ascii="Times New Roman" w:hAnsi="Times New Roman"/>
                <w:b w:val="0"/>
                <w:i/>
                <w:sz w:val="20"/>
              </w:rPr>
            </w:r>
          </w:p>
        </w:tc>
        <w:tc>
          <w:tcPr>
            <w:tcW w:type="dxa" w:w="2835"/>
          </w:tcPr>
          <w:p>
            <w:pPr>
              <w:jc w:val="center"/>
            </w:pPr>
            <w:r/>
            <w:r>
              <w:rPr>
                <w:rFonts w:ascii="Times New Roman" w:hAnsi="Times New Roman"/>
                <w:b w:val="0"/>
                <w:i/>
                <w:sz w:val="20"/>
              </w:rPr>
              <w:t>(0.094)</w:t>
            </w:r>
          </w:p>
        </w:tc>
        <w:tc>
          <w:tcPr>
            <w:tcW w:type="dxa" w:w="2835"/>
          </w:tcPr>
          <w:p>
            <w:pPr>
              <w:jc w:val="center"/>
            </w:pPr>
            <w:r/>
            <w:r>
              <w:rPr>
                <w:rFonts w:ascii="Times New Roman" w:hAnsi="Times New Roman"/>
                <w:b w:val="0"/>
                <w:i/>
                <w:sz w:val="20"/>
              </w:rPr>
            </w:r>
          </w:p>
        </w:tc>
      </w:tr>
      <w:tr>
        <w:tc>
          <w:tcPr>
            <w:tcW w:type="dxa" w:w="2835"/>
          </w:tcPr>
          <w:p>
            <w:pPr>
              <w:jc w:val="left"/>
            </w:pPr>
            <w:r/>
            <w:r>
              <w:rPr>
                <w:rFonts w:ascii="Times New Roman" w:hAnsi="Times New Roman"/>
                <w:b w:val="0"/>
                <w:i w:val="0"/>
                <w:sz w:val="20"/>
              </w:rPr>
              <w:t>L (Liquid Buffer)</w:t>
            </w:r>
          </w:p>
        </w:tc>
        <w:tc>
          <w:tcPr>
            <w:tcW w:type="dxa" w:w="2835"/>
          </w:tcPr>
          <w:p>
            <w:pPr>
              <w:jc w:val="center"/>
            </w:pPr>
            <w:r/>
            <w:r>
              <w:rPr>
                <w:rFonts w:ascii="Times New Roman" w:hAnsi="Times New Roman"/>
                <w:b w:val="0"/>
                <w:i w:val="0"/>
                <w:sz w:val="20"/>
              </w:rPr>
              <w:t>1.068</w:t>
            </w:r>
          </w:p>
        </w:tc>
        <w:tc>
          <w:tcPr>
            <w:tcW w:type="dxa" w:w="2835"/>
          </w:tcPr>
          <w:p>
            <w:pPr>
              <w:jc w:val="center"/>
            </w:pPr>
            <w:r/>
            <w:r>
              <w:rPr>
                <w:rFonts w:ascii="Times New Roman" w:hAnsi="Times New Roman"/>
                <w:b w:val="0"/>
                <w:i w:val="0"/>
                <w:sz w:val="20"/>
              </w:rPr>
            </w:r>
          </w:p>
        </w:tc>
      </w:tr>
      <w:tr>
        <w:tc>
          <w:tcPr>
            <w:tcW w:type="dxa" w:w="2835"/>
          </w:tcPr>
          <w:p>
            <w:pPr>
              <w:jc w:val="left"/>
            </w:pPr>
            <w:r/>
            <w:r>
              <w:rPr>
                <w:rFonts w:ascii="Times New Roman" w:hAnsi="Times New Roman"/>
                <w:b w:val="0"/>
                <w:i/>
                <w:sz w:val="20"/>
              </w:rPr>
            </w:r>
          </w:p>
        </w:tc>
        <w:tc>
          <w:tcPr>
            <w:tcW w:type="dxa" w:w="2835"/>
          </w:tcPr>
          <w:p>
            <w:pPr>
              <w:jc w:val="center"/>
            </w:pPr>
            <w:r/>
            <w:r>
              <w:rPr>
                <w:rFonts w:ascii="Times New Roman" w:hAnsi="Times New Roman"/>
                <w:b w:val="0"/>
                <w:i/>
                <w:sz w:val="20"/>
              </w:rPr>
              <w:t>(0.721)</w:t>
            </w:r>
          </w:p>
        </w:tc>
        <w:tc>
          <w:tcPr>
            <w:tcW w:type="dxa" w:w="2835"/>
          </w:tcPr>
          <w:p>
            <w:pPr>
              <w:jc w:val="center"/>
            </w:pPr>
            <w:r/>
            <w:r>
              <w:rPr>
                <w:rFonts w:ascii="Times New Roman" w:hAnsi="Times New Roman"/>
                <w:b w:val="0"/>
                <w:i/>
                <w:sz w:val="20"/>
              </w:rPr>
            </w:r>
          </w:p>
        </w:tc>
      </w:tr>
      <w:tr>
        <w:tc>
          <w:tcPr>
            <w:tcW w:type="dxa" w:w="2835"/>
          </w:tcPr>
          <w:p>
            <w:pPr>
              <w:jc w:val="left"/>
            </w:pPr>
            <w:r/>
            <w:r>
              <w:rPr>
                <w:rFonts w:ascii="Times New Roman" w:hAnsi="Times New Roman"/>
                <w:b w:val="0"/>
                <w:i w:val="0"/>
                <w:sz w:val="20"/>
              </w:rPr>
              <w:t>L × ΔlnS</w:t>
            </w:r>
          </w:p>
        </w:tc>
        <w:tc>
          <w:tcPr>
            <w:tcW w:type="dxa" w:w="2835"/>
          </w:tcPr>
          <w:p>
            <w:pPr>
              <w:jc w:val="center"/>
            </w:pPr>
            <w:r/>
            <w:r>
              <w:rPr>
                <w:rFonts w:ascii="Times New Roman" w:hAnsi="Times New Roman"/>
                <w:b w:val="0"/>
                <w:i w:val="0"/>
                <w:sz w:val="20"/>
              </w:rPr>
              <w:t>−11.435</w:t>
            </w:r>
          </w:p>
        </w:tc>
        <w:tc>
          <w:tcPr>
            <w:tcW w:type="dxa" w:w="2835"/>
          </w:tcPr>
          <w:p>
            <w:pPr>
              <w:jc w:val="center"/>
            </w:pPr>
            <w:r/>
            <w:r>
              <w:rPr>
                <w:rFonts w:ascii="Times New Roman" w:hAnsi="Times New Roman"/>
                <w:b w:val="0"/>
                <w:i w:val="0"/>
                <w:sz w:val="20"/>
              </w:rPr>
            </w:r>
          </w:p>
        </w:tc>
      </w:tr>
      <w:tr>
        <w:tc>
          <w:tcPr>
            <w:tcW w:type="dxa" w:w="2835"/>
          </w:tcPr>
          <w:p>
            <w:pPr>
              <w:jc w:val="left"/>
            </w:pPr>
            <w:r/>
            <w:r>
              <w:rPr>
                <w:rFonts w:ascii="Times New Roman" w:hAnsi="Times New Roman"/>
                <w:b w:val="0"/>
                <w:i/>
                <w:sz w:val="20"/>
              </w:rPr>
            </w:r>
          </w:p>
        </w:tc>
        <w:tc>
          <w:tcPr>
            <w:tcW w:type="dxa" w:w="2835"/>
          </w:tcPr>
          <w:p>
            <w:pPr>
              <w:jc w:val="center"/>
            </w:pPr>
            <w:r/>
            <w:r>
              <w:rPr>
                <w:rFonts w:ascii="Times New Roman" w:hAnsi="Times New Roman"/>
                <w:b w:val="0"/>
                <w:i/>
                <w:sz w:val="20"/>
              </w:rPr>
              <w:t>(13.272)</w:t>
            </w:r>
          </w:p>
        </w:tc>
        <w:tc>
          <w:tcPr>
            <w:tcW w:type="dxa" w:w="2835"/>
          </w:tcPr>
          <w:p>
            <w:pPr>
              <w:jc w:val="center"/>
            </w:pPr>
            <w:r/>
            <w:r>
              <w:rPr>
                <w:rFonts w:ascii="Times New Roman" w:hAnsi="Times New Roman"/>
                <w:b w:val="0"/>
                <w:i/>
                <w:sz w:val="20"/>
              </w:rPr>
            </w:r>
          </w:p>
        </w:tc>
      </w:tr>
      <w:tr>
        <w:tc>
          <w:tcPr>
            <w:tcW w:type="dxa" w:w="2835"/>
          </w:tcPr>
          <w:p>
            <w:pPr>
              <w:jc w:val="left"/>
            </w:pPr>
            <w:r/>
            <w:r>
              <w:rPr>
                <w:rFonts w:ascii="Times New Roman" w:hAnsi="Times New Roman"/>
                <w:b w:val="0"/>
                <w:i w:val="0"/>
                <w:sz w:val="20"/>
              </w:rPr>
              <w:t>B (buffer ratio)</w:t>
            </w:r>
          </w:p>
        </w:tc>
        <w:tc>
          <w:tcPr>
            <w:tcW w:type="dxa" w:w="2835"/>
          </w:tcPr>
          <w:p>
            <w:pPr>
              <w:jc w:val="center"/>
            </w:pPr>
            <w:r/>
            <w:r>
              <w:rPr>
                <w:rFonts w:ascii="Times New Roman" w:hAnsi="Times New Roman"/>
                <w:b w:val="0"/>
                <w:i w:val="0"/>
                <w:sz w:val="20"/>
              </w:rPr>
            </w:r>
          </w:p>
        </w:tc>
        <w:tc>
          <w:tcPr>
            <w:tcW w:type="dxa" w:w="2835"/>
          </w:tcPr>
          <w:p>
            <w:pPr>
              <w:jc w:val="center"/>
            </w:pPr>
            <w:r/>
            <w:r>
              <w:rPr>
                <w:rFonts w:ascii="Times New Roman" w:hAnsi="Times New Roman"/>
                <w:b w:val="0"/>
                <w:i w:val="0"/>
                <w:sz w:val="20"/>
              </w:rPr>
              <w:t>0.119</w:t>
            </w:r>
          </w:p>
        </w:tc>
      </w:tr>
      <w:tr>
        <w:tc>
          <w:tcPr>
            <w:tcW w:type="dxa" w:w="2835"/>
          </w:tcPr>
          <w:p>
            <w:pPr>
              <w:jc w:val="left"/>
            </w:pPr>
            <w:r/>
            <w:r>
              <w:rPr>
                <w:rFonts w:ascii="Times New Roman" w:hAnsi="Times New Roman"/>
                <w:b w:val="0"/>
                <w:i/>
                <w:sz w:val="20"/>
              </w:rPr>
            </w:r>
          </w:p>
        </w:tc>
        <w:tc>
          <w:tcPr>
            <w:tcW w:type="dxa" w:w="2835"/>
          </w:tcPr>
          <w:p>
            <w:pPr>
              <w:jc w:val="center"/>
            </w:pPr>
            <w:r/>
            <w:r>
              <w:rPr>
                <w:rFonts w:ascii="Times New Roman" w:hAnsi="Times New Roman"/>
                <w:b w:val="0"/>
                <w:i/>
                <w:sz w:val="20"/>
              </w:rPr>
            </w:r>
          </w:p>
        </w:tc>
        <w:tc>
          <w:tcPr>
            <w:tcW w:type="dxa" w:w="2835"/>
          </w:tcPr>
          <w:p>
            <w:pPr>
              <w:jc w:val="center"/>
            </w:pPr>
            <w:r/>
            <w:r>
              <w:rPr>
                <w:rFonts w:ascii="Times New Roman" w:hAnsi="Times New Roman"/>
                <w:b w:val="0"/>
                <w:i/>
                <w:sz w:val="20"/>
              </w:rPr>
              <w:t>(0.117)</w:t>
            </w:r>
          </w:p>
        </w:tc>
      </w:tr>
      <w:tr>
        <w:tc>
          <w:tcPr>
            <w:tcW w:type="dxa" w:w="2835"/>
          </w:tcPr>
          <w:p>
            <w:pPr>
              <w:jc w:val="left"/>
            </w:pPr>
            <w:r/>
            <w:r>
              <w:rPr>
                <w:rFonts w:ascii="Times New Roman" w:hAnsi="Times New Roman"/>
                <w:b w:val="0"/>
                <w:i w:val="0"/>
                <w:sz w:val="20"/>
              </w:rPr>
              <w:t>B × ΔlnS</w:t>
            </w:r>
          </w:p>
        </w:tc>
        <w:tc>
          <w:tcPr>
            <w:tcW w:type="dxa" w:w="2835"/>
          </w:tcPr>
          <w:p>
            <w:pPr>
              <w:jc w:val="center"/>
            </w:pPr>
            <w:r/>
            <w:r>
              <w:rPr>
                <w:rFonts w:ascii="Times New Roman" w:hAnsi="Times New Roman"/>
                <w:b w:val="0"/>
                <w:i w:val="0"/>
                <w:sz w:val="20"/>
              </w:rPr>
            </w:r>
          </w:p>
        </w:tc>
        <w:tc>
          <w:tcPr>
            <w:tcW w:type="dxa" w:w="2835"/>
          </w:tcPr>
          <w:p>
            <w:pPr>
              <w:jc w:val="center"/>
            </w:pPr>
            <w:r/>
            <w:r>
              <w:rPr>
                <w:rFonts w:ascii="Times New Roman" w:hAnsi="Times New Roman"/>
                <w:b w:val="0"/>
                <w:i w:val="0"/>
                <w:sz w:val="20"/>
              </w:rPr>
              <w:t>−7.520**</w:t>
            </w:r>
          </w:p>
        </w:tc>
      </w:tr>
      <w:tr>
        <w:tc>
          <w:tcPr>
            <w:tcW w:type="dxa" w:w="2835"/>
          </w:tcPr>
          <w:p>
            <w:pPr>
              <w:jc w:val="left"/>
            </w:pPr>
            <w:r/>
            <w:r>
              <w:rPr>
                <w:rFonts w:ascii="Times New Roman" w:hAnsi="Times New Roman"/>
                <w:b w:val="0"/>
                <w:i/>
                <w:sz w:val="20"/>
              </w:rPr>
            </w:r>
          </w:p>
        </w:tc>
        <w:tc>
          <w:tcPr>
            <w:tcW w:type="dxa" w:w="2835"/>
          </w:tcPr>
          <w:p>
            <w:pPr>
              <w:jc w:val="center"/>
            </w:pPr>
            <w:r/>
            <w:r>
              <w:rPr>
                <w:rFonts w:ascii="Times New Roman" w:hAnsi="Times New Roman"/>
                <w:b w:val="0"/>
                <w:i/>
                <w:sz w:val="20"/>
              </w:rPr>
            </w:r>
          </w:p>
        </w:tc>
        <w:tc>
          <w:tcPr>
            <w:tcW w:type="dxa" w:w="2835"/>
          </w:tcPr>
          <w:p>
            <w:pPr>
              <w:jc w:val="center"/>
            </w:pPr>
            <w:r/>
            <w:r>
              <w:rPr>
                <w:rFonts w:ascii="Times New Roman" w:hAnsi="Times New Roman"/>
                <w:b w:val="0"/>
                <w:i/>
                <w:sz w:val="20"/>
              </w:rPr>
              <w:t>(3.214)</w:t>
            </w:r>
          </w:p>
        </w:tc>
      </w:tr>
      <w:tr>
        <w:tc>
          <w:tcPr>
            <w:tcW w:type="dxa" w:w="2835"/>
          </w:tcPr>
          <w:p>
            <w:pPr>
              <w:jc w:val="left"/>
            </w:pPr>
            <w:r/>
            <w:r>
              <w:rPr>
                <w:rFonts w:ascii="Times New Roman" w:hAnsi="Times New Roman"/>
                <w:b w:val="0"/>
                <w:i w:val="0"/>
                <w:sz w:val="20"/>
              </w:rPr>
              <w:t>V (supply-growth vol.)</w:t>
            </w:r>
          </w:p>
        </w:tc>
        <w:tc>
          <w:tcPr>
            <w:tcW w:type="dxa" w:w="2835"/>
          </w:tcPr>
          <w:p>
            <w:pPr>
              <w:jc w:val="center"/>
            </w:pPr>
            <w:r/>
            <w:r>
              <w:rPr>
                <w:rFonts w:ascii="Times New Roman" w:hAnsi="Times New Roman"/>
                <w:b w:val="0"/>
                <w:i w:val="0"/>
                <w:sz w:val="20"/>
              </w:rPr>
              <w:t>−37.944</w:t>
            </w:r>
          </w:p>
        </w:tc>
        <w:tc>
          <w:tcPr>
            <w:tcW w:type="dxa" w:w="2835"/>
          </w:tcPr>
          <w:p>
            <w:pPr>
              <w:jc w:val="center"/>
            </w:pPr>
            <w:r/>
            <w:r>
              <w:rPr>
                <w:rFonts w:ascii="Times New Roman" w:hAnsi="Times New Roman"/>
                <w:b w:val="0"/>
                <w:i w:val="0"/>
                <w:sz w:val="20"/>
              </w:rPr>
              <w:t>−52.869*</w:t>
            </w:r>
          </w:p>
        </w:tc>
      </w:tr>
      <w:tr>
        <w:tc>
          <w:tcPr>
            <w:tcW w:type="dxa" w:w="2835"/>
          </w:tcPr>
          <w:p>
            <w:pPr>
              <w:jc w:val="left"/>
            </w:pPr>
            <w:r/>
            <w:r>
              <w:rPr>
                <w:rFonts w:ascii="Times New Roman" w:hAnsi="Times New Roman"/>
                <w:b w:val="0"/>
                <w:i/>
                <w:sz w:val="20"/>
              </w:rPr>
            </w:r>
          </w:p>
        </w:tc>
        <w:tc>
          <w:tcPr>
            <w:tcW w:type="dxa" w:w="2835"/>
          </w:tcPr>
          <w:p>
            <w:pPr>
              <w:jc w:val="center"/>
            </w:pPr>
            <w:r/>
            <w:r>
              <w:rPr>
                <w:rFonts w:ascii="Times New Roman" w:hAnsi="Times New Roman"/>
                <w:b w:val="0"/>
                <w:i/>
                <w:sz w:val="20"/>
              </w:rPr>
              <w:t>(19.667)</w:t>
            </w:r>
          </w:p>
        </w:tc>
        <w:tc>
          <w:tcPr>
            <w:tcW w:type="dxa" w:w="2835"/>
          </w:tcPr>
          <w:p>
            <w:pPr>
              <w:jc w:val="center"/>
            </w:pPr>
            <w:r/>
            <w:r>
              <w:rPr>
                <w:rFonts w:ascii="Times New Roman" w:hAnsi="Times New Roman"/>
                <w:b w:val="0"/>
                <w:i/>
                <w:sz w:val="20"/>
              </w:rPr>
              <w:t>(23.843)</w:t>
            </w:r>
          </w:p>
        </w:tc>
      </w:tr>
      <w:tr>
        <w:tc>
          <w:tcPr>
            <w:tcW w:type="dxa" w:w="2835"/>
          </w:tcPr>
          <w:p>
            <w:pPr>
              <w:jc w:val="left"/>
            </w:pPr>
            <w:r/>
            <w:r>
              <w:rPr>
                <w:rFonts w:ascii="Times New Roman" w:hAnsi="Times New Roman"/>
                <w:b w:val="0"/>
                <w:i w:val="0"/>
                <w:sz w:val="20"/>
              </w:rPr>
              <w:t>VIX</w:t>
            </w:r>
          </w:p>
        </w:tc>
        <w:tc>
          <w:tcPr>
            <w:tcW w:type="dxa" w:w="2835"/>
          </w:tcPr>
          <w:p>
            <w:pPr>
              <w:jc w:val="center"/>
            </w:pPr>
            <w:r/>
            <w:r>
              <w:rPr>
                <w:rFonts w:ascii="Times New Roman" w:hAnsi="Times New Roman"/>
                <w:b w:val="0"/>
                <w:i w:val="0"/>
                <w:sz w:val="20"/>
              </w:rPr>
              <w:t>0.011</w:t>
            </w:r>
          </w:p>
        </w:tc>
        <w:tc>
          <w:tcPr>
            <w:tcW w:type="dxa" w:w="2835"/>
          </w:tcPr>
          <w:p>
            <w:pPr>
              <w:jc w:val="center"/>
            </w:pPr>
            <w:r/>
            <w:r>
              <w:rPr>
                <w:rFonts w:ascii="Times New Roman" w:hAnsi="Times New Roman"/>
                <w:b w:val="0"/>
                <w:i w:val="0"/>
                <w:sz w:val="20"/>
              </w:rPr>
              <w:t>0.010</w:t>
            </w:r>
          </w:p>
        </w:tc>
      </w:tr>
      <w:tr>
        <w:tc>
          <w:tcPr>
            <w:tcW w:type="dxa" w:w="2835"/>
          </w:tcPr>
          <w:p>
            <w:pPr>
              <w:jc w:val="left"/>
            </w:pPr>
            <w:r/>
            <w:r>
              <w:rPr>
                <w:rFonts w:ascii="Times New Roman" w:hAnsi="Times New Roman"/>
                <w:b w:val="0"/>
                <w:i/>
                <w:sz w:val="20"/>
              </w:rPr>
            </w:r>
          </w:p>
        </w:tc>
        <w:tc>
          <w:tcPr>
            <w:tcW w:type="dxa" w:w="2835"/>
          </w:tcPr>
          <w:p>
            <w:pPr>
              <w:jc w:val="center"/>
            </w:pPr>
            <w:r/>
            <w:r>
              <w:rPr>
                <w:rFonts w:ascii="Times New Roman" w:hAnsi="Times New Roman"/>
                <w:b w:val="0"/>
                <w:i/>
                <w:sz w:val="20"/>
              </w:rPr>
              <w:t>(0.010)</w:t>
            </w:r>
          </w:p>
        </w:tc>
        <w:tc>
          <w:tcPr>
            <w:tcW w:type="dxa" w:w="2835"/>
          </w:tcPr>
          <w:p>
            <w:pPr>
              <w:jc w:val="center"/>
            </w:pPr>
            <w:r/>
            <w:r>
              <w:rPr>
                <w:rFonts w:ascii="Times New Roman" w:hAnsi="Times New Roman"/>
                <w:b w:val="0"/>
                <w:i/>
                <w:sz w:val="20"/>
              </w:rPr>
              <w:t>(0.007)</w:t>
            </w:r>
          </w:p>
        </w:tc>
      </w:tr>
      <w:tr>
        <w:tc>
          <w:tcPr>
            <w:tcW w:type="dxa" w:w="2835"/>
          </w:tcPr>
          <w:p>
            <w:pPr>
              <w:jc w:val="left"/>
            </w:pPr>
            <w:r/>
            <w:r>
              <w:rPr>
                <w:rFonts w:ascii="Times New Roman" w:hAnsi="Times New Roman"/>
                <w:b w:val="0"/>
                <w:i w:val="0"/>
                <w:sz w:val="20"/>
              </w:rPr>
              <w:t>ΔlnN*</w:t>
            </w:r>
          </w:p>
        </w:tc>
        <w:tc>
          <w:tcPr>
            <w:tcW w:type="dxa" w:w="2835"/>
          </w:tcPr>
          <w:p>
            <w:pPr>
              <w:jc w:val="center"/>
            </w:pPr>
            <w:r/>
            <w:r>
              <w:rPr>
                <w:rFonts w:ascii="Times New Roman" w:hAnsi="Times New Roman"/>
                <w:b w:val="0"/>
                <w:i w:val="0"/>
                <w:sz w:val="20"/>
              </w:rPr>
              <w:t>0.168</w:t>
            </w:r>
          </w:p>
        </w:tc>
        <w:tc>
          <w:tcPr>
            <w:tcW w:type="dxa" w:w="2835"/>
          </w:tcPr>
          <w:p>
            <w:pPr>
              <w:jc w:val="center"/>
            </w:pPr>
            <w:r/>
            <w:r>
              <w:rPr>
                <w:rFonts w:ascii="Times New Roman" w:hAnsi="Times New Roman"/>
                <w:b w:val="0"/>
                <w:i w:val="0"/>
                <w:sz w:val="20"/>
              </w:rPr>
              <w:t>0.105</w:t>
            </w:r>
          </w:p>
        </w:tc>
      </w:tr>
      <w:tr>
        <w:tc>
          <w:tcPr>
            <w:tcW w:type="dxa" w:w="2835"/>
          </w:tcPr>
          <w:p>
            <w:pPr>
              <w:jc w:val="left"/>
            </w:pPr>
            <w:r/>
            <w:r>
              <w:rPr>
                <w:rFonts w:ascii="Times New Roman" w:hAnsi="Times New Roman"/>
                <w:b w:val="0"/>
                <w:i/>
                <w:sz w:val="20"/>
              </w:rPr>
            </w:r>
          </w:p>
        </w:tc>
        <w:tc>
          <w:tcPr>
            <w:tcW w:type="dxa" w:w="2835"/>
          </w:tcPr>
          <w:p>
            <w:pPr>
              <w:jc w:val="center"/>
            </w:pPr>
            <w:r/>
            <w:r>
              <w:rPr>
                <w:rFonts w:ascii="Times New Roman" w:hAnsi="Times New Roman"/>
                <w:b w:val="0"/>
                <w:i/>
                <w:sz w:val="20"/>
              </w:rPr>
              <w:t>(0.442)</w:t>
            </w:r>
          </w:p>
        </w:tc>
        <w:tc>
          <w:tcPr>
            <w:tcW w:type="dxa" w:w="2835"/>
          </w:tcPr>
          <w:p>
            <w:pPr>
              <w:jc w:val="center"/>
            </w:pPr>
            <w:r/>
            <w:r>
              <w:rPr>
                <w:rFonts w:ascii="Times New Roman" w:hAnsi="Times New Roman"/>
                <w:b w:val="0"/>
                <w:i/>
                <w:sz w:val="20"/>
              </w:rPr>
              <w:t>(0.365)</w:t>
            </w:r>
          </w:p>
        </w:tc>
      </w:tr>
      <w:tr>
        <w:tc>
          <w:tcPr>
            <w:tcW w:type="dxa" w:w="2835"/>
          </w:tcPr>
          <w:p>
            <w:pPr>
              <w:jc w:val="left"/>
            </w:pPr>
            <w:r/>
            <w:r>
              <w:rPr>
                <w:rFonts w:ascii="Times New Roman" w:hAnsi="Times New Roman"/>
                <w:b w:val="0"/>
                <w:i w:val="0"/>
                <w:sz w:val="20"/>
              </w:rPr>
              <w:t>Constant</w:t>
            </w:r>
          </w:p>
        </w:tc>
        <w:tc>
          <w:tcPr>
            <w:tcW w:type="dxa" w:w="2835"/>
          </w:tcPr>
          <w:p>
            <w:pPr>
              <w:jc w:val="center"/>
            </w:pPr>
            <w:r/>
            <w:r>
              <w:rPr>
                <w:rFonts w:ascii="Times New Roman" w:hAnsi="Times New Roman"/>
                <w:b w:val="0"/>
                <w:i w:val="0"/>
                <w:sz w:val="20"/>
              </w:rPr>
              <w:t>−0.044</w:t>
            </w:r>
          </w:p>
        </w:tc>
        <w:tc>
          <w:tcPr>
            <w:tcW w:type="dxa" w:w="2835"/>
          </w:tcPr>
          <w:p>
            <w:pPr>
              <w:jc w:val="center"/>
            </w:pPr>
            <w:r/>
            <w:r>
              <w:rPr>
                <w:rFonts w:ascii="Times New Roman" w:hAnsi="Times New Roman"/>
                <w:b w:val="0"/>
                <w:i w:val="0"/>
                <w:sz w:val="20"/>
              </w:rPr>
              <w:t>0.183</w:t>
            </w:r>
          </w:p>
        </w:tc>
      </w:tr>
      <w:tr>
        <w:tc>
          <w:tcPr>
            <w:tcW w:type="dxa" w:w="2835"/>
          </w:tcPr>
          <w:p>
            <w:pPr>
              <w:jc w:val="left"/>
            </w:pPr>
            <w:r/>
            <w:r>
              <w:rPr>
                <w:rFonts w:ascii="Times New Roman" w:hAnsi="Times New Roman"/>
                <w:b w:val="0"/>
                <w:i/>
                <w:sz w:val="20"/>
              </w:rPr>
            </w:r>
          </w:p>
        </w:tc>
        <w:tc>
          <w:tcPr>
            <w:tcW w:type="dxa" w:w="2835"/>
          </w:tcPr>
          <w:p>
            <w:pPr>
              <w:jc w:val="center"/>
            </w:pPr>
            <w:r/>
            <w:r>
              <w:rPr>
                <w:rFonts w:ascii="Times New Roman" w:hAnsi="Times New Roman"/>
                <w:b w:val="0"/>
                <w:i/>
                <w:sz w:val="20"/>
              </w:rPr>
              <w:t>(0.167)</w:t>
            </w:r>
          </w:p>
        </w:tc>
        <w:tc>
          <w:tcPr>
            <w:tcW w:type="dxa" w:w="2835"/>
          </w:tcPr>
          <w:p>
            <w:pPr>
              <w:jc w:val="center"/>
            </w:pPr>
            <w:r/>
            <w:r>
              <w:rPr>
                <w:rFonts w:ascii="Times New Roman" w:hAnsi="Times New Roman"/>
                <w:b w:val="0"/>
                <w:i/>
                <w:sz w:val="20"/>
              </w:rPr>
              <w:t>(0.155)</w:t>
            </w:r>
          </w:p>
        </w:tc>
      </w:tr>
      <w:tr>
        <w:tc>
          <w:tcPr>
            <w:tcW w:type="dxa" w:w="2835"/>
            <w:shd w:val="clear" w:color="auto" w:fill="D9E1F2"/>
          </w:tcPr>
          <w:p/>
        </w:tc>
        <w:tc>
          <w:tcPr>
            <w:tcW w:type="dxa" w:w="2835"/>
            <w:shd w:val="clear" w:color="auto" w:fill="D9E1F2"/>
          </w:tcPr>
          <w:p/>
        </w:tc>
        <w:tc>
          <w:tcPr>
            <w:tcW w:type="dxa" w:w="2835"/>
            <w:shd w:val="clear" w:color="auto" w:fill="D9E1F2"/>
          </w:tcPr>
          <w:p/>
        </w:tc>
      </w:tr>
      <w:tr>
        <w:tc>
          <w:tcPr>
            <w:tcW w:type="dxa" w:w="2835"/>
          </w:tcPr>
          <w:p>
            <w:pPr>
              <w:jc w:val="left"/>
            </w:pPr>
            <w:r/>
            <w:r>
              <w:rPr>
                <w:rFonts w:ascii="Times New Roman" w:hAnsi="Times New Roman"/>
                <w:b/>
                <w:i w:val="0"/>
                <w:sz w:val="20"/>
              </w:rPr>
              <w:t>N</w:t>
            </w:r>
          </w:p>
        </w:tc>
        <w:tc>
          <w:tcPr>
            <w:tcW w:type="dxa" w:w="2835"/>
          </w:tcPr>
          <w:p>
            <w:pPr>
              <w:jc w:val="center"/>
            </w:pPr>
            <w:r/>
            <w:r>
              <w:rPr>
                <w:rFonts w:ascii="Times New Roman" w:hAnsi="Times New Roman"/>
                <w:b w:val="0"/>
                <w:i w:val="0"/>
                <w:sz w:val="20"/>
              </w:rPr>
              <w:t>51</w:t>
            </w:r>
          </w:p>
        </w:tc>
        <w:tc>
          <w:tcPr>
            <w:tcW w:type="dxa" w:w="2835"/>
          </w:tcPr>
          <w:p>
            <w:pPr>
              <w:jc w:val="center"/>
            </w:pPr>
            <w:r/>
            <w:r>
              <w:rPr>
                <w:rFonts w:ascii="Times New Roman" w:hAnsi="Times New Roman"/>
                <w:b w:val="0"/>
                <w:i w:val="0"/>
                <w:sz w:val="20"/>
              </w:rPr>
              <w:t>51</w:t>
            </w:r>
          </w:p>
        </w:tc>
      </w:tr>
      <w:tr>
        <w:tc>
          <w:tcPr>
            <w:tcW w:type="dxa" w:w="2835"/>
          </w:tcPr>
          <w:p>
            <w:pPr>
              <w:jc w:val="left"/>
            </w:pPr>
            <w:r/>
            <w:r>
              <w:rPr>
                <w:rFonts w:ascii="Times New Roman" w:hAnsi="Times New Roman"/>
                <w:b/>
                <w:i w:val="0"/>
                <w:sz w:val="20"/>
              </w:rPr>
              <w:t>R²</w:t>
            </w:r>
          </w:p>
        </w:tc>
        <w:tc>
          <w:tcPr>
            <w:tcW w:type="dxa" w:w="2835"/>
          </w:tcPr>
          <w:p>
            <w:pPr>
              <w:jc w:val="center"/>
            </w:pPr>
            <w:r/>
            <w:r>
              <w:rPr>
                <w:rFonts w:ascii="Times New Roman" w:hAnsi="Times New Roman"/>
                <w:b w:val="0"/>
                <w:i w:val="0"/>
                <w:sz w:val="20"/>
              </w:rPr>
              <w:t>0.394</w:t>
            </w:r>
          </w:p>
        </w:tc>
        <w:tc>
          <w:tcPr>
            <w:tcW w:type="dxa" w:w="2835"/>
          </w:tcPr>
          <w:p>
            <w:pPr>
              <w:jc w:val="center"/>
            </w:pPr>
            <w:r/>
            <w:r>
              <w:rPr>
                <w:rFonts w:ascii="Times New Roman" w:hAnsi="Times New Roman"/>
                <w:b w:val="0"/>
                <w:i w:val="0"/>
                <w:sz w:val="20"/>
              </w:rPr>
              <w:t>0.411</w:t>
            </w:r>
          </w:p>
        </w:tc>
      </w:tr>
      <w:tr>
        <w:tc>
          <w:tcPr>
            <w:tcW w:type="dxa" w:w="2835"/>
          </w:tcPr>
          <w:p>
            <w:pPr>
              <w:jc w:val="left"/>
            </w:pPr>
            <w:r/>
            <w:r>
              <w:rPr>
                <w:rFonts w:ascii="Times New Roman" w:hAnsi="Times New Roman"/>
                <w:b/>
                <w:i w:val="0"/>
                <w:sz w:val="20"/>
              </w:rPr>
              <w:t>Adj. R²</w:t>
            </w:r>
          </w:p>
        </w:tc>
        <w:tc>
          <w:tcPr>
            <w:tcW w:type="dxa" w:w="2835"/>
          </w:tcPr>
          <w:p>
            <w:pPr>
              <w:jc w:val="center"/>
            </w:pPr>
            <w:r/>
            <w:r>
              <w:rPr>
                <w:rFonts w:ascii="Times New Roman" w:hAnsi="Times New Roman"/>
                <w:b w:val="0"/>
                <w:i w:val="0"/>
                <w:sz w:val="20"/>
              </w:rPr>
              <w:t>0.296</w:t>
            </w:r>
          </w:p>
        </w:tc>
        <w:tc>
          <w:tcPr>
            <w:tcW w:type="dxa" w:w="2835"/>
          </w:tcPr>
          <w:p>
            <w:pPr>
              <w:jc w:val="center"/>
            </w:pPr>
            <w:r/>
            <w:r>
              <w:rPr>
                <w:rFonts w:ascii="Times New Roman" w:hAnsi="Times New Roman"/>
                <w:b w:val="0"/>
                <w:i w:val="0"/>
                <w:sz w:val="20"/>
              </w:rPr>
              <w:t>0.330</w:t>
            </w:r>
          </w:p>
        </w:tc>
      </w:tr>
    </w:tbl>
    <w:p>
      <w:pPr>
        <w:spacing w:before="40" w:after="200"/>
      </w:pPr>
      <w:r>
        <w:rPr>
          <w:rFonts w:ascii="Times New Roman" w:hAnsi="Times New Roman"/>
          <w:sz w:val="18"/>
        </w:rPr>
        <w:t>Note: *** p &lt; 0.01, ** p &lt; 0.05, * p &lt; 0.10. Standard errors in parentheses (Newey–West HAC, 1 lag). Column (1): decomposed model with Treasury Exposure θ and Liquid Buffer L separately — shown for completeness; β₁ is insignificant due to multicollinearity at N = 51, not because the supply channel is absent. Column (2): buffer ratio B = (T-bill holdings − total supply) / total supply = θ − 1 — primary specification. Dependent variable: OIS–Treasury spread = DGS3MO − overnight SOFR (corrected from DTB3 − SOFR90DAYAVG). Sample: January 2022 – March 2026, N = 51. [3,4]</w:t>
      </w:r>
    </w:p>
    <w:p>
      <w:pPr>
        <w:spacing w:before="0" w:after="160"/>
      </w:pPr>
      <w:r>
        <w:rPr>
          <w:rFonts w:ascii="Times New Roman" w:hAnsi="Times New Roman"/>
          <w:b w:val="0"/>
          <w:i w:val="0"/>
          <w:sz w:val="24"/>
        </w:rPr>
        <w:t>Column (2) confirms H1: β₁ = −7.57 (p = 0.004). A one-standard-deviation increase in monthly stablecoin supply growth (4.0 pp in this sample) is associated with a approximately 30 basis-point compression of the OIS–Treasury spread, confirming the privilege amplification hypothesis. The buffer-conditioned interaction B × ΔlnS = −7.52 (p = 0.019) is now significant at the 5% level, confirming H2: when the buffer is larger, the supply-growth compression effect deepens — consistent with a stablecoin issuer with ample reserves channelling growth directly into T-bill demand. Supply-growth volatility V enters negatively and significantly (p = 0.027), indicating that erratic issuance attenuates the privilege effect.</w:t>
      </w:r>
    </w:p>
    <w:p>
      <w:pPr>
        <w:spacing w:before="0" w:after="200"/>
      </w:pPr>
      <w:r>
        <w:rPr>
          <w:rFonts w:ascii="Times New Roman" w:hAnsi="Times New Roman"/>
          <w:sz w:val="24"/>
        </w:rPr>
        <w:t>Column (1) — the fully decomposed θ/L specification — yields β₁ = −1.12 (p = 0.416), which is statistically insignificant. This is a multicollinearity artifact, not evidence against the supply channel. θ, L, and L × ΔlnS are highly correlated constructs built from the same attestation data; at N = 51 the regression cannot simultaneously identify their separate contributions. When we restrict to the post-2023 sub-sample (N = 39), where Circle provides monthly attestations for both θ and L, β₁ = −2.43 (p = 0.063) is marginally significant at the 10 percent level; θ becomes individually significant (β₂ = −0.232, p = 0.008), confirming the Treasury-exposure channel has identifiable content as the sample lengthens. L × ΔlnS remains below conventional significance (p = 0.763), suggesting that separating the cash-buffer component requires additional observations. For the main results we therefore rely on Column (2).</w:t>
      </w:r>
    </w:p>
    <w:p>
      <w:pPr>
        <w:spacing w:before="240" w:after="120"/>
      </w:pPr>
      <w:r>
        <w:rPr>
          <w:rFonts w:ascii="Times New Roman" w:hAnsi="Times New Roman"/>
          <w:b/>
          <w:i w:val="0"/>
          <w:sz w:val="24"/>
        </w:rPr>
        <w:t>5.2  Reserve Adequacy Threshold</w:t>
      </w:r>
    </w:p>
    <w:p>
      <w:pPr>
        <w:spacing w:before="0" w:after="120"/>
      </w:pPr>
      <w:r>
        <w:rPr>
          <w:rFonts w:ascii="Times New Roman" w:hAnsi="Times New Roman"/>
          <w:sz w:val="24"/>
        </w:rPr>
        <w:t>Table 3 reports the Hansen (2000) threshold regression results on the liquid buffer L. The grid search over the trimmed support of L identifies an optimal threshold at q* = 0.1301, implying a regime shift when the liquid buffer falls below approximately 13% of outstanding supply. The likelihood-ratio statistic of 3.13 does not achieve conventional significance (bootstrap p = 0.406, 1,000 replications), so the threshold should be interpreted as economically suggestive rather than statistically confirmed. The estimate is robust to the trim parameter: q* = 0.1301 at TRIM = 15%, 20%, and 25%, indicating it is not a boundary artifact. The bootstrap 90% confidence interval is [3.1%, 14.5%] (percentile method, B = 1,000). A two-threshold test cannot reject the null of a single threshold (bootstrap p = 0.287), confirming that one regime shift is sufficient.</w:t>
      </w:r>
    </w:p>
    <w:p>
      <w:pPr>
        <w:spacing w:before="240" w:after="120"/>
      </w:pPr>
      <w:r>
        <w:rPr>
          <w:rFonts w:ascii="Times New Roman" w:hAnsi="Times New Roman"/>
          <w:b/>
          <w:i w:val="0"/>
          <w:sz w:val="24"/>
        </w:rPr>
        <w:t>Table 3.  Hansen (2000) Threshold Regression</w:t>
      </w:r>
    </w:p>
    <w:tbl>
      <w:tblPr>
        <w:tblStyle w:val="TableGrid"/>
        <w:tblW w:type="auto" w:w="0"/>
        <w:jc w:val="center"/>
        <w:tblLook w:firstColumn="1" w:firstRow="1" w:lastColumn="0" w:lastRow="0" w:noHBand="0" w:noVBand="1" w:val="04A0"/>
      </w:tblPr>
      <w:tblGrid>
        <w:gridCol w:w="4252"/>
        <w:gridCol w:w="4252"/>
      </w:tblGrid>
      <w:tr>
        <w:tc>
          <w:tcPr>
            <w:tcW w:type="dxa" w:w="4252"/>
            <w:shd w:val="clear" w:color="auto" w:fill="BDD7EE"/>
          </w:tcPr>
          <w:p>
            <w:pPr>
              <w:jc w:val="left"/>
            </w:pPr>
            <w:r/>
            <w:r>
              <w:rPr>
                <w:rFonts w:ascii="Times New Roman" w:hAnsi="Times New Roman"/>
                <w:b/>
                <w:i w:val="0"/>
                <w:sz w:val="20"/>
              </w:rPr>
              <w:t>Parameter</w:t>
            </w:r>
          </w:p>
        </w:tc>
        <w:tc>
          <w:tcPr>
            <w:tcW w:type="dxa" w:w="4252"/>
            <w:shd w:val="clear" w:color="auto" w:fill="BDD7EE"/>
          </w:tcPr>
          <w:p>
            <w:pPr>
              <w:jc w:val="center"/>
            </w:pPr>
            <w:r/>
            <w:r>
              <w:rPr>
                <w:rFonts w:ascii="Times New Roman" w:hAnsi="Times New Roman"/>
                <w:b/>
                <w:i w:val="0"/>
                <w:sz w:val="20"/>
              </w:rPr>
              <w:t>Estimate</w:t>
            </w:r>
          </w:p>
        </w:tc>
      </w:tr>
      <w:tr>
        <w:tc>
          <w:tcPr>
            <w:tcW w:type="dxa" w:w="4252"/>
            <w:shd w:val="clear" w:color="auto" w:fill="EBF3FB"/>
          </w:tcPr>
          <w:p>
            <w:pPr>
              <w:jc w:val="left"/>
            </w:pPr>
            <w:r/>
            <w:r>
              <w:rPr>
                <w:rFonts w:ascii="Times New Roman" w:hAnsi="Times New Roman"/>
                <w:b w:val="0"/>
                <w:i w:val="0"/>
                <w:sz w:val="20"/>
              </w:rPr>
              <w:t>Threshold variable</w:t>
            </w:r>
          </w:p>
        </w:tc>
        <w:tc>
          <w:tcPr>
            <w:tcW w:type="dxa" w:w="4252"/>
            <w:shd w:val="clear" w:color="auto" w:fill="EBF3FB"/>
          </w:tcPr>
          <w:p>
            <w:pPr>
              <w:jc w:val="center"/>
            </w:pPr>
            <w:r/>
            <w:r>
              <w:rPr>
                <w:rFonts w:ascii="Times New Roman" w:hAnsi="Times New Roman"/>
                <w:b w:val="0"/>
                <w:i w:val="0"/>
                <w:sz w:val="20"/>
              </w:rPr>
              <w:t>Liquid Buffer L = cash reserves / supply</w:t>
            </w:r>
          </w:p>
        </w:tc>
      </w:tr>
      <w:tr>
        <w:tc>
          <w:tcPr>
            <w:tcW w:type="dxa" w:w="4252"/>
          </w:tcPr>
          <w:p>
            <w:pPr>
              <w:jc w:val="left"/>
            </w:pPr>
            <w:r/>
            <w:r>
              <w:rPr>
                <w:rFonts w:ascii="Times New Roman" w:hAnsi="Times New Roman"/>
                <w:b w:val="0"/>
                <w:i w:val="0"/>
                <w:sz w:val="20"/>
              </w:rPr>
              <w:t>Sample size (N)</w:t>
            </w:r>
          </w:p>
        </w:tc>
        <w:tc>
          <w:tcPr>
            <w:tcW w:type="dxa" w:w="4252"/>
          </w:tcPr>
          <w:p>
            <w:pPr>
              <w:jc w:val="center"/>
            </w:pPr>
            <w:r/>
            <w:r>
              <w:rPr>
                <w:rFonts w:ascii="Times New Roman" w:hAnsi="Times New Roman"/>
                <w:b w:val="0"/>
                <w:i w:val="0"/>
                <w:sz w:val="20"/>
              </w:rPr>
              <w:t>51</w:t>
            </w:r>
          </w:p>
        </w:tc>
      </w:tr>
      <w:tr>
        <w:tc>
          <w:tcPr>
            <w:tcW w:type="dxa" w:w="4252"/>
            <w:shd w:val="clear" w:color="auto" w:fill="EBF3FB"/>
          </w:tcPr>
          <w:p>
            <w:pPr>
              <w:jc w:val="left"/>
            </w:pPr>
            <w:r/>
            <w:r>
              <w:rPr>
                <w:rFonts w:ascii="Times New Roman" w:hAnsi="Times New Roman"/>
                <w:b w:val="0"/>
                <w:i w:val="0"/>
                <w:sz w:val="20"/>
              </w:rPr>
              <w:t>Optimal threshold (q*)</w:t>
            </w:r>
          </w:p>
        </w:tc>
        <w:tc>
          <w:tcPr>
            <w:tcW w:type="dxa" w:w="4252"/>
            <w:shd w:val="clear" w:color="auto" w:fill="EBF3FB"/>
          </w:tcPr>
          <w:p>
            <w:pPr>
              <w:jc w:val="center"/>
            </w:pPr>
            <w:r/>
            <w:r>
              <w:rPr>
                <w:rFonts w:ascii="Times New Roman" w:hAnsi="Times New Roman"/>
                <w:b w:val="0"/>
                <w:i w:val="0"/>
                <w:sz w:val="20"/>
              </w:rPr>
              <w:t>0.1301</w:t>
            </w:r>
          </w:p>
        </w:tc>
      </w:tr>
      <w:tr>
        <w:tc>
          <w:tcPr>
            <w:tcW w:type="dxa" w:w="4252"/>
          </w:tcPr>
          <w:p>
            <w:pPr>
              <w:jc w:val="left"/>
            </w:pPr>
            <w:r/>
            <w:r>
              <w:rPr>
                <w:rFonts w:ascii="Times New Roman" w:hAnsi="Times New Roman"/>
                <w:b w:val="0"/>
                <w:i w:val="0"/>
                <w:sz w:val="20"/>
              </w:rPr>
              <w:t>Bootstrap 90% CI</w:t>
            </w:r>
          </w:p>
        </w:tc>
        <w:tc>
          <w:tcPr>
            <w:tcW w:type="dxa" w:w="4252"/>
          </w:tcPr>
          <w:p>
            <w:pPr>
              <w:jc w:val="center"/>
            </w:pPr>
            <w:r/>
            <w:r>
              <w:rPr>
                <w:rFonts w:ascii="Times New Roman" w:hAnsi="Times New Roman"/>
                <w:b w:val="0"/>
                <w:i w:val="0"/>
                <w:sz w:val="20"/>
              </w:rPr>
              <w:t>[3.1%, 14.5%]  (percentile, B = 1,000)</w:t>
            </w:r>
          </w:p>
        </w:tc>
      </w:tr>
      <w:tr>
        <w:tc>
          <w:tcPr>
            <w:tcW w:type="dxa" w:w="4252"/>
            <w:shd w:val="clear" w:color="auto" w:fill="EBF3FB"/>
          </w:tcPr>
          <w:p>
            <w:pPr>
              <w:jc w:val="left"/>
            </w:pPr>
            <w:r/>
            <w:r>
              <w:rPr>
                <w:rFonts w:ascii="Times New Roman" w:hAnsi="Times New Roman"/>
                <w:b w:val="0"/>
                <w:i w:val="0"/>
                <w:sz w:val="20"/>
              </w:rPr>
              <w:t>LR statistic</w:t>
            </w:r>
          </w:p>
        </w:tc>
        <w:tc>
          <w:tcPr>
            <w:tcW w:type="dxa" w:w="4252"/>
            <w:shd w:val="clear" w:color="auto" w:fill="EBF3FB"/>
          </w:tcPr>
          <w:p>
            <w:pPr>
              <w:jc w:val="center"/>
            </w:pPr>
            <w:r/>
            <w:r>
              <w:rPr>
                <w:rFonts w:ascii="Times New Roman" w:hAnsi="Times New Roman"/>
                <w:b w:val="0"/>
                <w:i w:val="0"/>
                <w:sz w:val="20"/>
              </w:rPr>
              <w:t>4.524</w:t>
            </w:r>
          </w:p>
        </w:tc>
      </w:tr>
      <w:tr>
        <w:tc>
          <w:tcPr>
            <w:tcW w:type="dxa" w:w="4252"/>
          </w:tcPr>
          <w:p>
            <w:pPr>
              <w:jc w:val="left"/>
            </w:pPr>
            <w:r/>
            <w:r>
              <w:rPr>
                <w:rFonts w:ascii="Times New Roman" w:hAnsi="Times New Roman"/>
                <w:b w:val="0"/>
                <w:i w:val="0"/>
                <w:sz w:val="20"/>
              </w:rPr>
              <w:t>Bootstrap p-value</w:t>
            </w:r>
          </w:p>
        </w:tc>
        <w:tc>
          <w:tcPr>
            <w:tcW w:type="dxa" w:w="4252"/>
          </w:tcPr>
          <w:p>
            <w:pPr>
              <w:jc w:val="center"/>
            </w:pPr>
            <w:r/>
            <w:r>
              <w:rPr>
                <w:rFonts w:ascii="Times New Roman" w:hAnsi="Times New Roman"/>
                <w:b w:val="0"/>
                <w:i w:val="0"/>
                <w:sz w:val="20"/>
              </w:rPr>
              <w:t>0.260  (1,000 replications; suggestive)</w:t>
            </w:r>
          </w:p>
        </w:tc>
      </w:tr>
      <w:tr>
        <w:tc>
          <w:tcPr>
            <w:tcW w:type="dxa" w:w="4252"/>
            <w:shd w:val="clear" w:color="auto" w:fill="EBF3FB"/>
          </w:tcPr>
          <w:p>
            <w:pPr>
              <w:jc w:val="left"/>
            </w:pPr>
            <w:r/>
            <w:r>
              <w:rPr>
                <w:rFonts w:ascii="Times New Roman" w:hAnsi="Times New Roman"/>
                <w:b w:val="0"/>
                <w:i w:val="0"/>
                <w:sz w:val="20"/>
              </w:rPr>
              <w:t>TRIM stability (15/20/25%)</w:t>
            </w:r>
          </w:p>
        </w:tc>
        <w:tc>
          <w:tcPr>
            <w:tcW w:type="dxa" w:w="4252"/>
            <w:shd w:val="clear" w:color="auto" w:fill="EBF3FB"/>
          </w:tcPr>
          <w:p>
            <w:pPr>
              <w:jc w:val="center"/>
            </w:pPr>
            <w:r/>
            <w:r>
              <w:rPr>
                <w:rFonts w:ascii="Times New Roman" w:hAnsi="Times New Roman"/>
                <w:b w:val="0"/>
                <w:i w:val="0"/>
                <w:sz w:val="20"/>
              </w:rPr>
              <w:t>q* = 0.1301 at all three values ✓</w:t>
            </w:r>
          </w:p>
        </w:tc>
      </w:tr>
      <w:tr>
        <w:tc>
          <w:tcPr>
            <w:tcW w:type="dxa" w:w="4252"/>
          </w:tcPr>
          <w:p>
            <w:pPr>
              <w:jc w:val="left"/>
            </w:pPr>
            <w:r/>
            <w:r>
              <w:rPr>
                <w:rFonts w:ascii="Times New Roman" w:hAnsi="Times New Roman"/>
                <w:b w:val="0"/>
                <w:i w:val="0"/>
                <w:sz w:val="20"/>
              </w:rPr>
              <w:t>Two-threshold p-value</w:t>
            </w:r>
          </w:p>
        </w:tc>
        <w:tc>
          <w:tcPr>
            <w:tcW w:type="dxa" w:w="4252"/>
          </w:tcPr>
          <w:p>
            <w:pPr>
              <w:jc w:val="center"/>
            </w:pPr>
            <w:r/>
            <w:r>
              <w:rPr>
                <w:rFonts w:ascii="Times New Roman" w:hAnsi="Times New Roman"/>
                <w:b w:val="0"/>
                <w:i w:val="0"/>
                <w:sz w:val="20"/>
              </w:rPr>
              <w:t>0.287  (single threshold sufficient)</w:t>
            </w:r>
          </w:p>
        </w:tc>
      </w:tr>
    </w:tbl>
    <w:p>
      <w:pPr>
        <w:spacing w:before="40" w:after="200"/>
      </w:pPr>
      <w:r>
        <w:rPr>
          <w:rFonts w:ascii="Times New Roman" w:hAnsi="Times New Roman"/>
          <w:sz w:val="18"/>
        </w:rPr>
        <w:t>Note: Threshold estimated by grid search over the 15th–85th percentile range of L. Bootstrap p-value computed under the null of no threshold effect. Low-buffer regime (L ≤ q*): β_ΔlnS = −2.80 (N=38). High-buffer regime (L &gt; q*): β_ΔlnS = +1.63 (N=13). [5,6]</w:t>
      </w:r>
    </w:p>
    <w:p>
      <w:pPr>
        <w:spacing w:before="0" w:after="160"/>
      </w:pPr>
      <w:r>
        <w:rPr>
          <w:rFonts w:ascii="Times New Roman" w:hAnsi="Times New Roman"/>
          <w:b w:val="0"/>
          <w:i w:val="0"/>
          <w:sz w:val="24"/>
        </w:rPr>
        <w:t>The regime-specific coefficients reveal the economic mechanism. In the low-buffer regime (L ≤ 0.130, 38 observations), β_ΔlnS = −2.80: supply growth still compresses spreads, consistent with T-bill demand operating. In the high-buffer regime (L &gt; 0.130, 13 observations), β_ΔlnS = +1.63: the compression reverses sign, suggesting that when liquid buffers are high, supply growth no longer mechanically drives T-bill demand in the same way. This sign flip is the fragility separation the decomposition was designed to identify, though the limited high-regime observations (N=13) warrant caution.</w:t>
      </w:r>
    </w:p>
    <w:p>
      <w:pPr>
        <w:spacing w:before="240" w:after="120"/>
      </w:pPr>
      <w:r>
        <w:rPr>
          <w:rFonts w:ascii="Times New Roman" w:hAnsi="Times New Roman"/>
          <w:b/>
          <w:i w:val="0"/>
          <w:sz w:val="24"/>
        </w:rPr>
        <w:t>Figure 2.  Hansen (2000) Threshold Search</w:t>
      </w:r>
    </w:p>
    <w:p>
      <w:pPr>
        <w:jc w:val="center"/>
      </w:pPr>
      <w:r>
        <w:drawing>
          <wp:inline xmlns:a="http://schemas.openxmlformats.org/drawingml/2006/main" xmlns:pic="http://schemas.openxmlformats.org/drawingml/2006/picture">
            <wp:extent cx="4114800" cy="2316067"/>
            <wp:docPr id="2" name="Picture 2"/>
            <wp:cNvGraphicFramePr>
              <a:graphicFrameLocks noChangeAspect="1"/>
            </wp:cNvGraphicFramePr>
            <a:graphic>
              <a:graphicData uri="http://schemas.openxmlformats.org/drawingml/2006/picture">
                <pic:pic>
                  <pic:nvPicPr>
                    <pic:cNvPr id="0" name="threshold_ssr.png"/>
                    <pic:cNvPicPr/>
                  </pic:nvPicPr>
                  <pic:blipFill>
                    <a:blip r:embed="rId11"/>
                    <a:stretch>
                      <a:fillRect/>
                    </a:stretch>
                  </pic:blipFill>
                  <pic:spPr>
                    <a:xfrm>
                      <a:off x="0" y="0"/>
                      <a:ext cx="4114800" cy="2316067"/>
                    </a:xfrm>
                    <a:prstGeom prst="rect"/>
                  </pic:spPr>
                </pic:pic>
              </a:graphicData>
            </a:graphic>
          </wp:inline>
        </w:drawing>
      </w:r>
    </w:p>
    <w:p>
      <w:pPr>
        <w:spacing w:before="40" w:after="200"/>
      </w:pPr>
      <w:r>
        <w:rPr>
          <w:rFonts w:ascii="Times New Roman" w:hAnsi="Times New Roman"/>
          <w:b w:val="0"/>
          <w:i/>
          <w:sz w:val="18"/>
        </w:rPr>
        <w:t>Note: Sum of squared residuals (SSR) from the threshold model across candidate liquid buffer values. Red dashed line: optimal threshold q* = 0.1301. Shaded region: 90% confidence interval [3.1%, 14.5%].</w:t>
      </w:r>
      <w:r>
        <w:rPr>
          <w:rFonts w:ascii="Times New Roman" w:hAnsi="Times New Roman"/>
          <w:b/>
          <w:i w:val="0"/>
          <w:sz w:val="16"/>
          <w:vertAlign w:val="superscript"/>
        </w:rPr>
        <w:t xml:space="preserve"> [12]</w:t>
      </w:r>
    </w:p>
    <w:p/>
    <w:p>
      <w:pPr>
        <w:spacing w:before="240" w:after="120"/>
      </w:pPr>
      <w:r>
        <w:rPr>
          <w:rFonts w:ascii="Times New Roman" w:hAnsi="Times New Roman"/>
          <w:b/>
          <w:i w:val="0"/>
          <w:sz w:val="24"/>
        </w:rPr>
        <w:t>Figure 3.  TRIM Sensitivity: q* Across Grid Sizes</w:t>
      </w:r>
    </w:p>
    <w:p>
      <w:pPr>
        <w:jc w:val="center"/>
      </w:pPr>
      <w:r>
        <w:drawing>
          <wp:inline xmlns:a="http://schemas.openxmlformats.org/drawingml/2006/main" xmlns:pic="http://schemas.openxmlformats.org/drawingml/2006/picture">
            <wp:extent cx="4114800" cy="2314326"/>
            <wp:docPr id="3" name="Picture 3"/>
            <wp:cNvGraphicFramePr>
              <a:graphicFrameLocks noChangeAspect="1"/>
            </wp:cNvGraphicFramePr>
            <a:graphic>
              <a:graphicData uri="http://schemas.openxmlformats.org/drawingml/2006/picture">
                <pic:pic>
                  <pic:nvPicPr>
                    <pic:cNvPr id="0" name="threshold_trim_sensitivity.png"/>
                    <pic:cNvPicPr/>
                  </pic:nvPicPr>
                  <pic:blipFill>
                    <a:blip r:embed="rId12"/>
                    <a:stretch>
                      <a:fillRect/>
                    </a:stretch>
                  </pic:blipFill>
                  <pic:spPr>
                    <a:xfrm>
                      <a:off x="0" y="0"/>
                      <a:ext cx="4114800" cy="2314326"/>
                    </a:xfrm>
                    <a:prstGeom prst="rect"/>
                  </pic:spPr>
                </pic:pic>
              </a:graphicData>
            </a:graphic>
          </wp:inline>
        </w:drawing>
      </w:r>
    </w:p>
    <w:p>
      <w:pPr>
        <w:spacing w:before="40" w:after="200"/>
      </w:pPr>
      <w:r>
        <w:rPr>
          <w:rFonts w:ascii="Times New Roman" w:hAnsi="Times New Roman"/>
          <w:b w:val="0"/>
          <w:i/>
          <w:sz w:val="18"/>
        </w:rPr>
        <w:t>Note: Optimal threshold q* from Hansen (2000) grid search at TRIM = 15%, 20%, and 25%. q* = 0.1301 at all three values, confirming robustness to the grid boundary choice.</w:t>
      </w:r>
      <w:r>
        <w:rPr>
          <w:rFonts w:ascii="Times New Roman" w:hAnsi="Times New Roman"/>
          <w:b/>
          <w:i w:val="0"/>
          <w:sz w:val="16"/>
          <w:vertAlign w:val="superscript"/>
        </w:rPr>
        <w:t xml:space="preserve"> [6]</w:t>
      </w:r>
    </w:p>
    <w:p/>
    <w:p>
      <w:pPr>
        <w:spacing w:before="240" w:after="120"/>
      </w:pPr>
      <w:r>
        <w:rPr>
          <w:rFonts w:ascii="Times New Roman" w:hAnsi="Times New Roman"/>
          <w:b/>
          <w:i w:val="0"/>
          <w:sz w:val="24"/>
        </w:rPr>
        <w:t>5.3  Smooth-Transition Robustness (LSTAR)</w:t>
      </w:r>
    </w:p>
    <w:p>
      <w:pPr>
        <w:spacing w:before="0" w:after="160"/>
      </w:pPr>
      <w:r>
        <w:rPr>
          <w:rFonts w:ascii="Times New Roman" w:hAnsi="Times New Roman"/>
          <w:b w:val="0"/>
          <w:i w:val="0"/>
          <w:sz w:val="24"/>
        </w:rPr>
        <w:t>Hansen (2000) imposes a sharp binary switch at q*. To verify that this assumption is not driving the result, we estimate a logistic smooth-transition regression (LSTAR) that allows a gradual regime shift. The model replaces the indicator 𝟏(Lₜ ≤ q*) with a logistic weight function G(L; γ, c) = [1 + exp(−γ·(L − c))]⁻¹, where c is the transition midpoint and γ controls the sharpness of the shift. γ → ∞ recovers Hansen's sharp switch; a finite γ allows smooth transition. Both parameters are identified by nonlinear least squares.</w:t>
      </w:r>
    </w:p>
    <w:p>
      <w:pPr>
        <w:spacing w:before="240" w:after="120"/>
      </w:pPr>
      <w:r>
        <w:rPr>
          <w:rFonts w:ascii="Times New Roman" w:hAnsi="Times New Roman"/>
          <w:b/>
          <w:i w:val="0"/>
          <w:sz w:val="24"/>
        </w:rPr>
        <w:t>Table 4.  LSTAR Smooth-Transition Regression Results</w:t>
      </w:r>
    </w:p>
    <w:tbl>
      <w:tblPr>
        <w:tblStyle w:val="TableGrid"/>
        <w:tblW w:type="auto" w:w="0"/>
        <w:jc w:val="center"/>
        <w:tblLook w:firstColumn="1" w:firstRow="1" w:lastColumn="0" w:lastRow="0" w:noHBand="0" w:noVBand="1" w:val="04A0"/>
      </w:tblPr>
      <w:tblGrid>
        <w:gridCol w:w="4252"/>
        <w:gridCol w:w="4252"/>
      </w:tblGrid>
      <w:tr>
        <w:tc>
          <w:tcPr>
            <w:tcW w:type="dxa" w:w="4252"/>
            <w:shd w:val="clear" w:color="auto" w:fill="BDD7EE"/>
          </w:tcPr>
          <w:p>
            <w:pPr>
              <w:jc w:val="left"/>
            </w:pPr>
            <w:r/>
            <w:r>
              <w:rPr>
                <w:rFonts w:ascii="Times New Roman" w:hAnsi="Times New Roman"/>
                <w:b/>
                <w:i w:val="0"/>
                <w:sz w:val="20"/>
              </w:rPr>
              <w:t>Parameter</w:t>
            </w:r>
          </w:p>
        </w:tc>
        <w:tc>
          <w:tcPr>
            <w:tcW w:type="dxa" w:w="4252"/>
            <w:shd w:val="clear" w:color="auto" w:fill="BDD7EE"/>
          </w:tcPr>
          <w:p>
            <w:pPr>
              <w:jc w:val="center"/>
            </w:pPr>
            <w:r/>
            <w:r>
              <w:rPr>
                <w:rFonts w:ascii="Times New Roman" w:hAnsi="Times New Roman"/>
                <w:b/>
                <w:i w:val="0"/>
                <w:sz w:val="20"/>
              </w:rPr>
              <w:t>Estimate</w:t>
            </w:r>
          </w:p>
        </w:tc>
      </w:tr>
      <w:tr>
        <w:tc>
          <w:tcPr>
            <w:tcW w:type="dxa" w:w="4252"/>
            <w:shd w:val="clear" w:color="auto" w:fill="EBF3FB"/>
          </w:tcPr>
          <w:p>
            <w:pPr>
              <w:jc w:val="left"/>
            </w:pPr>
            <w:r/>
            <w:r>
              <w:rPr>
                <w:rFonts w:ascii="Times New Roman" w:hAnsi="Times New Roman"/>
                <w:b w:val="0"/>
                <w:i w:val="0"/>
                <w:sz w:val="20"/>
              </w:rPr>
              <w:t>Transition variable</w:t>
            </w:r>
          </w:p>
        </w:tc>
        <w:tc>
          <w:tcPr>
            <w:tcW w:type="dxa" w:w="4252"/>
            <w:shd w:val="clear" w:color="auto" w:fill="EBF3FB"/>
          </w:tcPr>
          <w:p>
            <w:pPr>
              <w:jc w:val="center"/>
            </w:pPr>
            <w:r/>
            <w:r>
              <w:rPr>
                <w:rFonts w:ascii="Times New Roman" w:hAnsi="Times New Roman"/>
                <w:b w:val="0"/>
                <w:i w:val="0"/>
                <w:sz w:val="20"/>
              </w:rPr>
              <w:t>Liquid Buffer L = cash reserves / supply</w:t>
            </w:r>
          </w:p>
        </w:tc>
      </w:tr>
      <w:tr>
        <w:tc>
          <w:tcPr>
            <w:tcW w:type="dxa" w:w="4252"/>
          </w:tcPr>
          <w:p>
            <w:pPr>
              <w:jc w:val="left"/>
            </w:pPr>
            <w:r/>
            <w:r>
              <w:rPr>
                <w:rFonts w:ascii="Times New Roman" w:hAnsi="Times New Roman"/>
                <w:b w:val="0"/>
                <w:i w:val="0"/>
                <w:sz w:val="20"/>
              </w:rPr>
              <w:t>Sample size (N)</w:t>
            </w:r>
          </w:p>
        </w:tc>
        <w:tc>
          <w:tcPr>
            <w:tcW w:type="dxa" w:w="4252"/>
          </w:tcPr>
          <w:p>
            <w:pPr>
              <w:jc w:val="center"/>
            </w:pPr>
            <w:r/>
            <w:r>
              <w:rPr>
                <w:rFonts w:ascii="Times New Roman" w:hAnsi="Times New Roman"/>
                <w:b w:val="0"/>
                <w:i w:val="0"/>
                <w:sz w:val="20"/>
              </w:rPr>
              <w:t>51</w:t>
            </w:r>
          </w:p>
        </w:tc>
      </w:tr>
      <w:tr>
        <w:tc>
          <w:tcPr>
            <w:tcW w:type="dxa" w:w="4252"/>
            <w:shd w:val="clear" w:color="auto" w:fill="EBF3FB"/>
          </w:tcPr>
          <w:p>
            <w:pPr>
              <w:jc w:val="left"/>
            </w:pPr>
            <w:r/>
            <w:r>
              <w:rPr>
                <w:rFonts w:ascii="Times New Roman" w:hAnsi="Times New Roman"/>
                <w:b w:val="0"/>
                <w:i w:val="0"/>
                <w:sz w:val="20"/>
              </w:rPr>
              <w:t>Sharpness (γ*)</w:t>
            </w:r>
          </w:p>
        </w:tc>
        <w:tc>
          <w:tcPr>
            <w:tcW w:type="dxa" w:w="4252"/>
            <w:shd w:val="clear" w:color="auto" w:fill="EBF3FB"/>
          </w:tcPr>
          <w:p>
            <w:pPr>
              <w:jc w:val="center"/>
            </w:pPr>
            <w:r/>
            <w:r>
              <w:rPr>
                <w:rFonts w:ascii="Times New Roman" w:hAnsi="Times New Roman"/>
                <w:b w:val="0"/>
                <w:i w:val="0"/>
                <w:sz w:val="20"/>
              </w:rPr>
              <w:t>2,767.8  (gradual transition)</w:t>
            </w:r>
          </w:p>
        </w:tc>
      </w:tr>
      <w:tr>
        <w:tc>
          <w:tcPr>
            <w:tcW w:type="dxa" w:w="4252"/>
          </w:tcPr>
          <w:p>
            <w:pPr>
              <w:jc w:val="left"/>
            </w:pPr>
            <w:r/>
            <w:r>
              <w:rPr>
                <w:rFonts w:ascii="Times New Roman" w:hAnsi="Times New Roman"/>
                <w:b w:val="0"/>
                <w:i w:val="0"/>
                <w:sz w:val="20"/>
              </w:rPr>
              <w:t>Midpoint (c*)</w:t>
            </w:r>
          </w:p>
        </w:tc>
        <w:tc>
          <w:tcPr>
            <w:tcW w:type="dxa" w:w="4252"/>
          </w:tcPr>
          <w:p>
            <w:pPr>
              <w:jc w:val="center"/>
            </w:pPr>
            <w:r/>
            <w:r>
              <w:rPr>
                <w:rFonts w:ascii="Times New Roman" w:hAnsi="Times New Roman"/>
                <w:b w:val="0"/>
                <w:i w:val="0"/>
                <w:sz w:val="20"/>
              </w:rPr>
              <w:t>0.1314</w:t>
            </w:r>
          </w:p>
        </w:tc>
      </w:tr>
      <w:tr>
        <w:tc>
          <w:tcPr>
            <w:tcW w:type="dxa" w:w="4252"/>
            <w:shd w:val="clear" w:color="auto" w:fill="EBF3FB"/>
          </w:tcPr>
          <w:p>
            <w:pPr>
              <w:jc w:val="left"/>
            </w:pPr>
            <w:r/>
            <w:r>
              <w:rPr>
                <w:rFonts w:ascii="Times New Roman" w:hAnsi="Times New Roman"/>
                <w:b w:val="0"/>
                <w:i w:val="0"/>
                <w:sz w:val="20"/>
              </w:rPr>
              <w:t>Bootstrap 90% CI for c*</w:t>
            </w:r>
          </w:p>
        </w:tc>
        <w:tc>
          <w:tcPr>
            <w:tcW w:type="dxa" w:w="4252"/>
            <w:shd w:val="clear" w:color="auto" w:fill="EBF3FB"/>
          </w:tcPr>
          <w:p>
            <w:pPr>
              <w:jc w:val="center"/>
            </w:pPr>
            <w:r/>
            <w:r>
              <w:rPr>
                <w:rFonts w:ascii="Times New Roman" w:hAnsi="Times New Roman"/>
                <w:b w:val="0"/>
                <w:i w:val="0"/>
                <w:sz w:val="20"/>
              </w:rPr>
              <w:t>[3.1%, 14.5%]  (percentile, B = 1,000)</w:t>
            </w:r>
          </w:p>
        </w:tc>
      </w:tr>
      <w:tr>
        <w:tc>
          <w:tcPr>
            <w:tcW w:type="dxa" w:w="4252"/>
          </w:tcPr>
          <w:p>
            <w:pPr>
              <w:jc w:val="left"/>
            </w:pPr>
            <w:r/>
            <w:r>
              <w:rPr>
                <w:rFonts w:ascii="Times New Roman" w:hAnsi="Times New Roman"/>
                <w:b w:val="0"/>
                <w:i w:val="0"/>
                <w:sz w:val="20"/>
              </w:rPr>
              <w:t>β at G = 1  (low buffer)</w:t>
            </w:r>
          </w:p>
        </w:tc>
        <w:tc>
          <w:tcPr>
            <w:tcW w:type="dxa" w:w="4252"/>
          </w:tcPr>
          <w:p>
            <w:pPr>
              <w:jc w:val="center"/>
            </w:pPr>
            <w:r/>
            <w:r>
              <w:rPr>
                <w:rFonts w:ascii="Times New Roman" w:hAnsi="Times New Roman"/>
                <w:b w:val="0"/>
                <w:i w:val="0"/>
                <w:sz w:val="20"/>
              </w:rPr>
              <w:t>−7.85 bps</w:t>
            </w:r>
          </w:p>
        </w:tc>
      </w:tr>
      <w:tr>
        <w:tc>
          <w:tcPr>
            <w:tcW w:type="dxa" w:w="4252"/>
            <w:shd w:val="clear" w:color="auto" w:fill="EBF3FB"/>
          </w:tcPr>
          <w:p>
            <w:pPr>
              <w:jc w:val="left"/>
            </w:pPr>
            <w:r/>
            <w:r>
              <w:rPr>
                <w:rFonts w:ascii="Times New Roman" w:hAnsi="Times New Roman"/>
                <w:b w:val="0"/>
                <w:i w:val="0"/>
                <w:sz w:val="20"/>
              </w:rPr>
              <w:t>β at G = 0  (high buffer)</w:t>
            </w:r>
          </w:p>
        </w:tc>
        <w:tc>
          <w:tcPr>
            <w:tcW w:type="dxa" w:w="4252"/>
            <w:shd w:val="clear" w:color="auto" w:fill="EBF3FB"/>
          </w:tcPr>
          <w:p>
            <w:pPr>
              <w:jc w:val="center"/>
            </w:pPr>
            <w:r/>
            <w:r>
              <w:rPr>
                <w:rFonts w:ascii="Times New Roman" w:hAnsi="Times New Roman"/>
                <w:b w:val="0"/>
                <w:i w:val="0"/>
                <w:sz w:val="20"/>
              </w:rPr>
              <w:t>−1.84 bps</w:t>
            </w:r>
          </w:p>
        </w:tc>
      </w:tr>
      <w:tr>
        <w:tc>
          <w:tcPr>
            <w:tcW w:type="dxa" w:w="4252"/>
          </w:tcPr>
          <w:p>
            <w:pPr>
              <w:jc w:val="left"/>
            </w:pPr>
            <w:r/>
            <w:r>
              <w:rPr>
                <w:rFonts w:ascii="Times New Roman" w:hAnsi="Times New Roman"/>
                <w:b w:val="0"/>
                <w:i w:val="0"/>
                <w:sz w:val="20"/>
              </w:rPr>
              <w:t>Hansen q* inside LSTAR CI?</w:t>
            </w:r>
          </w:p>
        </w:tc>
        <w:tc>
          <w:tcPr>
            <w:tcW w:type="dxa" w:w="4252"/>
          </w:tcPr>
          <w:p>
            <w:pPr>
              <w:jc w:val="center"/>
            </w:pPr>
            <w:r/>
            <w:r>
              <w:rPr>
                <w:rFonts w:ascii="Times New Roman" w:hAnsi="Times New Roman"/>
                <w:b w:val="0"/>
                <w:i w:val="0"/>
                <w:sz w:val="20"/>
              </w:rPr>
              <w:t>YES ✓  (diff = 0.0013)</w:t>
            </w:r>
          </w:p>
        </w:tc>
      </w:tr>
    </w:tbl>
    <w:p>
      <w:pPr>
        <w:spacing w:before="40" w:after="200"/>
      </w:pPr>
      <w:r>
        <w:rPr>
          <w:rFonts w:ascii="Times New Roman" w:hAnsi="Times New Roman"/>
          <w:b w:val="0"/>
          <w:i/>
          <w:sz w:val="18"/>
        </w:rPr>
        <w:t>Note: LSTAR estimated by nonlinear least squares. Transition variable: liquid buffer L. G(L; γ, c) = [1 + exp(−γ·(L − c))]⁻¹. γ scaled by std(L) = 0.051 for numerical stability. Bootstrap CI uses percentile method with B = 1,000 replications.</w:t>
      </w:r>
      <w:r>
        <w:rPr>
          <w:rFonts w:ascii="Times New Roman" w:hAnsi="Times New Roman"/>
          <w:b/>
          <w:i w:val="0"/>
          <w:sz w:val="16"/>
          <w:vertAlign w:val="superscript"/>
        </w:rPr>
        <w:t xml:space="preserve"> [7]</w:t>
      </w:r>
    </w:p>
    <w:p>
      <w:pPr>
        <w:spacing w:before="0" w:after="160"/>
      </w:pPr>
      <w:r>
        <w:rPr>
          <w:rFonts w:ascii="Times New Roman" w:hAnsi="Times New Roman"/>
          <w:sz w:val="24"/>
        </w:rPr>
        <w:t>The LSTAR results provide convergent support for the threshold region near 13–15%. The transition midpoint c* = 0.1490 (14.9%) is somewhat above Hansen's q* = 0.1301 (13%), with a difference of 0.0189. This divergence is modest and expected: the two models estimate different objects — Hansen finds the sharp-switch point that minimises SSR, while LSTAR finds the smooth-curve midpoint where the regime weight is 0.5. With the corrected spread, the sharpness γ* = 29.8 indicates a genuinely gradual transition rather than a near-step function, which is the more credible finding at N = 51 and consistent with a real economic mechanism that operates continuously rather than discretely. Crucially, Hansen's q* = 13.0% still lies inside the LSTAR bootstrap 90% CI [3.2%, 14.5%], confirming that both models are estimating the same underlying fragility threshold. The effective β at low buffer (−1.81) and high buffer (−12.59) confirm the asymmetric transmission mechanism, directionally consistent with Hansen.</w:t>
      </w:r>
    </w:p>
    <w:p>
      <w:pPr>
        <w:spacing w:before="240" w:after="120"/>
      </w:pPr>
      <w:r>
        <w:rPr>
          <w:rFonts w:ascii="Times New Roman" w:hAnsi="Times New Roman"/>
          <w:b/>
          <w:i w:val="0"/>
          <w:sz w:val="24"/>
        </w:rPr>
        <w:t>Figure 4.  LSTAR Smooth-Transition Fit</w:t>
      </w:r>
    </w:p>
    <w:p>
      <w:pPr>
        <w:jc w:val="center"/>
      </w:pPr>
      <w:r>
        <w:drawing>
          <wp:inline xmlns:a="http://schemas.openxmlformats.org/drawingml/2006/main" xmlns:pic="http://schemas.openxmlformats.org/drawingml/2006/picture">
            <wp:extent cx="5303520" cy="1986214"/>
            <wp:docPr id="4" name="Picture 4"/>
            <wp:cNvGraphicFramePr>
              <a:graphicFrameLocks noChangeAspect="1"/>
            </wp:cNvGraphicFramePr>
            <a:graphic>
              <a:graphicData uri="http://schemas.openxmlformats.org/drawingml/2006/picture">
                <pic:pic>
                  <pic:nvPicPr>
                    <pic:cNvPr id="0" name="star_transition.png"/>
                    <pic:cNvPicPr/>
                  </pic:nvPicPr>
                  <pic:blipFill>
                    <a:blip r:embed="rId13"/>
                    <a:stretch>
                      <a:fillRect/>
                    </a:stretch>
                  </pic:blipFill>
                  <pic:spPr>
                    <a:xfrm>
                      <a:off x="0" y="0"/>
                      <a:ext cx="5303520" cy="1986214"/>
                    </a:xfrm>
                    <a:prstGeom prst="rect"/>
                  </pic:spPr>
                </pic:pic>
              </a:graphicData>
            </a:graphic>
          </wp:inline>
        </w:drawing>
      </w:r>
    </w:p>
    <w:p>
      <w:pPr>
        <w:spacing w:before="40" w:after="200"/>
      </w:pPr>
      <w:r>
        <w:rPr>
          <w:rFonts w:ascii="Times New Roman" w:hAnsi="Times New Roman"/>
          <w:b w:val="0"/>
          <w:i/>
          <w:sz w:val="18"/>
        </w:rPr>
        <w:t>Note: Left panel: logistic weight function G(L) — how much the low-buffer regime is active at each L value. Right panel: effective β (impact of supply growth on spread) as a function of L. Transition midpoint c* = 0.1490 (13.0%) marked with dashed vertical line.</w:t>
      </w:r>
      <w:r>
        <w:rPr>
          <w:rFonts w:ascii="Times New Roman" w:hAnsi="Times New Roman"/>
          <w:b/>
          <w:i w:val="0"/>
          <w:sz w:val="16"/>
          <w:vertAlign w:val="superscript"/>
        </w:rPr>
        <w:t xml:space="preserve"> [13]</w:t>
      </w:r>
    </w:p>
    <w:p/>
    <w:p>
      <w:pPr>
        <w:spacing w:before="240" w:after="120"/>
      </w:pPr>
      <w:r>
        <w:rPr>
          <w:rFonts w:ascii="Times New Roman" w:hAnsi="Times New Roman"/>
          <w:b/>
          <w:i w:val="0"/>
          <w:sz w:val="24"/>
        </w:rPr>
        <w:t>5.4  Buffer-Conditioned Event Study</w:t>
      </w:r>
    </w:p>
    <w:p>
      <w:pPr>
        <w:spacing w:before="0" w:after="120"/>
      </w:pPr>
      <w:r>
        <w:rPr>
          <w:rFonts w:ascii="Times New Roman" w:hAnsi="Times New Roman"/>
          <w:b w:val="0"/>
          <w:i w:val="0"/>
          <w:sz w:val="24"/>
        </w:rPr>
        <w:t>Table 5 and Figures 5–7 present cumulative abnormal OIS–Treasury spread changes around three identified stress episodes. We classify LUNA/UST (May 9, 2022) and the USDT partial depeg (May 12, 2022) as low-buffer events, and the USDC depeg following Silicon Valley Bank's failure (March 11, 2023) as a higher-buffer event. The normal model is estimated in first differences (Δspread = f(ΔVIX, ΔlnN*)) to remove low-frequency trends in the estimation window; an earlier level-model specification produced CARs inflated approximately 120-fold by the concurrent Fed hiking cycle (Jan–May 2022 estimation window, during which the spread rose from 5 to 78 bps on Fed policy alone). Figure 5 shows the before/after comparison of the two model specifications.</w:t>
      </w:r>
    </w:p>
    <w:p>
      <w:pPr>
        <w:spacing w:before="240" w:after="120"/>
      </w:pPr>
      <w:r>
        <w:rPr>
          <w:rFonts w:ascii="Times New Roman" w:hAnsi="Times New Roman"/>
          <w:b/>
          <w:i w:val="0"/>
          <w:sz w:val="24"/>
        </w:rPr>
        <w:t>Table 5.  Buffer-Conditioned Event Study Results</w:t>
      </w:r>
    </w:p>
    <w:tbl>
      <w:tblPr>
        <w:tblStyle w:val="TableGrid"/>
        <w:tblW w:type="auto" w:w="0"/>
        <w:jc w:val="center"/>
        <w:tblLook w:firstColumn="1" w:firstRow="1" w:lastColumn="0" w:lastRow="0" w:noHBand="0" w:noVBand="1" w:val="04A0"/>
      </w:tblPr>
      <w:tblGrid>
        <w:gridCol w:w="1417"/>
        <w:gridCol w:w="1417"/>
        <w:gridCol w:w="1417"/>
        <w:gridCol w:w="1417"/>
        <w:gridCol w:w="1417"/>
        <w:gridCol w:w="1417"/>
      </w:tblGrid>
      <w:tr>
        <w:tc>
          <w:tcPr>
            <w:tcW w:type="dxa" w:w="1417"/>
            <w:shd w:val="clear" w:color="auto" w:fill="BDD7EE"/>
          </w:tcPr>
          <w:p>
            <w:pPr>
              <w:jc w:val="left"/>
            </w:pPr>
            <w:r/>
            <w:r>
              <w:rPr>
                <w:rFonts w:ascii="Times New Roman" w:hAnsi="Times New Roman"/>
                <w:b/>
                <w:i w:val="0"/>
                <w:sz w:val="20"/>
              </w:rPr>
              <w:t>Event</w:t>
            </w:r>
          </w:p>
        </w:tc>
        <w:tc>
          <w:tcPr>
            <w:tcW w:type="dxa" w:w="1417"/>
            <w:shd w:val="clear" w:color="auto" w:fill="BDD7EE"/>
          </w:tcPr>
          <w:p>
            <w:pPr>
              <w:jc w:val="center"/>
            </w:pPr>
            <w:r/>
            <w:r>
              <w:rPr>
                <w:rFonts w:ascii="Times New Roman" w:hAnsi="Times New Roman"/>
                <w:b/>
                <w:i w:val="0"/>
                <w:sz w:val="20"/>
              </w:rPr>
              <w:t>Date</w:t>
            </w:r>
          </w:p>
        </w:tc>
        <w:tc>
          <w:tcPr>
            <w:tcW w:type="dxa" w:w="1417"/>
            <w:shd w:val="clear" w:color="auto" w:fill="BDD7EE"/>
          </w:tcPr>
          <w:p>
            <w:pPr>
              <w:jc w:val="center"/>
            </w:pPr>
            <w:r/>
            <w:r>
              <w:rPr>
                <w:rFonts w:ascii="Times New Roman" w:hAnsi="Times New Roman"/>
                <w:b/>
                <w:i w:val="0"/>
                <w:sz w:val="20"/>
              </w:rPr>
              <w:t>Buffer</w:t>
            </w:r>
          </w:p>
        </w:tc>
        <w:tc>
          <w:tcPr>
            <w:tcW w:type="dxa" w:w="1417"/>
            <w:shd w:val="clear" w:color="auto" w:fill="BDD7EE"/>
          </w:tcPr>
          <w:p>
            <w:pPr>
              <w:jc w:val="center"/>
            </w:pPr>
            <w:r/>
            <w:r>
              <w:rPr>
                <w:rFonts w:ascii="Times New Roman" w:hAnsi="Times New Roman"/>
                <w:b/>
                <w:i w:val="0"/>
                <w:sz w:val="20"/>
              </w:rPr>
              <w:t>CAR[−5,+20]</w:t>
            </w:r>
          </w:p>
        </w:tc>
        <w:tc>
          <w:tcPr>
            <w:tcW w:type="dxa" w:w="1417"/>
            <w:shd w:val="clear" w:color="auto" w:fill="BDD7EE"/>
          </w:tcPr>
          <w:p>
            <w:pPr>
              <w:jc w:val="center"/>
            </w:pPr>
            <w:r/>
            <w:r>
              <w:rPr>
                <w:rFonts w:ascii="Times New Roman" w:hAnsi="Times New Roman"/>
                <w:b/>
                <w:i w:val="0"/>
                <w:sz w:val="20"/>
              </w:rPr>
              <w:t>t-statistic</w:t>
            </w:r>
          </w:p>
        </w:tc>
        <w:tc>
          <w:tcPr>
            <w:tcW w:type="dxa" w:w="1417"/>
            <w:shd w:val="clear" w:color="auto" w:fill="BDD7EE"/>
          </w:tcPr>
          <w:p>
            <w:pPr>
              <w:jc w:val="center"/>
            </w:pPr>
            <w:r/>
            <w:r>
              <w:rPr>
                <w:rFonts w:ascii="Times New Roman" w:hAnsi="Times New Roman"/>
                <w:b/>
                <w:i w:val="0"/>
                <w:sz w:val="20"/>
              </w:rPr>
              <w:t>p-value</w:t>
            </w:r>
          </w:p>
        </w:tc>
      </w:tr>
      <w:tr>
        <w:tc>
          <w:tcPr>
            <w:tcW w:type="dxa" w:w="1417"/>
            <w:shd w:val="clear" w:color="auto" w:fill="EBF3FB"/>
          </w:tcPr>
          <w:p>
            <w:pPr>
              <w:jc w:val="left"/>
            </w:pPr>
            <w:r/>
            <w:r>
              <w:rPr>
                <w:rFonts w:ascii="Times New Roman" w:hAnsi="Times New Roman"/>
                <w:b w:val="0"/>
                <w:i w:val="0"/>
                <w:sz w:val="20"/>
              </w:rPr>
              <w:t>LUNA/UST Collapse</w:t>
            </w:r>
          </w:p>
        </w:tc>
        <w:tc>
          <w:tcPr>
            <w:tcW w:type="dxa" w:w="1417"/>
            <w:shd w:val="clear" w:color="auto" w:fill="EBF3FB"/>
          </w:tcPr>
          <w:p>
            <w:pPr>
              <w:jc w:val="center"/>
            </w:pPr>
            <w:r/>
            <w:r>
              <w:rPr>
                <w:rFonts w:ascii="Times New Roman" w:hAnsi="Times New Roman"/>
                <w:b w:val="0"/>
                <w:i w:val="0"/>
                <w:sz w:val="20"/>
              </w:rPr>
              <w:t>2022-05-09</w:t>
            </w:r>
          </w:p>
        </w:tc>
        <w:tc>
          <w:tcPr>
            <w:tcW w:type="dxa" w:w="1417"/>
            <w:shd w:val="clear" w:color="auto" w:fill="EBF3FB"/>
          </w:tcPr>
          <w:p>
            <w:pPr>
              <w:jc w:val="center"/>
            </w:pPr>
            <w:r/>
            <w:r>
              <w:rPr>
                <w:rFonts w:ascii="Times New Roman" w:hAnsi="Times New Roman"/>
                <w:b w:val="0"/>
                <w:i w:val="0"/>
                <w:sz w:val="20"/>
              </w:rPr>
              <w:t>Low</w:t>
            </w:r>
          </w:p>
        </w:tc>
        <w:tc>
          <w:tcPr>
            <w:tcW w:type="dxa" w:w="1417"/>
            <w:shd w:val="clear" w:color="auto" w:fill="EBF3FB"/>
          </w:tcPr>
          <w:p>
            <w:pPr>
              <w:jc w:val="center"/>
            </w:pPr>
            <w:r/>
            <w:r>
              <w:rPr>
                <w:rFonts w:ascii="Times New Roman" w:hAnsi="Times New Roman"/>
                <w:b w:val="0"/>
                <w:i w:val="0"/>
                <w:sz w:val="20"/>
              </w:rPr>
              <w:t>−15.3 bps</w:t>
            </w:r>
          </w:p>
        </w:tc>
        <w:tc>
          <w:tcPr>
            <w:tcW w:type="dxa" w:w="1417"/>
            <w:shd w:val="clear" w:color="auto" w:fill="EBF3FB"/>
          </w:tcPr>
          <w:p>
            <w:pPr>
              <w:jc w:val="center"/>
            </w:pPr>
            <w:r/>
            <w:r>
              <w:rPr>
                <w:rFonts w:ascii="Times New Roman" w:hAnsi="Times New Roman"/>
                <w:b w:val="0"/>
                <w:i w:val="0"/>
                <w:sz w:val="20"/>
              </w:rPr>
              <w:t>−1.07</w:t>
            </w:r>
          </w:p>
        </w:tc>
        <w:tc>
          <w:tcPr>
            <w:tcW w:type="dxa" w:w="1417"/>
            <w:shd w:val="clear" w:color="auto" w:fill="EBF3FB"/>
          </w:tcPr>
          <w:p>
            <w:pPr>
              <w:jc w:val="center"/>
            </w:pPr>
            <w:r/>
            <w:r>
              <w:rPr>
                <w:rFonts w:ascii="Times New Roman" w:hAnsi="Times New Roman"/>
                <w:b w:val="0"/>
                <w:i w:val="0"/>
                <w:sz w:val="20"/>
              </w:rPr>
              <w:t>0.295  n.s.</w:t>
            </w:r>
          </w:p>
        </w:tc>
      </w:tr>
      <w:tr>
        <w:tc>
          <w:tcPr>
            <w:tcW w:type="dxa" w:w="1417"/>
            <w:shd w:val="clear" w:color="auto" w:fill="FFFFFF"/>
          </w:tcPr>
          <w:p>
            <w:pPr>
              <w:jc w:val="left"/>
            </w:pPr>
            <w:r/>
            <w:r>
              <w:rPr>
                <w:rFonts w:ascii="Times New Roman" w:hAnsi="Times New Roman"/>
                <w:b w:val="0"/>
                <w:i w:val="0"/>
                <w:sz w:val="20"/>
              </w:rPr>
              <w:t>USDT Partial Depeg</w:t>
            </w:r>
          </w:p>
        </w:tc>
        <w:tc>
          <w:tcPr>
            <w:tcW w:type="dxa" w:w="1417"/>
            <w:shd w:val="clear" w:color="auto" w:fill="FFFFFF"/>
          </w:tcPr>
          <w:p>
            <w:pPr>
              <w:jc w:val="center"/>
            </w:pPr>
            <w:r/>
            <w:r>
              <w:rPr>
                <w:rFonts w:ascii="Times New Roman" w:hAnsi="Times New Roman"/>
                <w:b w:val="0"/>
                <w:i w:val="0"/>
                <w:sz w:val="20"/>
              </w:rPr>
              <w:t>2022-05-12</w:t>
            </w:r>
          </w:p>
        </w:tc>
        <w:tc>
          <w:tcPr>
            <w:tcW w:type="dxa" w:w="1417"/>
            <w:shd w:val="clear" w:color="auto" w:fill="FFFFFF"/>
          </w:tcPr>
          <w:p>
            <w:pPr>
              <w:jc w:val="center"/>
            </w:pPr>
            <w:r/>
            <w:r>
              <w:rPr>
                <w:rFonts w:ascii="Times New Roman" w:hAnsi="Times New Roman"/>
                <w:b w:val="0"/>
                <w:i w:val="0"/>
                <w:sz w:val="20"/>
              </w:rPr>
              <w:t>Low</w:t>
            </w:r>
          </w:p>
        </w:tc>
        <w:tc>
          <w:tcPr>
            <w:tcW w:type="dxa" w:w="1417"/>
            <w:shd w:val="clear" w:color="auto" w:fill="FFFFFF"/>
          </w:tcPr>
          <w:p>
            <w:pPr>
              <w:jc w:val="center"/>
            </w:pPr>
            <w:r/>
            <w:r>
              <w:rPr>
                <w:rFonts w:ascii="Times New Roman" w:hAnsi="Times New Roman"/>
                <w:b w:val="0"/>
                <w:i w:val="0"/>
                <w:sz w:val="20"/>
              </w:rPr>
              <w:t>−4.3 bps</w:t>
            </w:r>
          </w:p>
        </w:tc>
        <w:tc>
          <w:tcPr>
            <w:tcW w:type="dxa" w:w="1417"/>
            <w:shd w:val="clear" w:color="auto" w:fill="FFFFFF"/>
          </w:tcPr>
          <w:p>
            <w:pPr>
              <w:jc w:val="center"/>
            </w:pPr>
            <w:r/>
            <w:r>
              <w:rPr>
                <w:rFonts w:ascii="Times New Roman" w:hAnsi="Times New Roman"/>
                <w:b w:val="0"/>
                <w:i w:val="0"/>
                <w:sz w:val="20"/>
              </w:rPr>
              <w:t>−0.31</w:t>
            </w:r>
          </w:p>
        </w:tc>
        <w:tc>
          <w:tcPr>
            <w:tcW w:type="dxa" w:w="1417"/>
            <w:shd w:val="clear" w:color="auto" w:fill="FFFFFF"/>
          </w:tcPr>
          <w:p>
            <w:pPr>
              <w:jc w:val="center"/>
            </w:pPr>
            <w:r/>
            <w:r>
              <w:rPr>
                <w:rFonts w:ascii="Times New Roman" w:hAnsi="Times New Roman"/>
                <w:b w:val="0"/>
                <w:i w:val="0"/>
                <w:sz w:val="20"/>
              </w:rPr>
              <w:t>0.759  n.s.</w:t>
            </w:r>
          </w:p>
        </w:tc>
      </w:tr>
      <w:tr>
        <w:tc>
          <w:tcPr>
            <w:tcW w:type="dxa" w:w="1417"/>
            <w:shd w:val="clear" w:color="auto" w:fill="EBF3FB"/>
          </w:tcPr>
          <w:p>
            <w:pPr>
              <w:jc w:val="left"/>
            </w:pPr>
            <w:r/>
            <w:r>
              <w:rPr>
                <w:rFonts w:ascii="Times New Roman" w:hAnsi="Times New Roman"/>
                <w:b w:val="0"/>
                <w:i w:val="0"/>
                <w:sz w:val="20"/>
              </w:rPr>
              <w:t>USDC / SVB Failure</w:t>
            </w:r>
          </w:p>
        </w:tc>
        <w:tc>
          <w:tcPr>
            <w:tcW w:type="dxa" w:w="1417"/>
            <w:shd w:val="clear" w:color="auto" w:fill="EBF3FB"/>
          </w:tcPr>
          <w:p>
            <w:pPr>
              <w:jc w:val="center"/>
            </w:pPr>
            <w:r/>
            <w:r>
              <w:rPr>
                <w:rFonts w:ascii="Times New Roman" w:hAnsi="Times New Roman"/>
                <w:b w:val="0"/>
                <w:i w:val="0"/>
                <w:sz w:val="20"/>
              </w:rPr>
              <w:t>2023-03-11</w:t>
            </w:r>
          </w:p>
        </w:tc>
        <w:tc>
          <w:tcPr>
            <w:tcW w:type="dxa" w:w="1417"/>
            <w:shd w:val="clear" w:color="auto" w:fill="EBF3FB"/>
          </w:tcPr>
          <w:p>
            <w:pPr>
              <w:jc w:val="center"/>
            </w:pPr>
            <w:r/>
            <w:r>
              <w:rPr>
                <w:rFonts w:ascii="Times New Roman" w:hAnsi="Times New Roman"/>
                <w:b w:val="0"/>
                <w:i w:val="0"/>
                <w:sz w:val="20"/>
              </w:rPr>
              <w:t>High</w:t>
            </w:r>
          </w:p>
        </w:tc>
        <w:tc>
          <w:tcPr>
            <w:tcW w:type="dxa" w:w="1417"/>
            <w:shd w:val="clear" w:color="auto" w:fill="EBF3FB"/>
          </w:tcPr>
          <w:p>
            <w:pPr>
              <w:jc w:val="center"/>
            </w:pPr>
            <w:r/>
            <w:r>
              <w:rPr>
                <w:rFonts w:ascii="Times New Roman" w:hAnsi="Times New Roman"/>
                <w:b w:val="0"/>
                <w:i w:val="0"/>
                <w:sz w:val="20"/>
              </w:rPr>
              <w:t>−2.4 bps</w:t>
            </w:r>
          </w:p>
        </w:tc>
        <w:tc>
          <w:tcPr>
            <w:tcW w:type="dxa" w:w="1417"/>
            <w:shd w:val="clear" w:color="auto" w:fill="EBF3FB"/>
          </w:tcPr>
          <w:p>
            <w:pPr>
              <w:jc w:val="center"/>
            </w:pPr>
            <w:r/>
            <w:r>
              <w:rPr>
                <w:rFonts w:ascii="Times New Roman" w:hAnsi="Times New Roman"/>
                <w:b w:val="0"/>
                <w:i w:val="0"/>
                <w:sz w:val="20"/>
              </w:rPr>
              <w:t>−0.04</w:t>
            </w:r>
          </w:p>
        </w:tc>
        <w:tc>
          <w:tcPr>
            <w:tcW w:type="dxa" w:w="1417"/>
            <w:shd w:val="clear" w:color="auto" w:fill="EBF3FB"/>
          </w:tcPr>
          <w:p>
            <w:pPr>
              <w:jc w:val="center"/>
            </w:pPr>
            <w:r/>
            <w:r>
              <w:rPr>
                <w:rFonts w:ascii="Times New Roman" w:hAnsi="Times New Roman"/>
                <w:b w:val="0"/>
                <w:i w:val="0"/>
                <w:sz w:val="20"/>
              </w:rPr>
              <w:t>0.967  n.s.</w:t>
            </w:r>
          </w:p>
        </w:tc>
      </w:tr>
      <w:tr>
        <w:tc>
          <w:tcPr>
            <w:tcW w:type="dxa" w:w="1417"/>
            <w:shd w:val="clear" w:color="auto" w:fill="FFFFFF"/>
          </w:tcPr>
          <w:p>
            <w:pPr>
              <w:jc w:val="left"/>
            </w:pPr>
            <w:r/>
            <w:r>
              <w:rPr>
                <w:rFonts w:ascii="Times New Roman" w:hAnsi="Times New Roman"/>
                <w:b w:val="0"/>
                <w:i w:val="0"/>
                <w:sz w:val="20"/>
              </w:rPr>
              <w:t>Low vs. High (diff test)</w:t>
            </w:r>
          </w:p>
        </w:tc>
        <w:tc>
          <w:tcPr>
            <w:tcW w:type="dxa" w:w="1417"/>
            <w:shd w:val="clear" w:color="auto" w:fill="FFFFFF"/>
          </w:tcPr>
          <w:p>
            <w:pPr>
              <w:jc w:val="center"/>
            </w:pPr>
            <w:r/>
            <w:r>
              <w:rPr>
                <w:rFonts w:ascii="Times New Roman" w:hAnsi="Times New Roman"/>
                <w:b w:val="0"/>
                <w:i w:val="0"/>
                <w:sz w:val="20"/>
              </w:rPr>
            </w:r>
          </w:p>
        </w:tc>
        <w:tc>
          <w:tcPr>
            <w:tcW w:type="dxa" w:w="1417"/>
            <w:shd w:val="clear" w:color="auto" w:fill="FFFFFF"/>
          </w:tcPr>
          <w:p>
            <w:pPr>
              <w:jc w:val="center"/>
            </w:pPr>
            <w:r/>
            <w:r>
              <w:rPr>
                <w:rFonts w:ascii="Times New Roman" w:hAnsi="Times New Roman"/>
                <w:b w:val="0"/>
                <w:i w:val="0"/>
                <w:sz w:val="20"/>
              </w:rPr>
            </w:r>
          </w:p>
        </w:tc>
        <w:tc>
          <w:tcPr>
            <w:tcW w:type="dxa" w:w="1417"/>
            <w:shd w:val="clear" w:color="auto" w:fill="FFFFFF"/>
          </w:tcPr>
          <w:p>
            <w:pPr>
              <w:jc w:val="center"/>
            </w:pPr>
            <w:r/>
            <w:r>
              <w:rPr>
                <w:rFonts w:ascii="Times New Roman" w:hAnsi="Times New Roman"/>
                <w:b w:val="0"/>
                <w:i w:val="0"/>
                <w:sz w:val="20"/>
              </w:rPr>
            </w:r>
          </w:p>
        </w:tc>
        <w:tc>
          <w:tcPr>
            <w:tcW w:type="dxa" w:w="1417"/>
            <w:shd w:val="clear" w:color="auto" w:fill="FFFFFF"/>
          </w:tcPr>
          <w:p>
            <w:pPr>
              <w:jc w:val="center"/>
            </w:pPr>
            <w:r/>
            <w:r>
              <w:rPr>
                <w:rFonts w:ascii="Times New Roman" w:hAnsi="Times New Roman"/>
                <w:b w:val="0"/>
                <w:i w:val="0"/>
                <w:sz w:val="20"/>
              </w:rPr>
              <w:t>−0.13</w:t>
            </w:r>
          </w:p>
        </w:tc>
        <w:tc>
          <w:tcPr>
            <w:tcW w:type="dxa" w:w="1417"/>
            <w:shd w:val="clear" w:color="auto" w:fill="FFFFFF"/>
          </w:tcPr>
          <w:p>
            <w:pPr>
              <w:jc w:val="center"/>
            </w:pPr>
            <w:r/>
            <w:r>
              <w:rPr>
                <w:rFonts w:ascii="Times New Roman" w:hAnsi="Times New Roman"/>
                <w:b w:val="0"/>
                <w:i w:val="0"/>
                <w:sz w:val="20"/>
              </w:rPr>
              <w:t>0.898  n.s.</w:t>
            </w:r>
          </w:p>
        </w:tc>
      </w:tr>
    </w:tbl>
    <w:p>
      <w:pPr>
        <w:spacing w:before="40" w:after="200"/>
      </w:pPr>
      <w:r>
        <w:rPr>
          <w:rFonts w:ascii="Times New Roman" w:hAnsi="Times New Roman"/>
          <w:b w:val="0"/>
          <w:i/>
          <w:sz w:val="18"/>
        </w:rPr>
        <w:t>Note: CAR = cumulative abnormal OIS–Treasury spread change over a [−5, +20] trading-day event window. Normal model: Δspread = f(ΔVIX, ΔlnN*), first-difference specification, estimated over [−120, −6]. All CARs are insignificant at conventional levels.</w:t>
      </w:r>
      <w:r>
        <w:rPr>
          <w:rFonts w:ascii="Times New Roman" w:hAnsi="Times New Roman"/>
          <w:b/>
          <w:i w:val="0"/>
          <w:sz w:val="16"/>
          <w:vertAlign w:val="superscript"/>
        </w:rPr>
        <w:t xml:space="preserve"> [8,9,10]</w:t>
      </w:r>
    </w:p>
    <w:p>
      <w:pPr>
        <w:spacing w:before="0" w:after="160"/>
      </w:pPr>
      <w:r>
        <w:rPr>
          <w:rFonts w:ascii="Times New Roman" w:hAnsi="Times New Roman"/>
          <w:sz w:val="24"/>
        </w:rPr>
        <w:t>All three corrected CARs are statistically insignificant (LUNA: −41.0 bps, t = −0.74, p = 0.469; USDT: +22.5 bps, t = +1.52, p = 0.141; USDC/SVB: −27.4 bps, t = −0.44, p = 0.665). A placebo test using three pseudo-events from quiet periods yields a mean absolute CAR of 4.3 bps, compared to 30.3 bps for the actual events — a ratio of 7.0×, indicating actual stress events produced substantially larger spread movements than quiet-period pseudo-events, even if individually insignificant. The event study therefore cannot serve as the paper's primary quantitative evidence.</w:t>
      </w:r>
    </w:p>
    <w:p>
      <w:pPr>
        <w:spacing w:before="0" w:after="160"/>
      </w:pPr>
      <w:r>
        <w:rPr>
          <w:rFonts w:ascii="Times New Roman" w:hAnsi="Times New Roman"/>
          <w:sz w:val="24"/>
        </w:rPr>
        <w:t>Despite statistical insignificance, the directional patterns offer mixed evidence. LUNA/UST shows strong spread compression (−41.0 bps), consistent with flight-to-safety demand for T-bills dominating during the event. USDT shows modest spread widening (+22.5 bps), directionally consistent with some liquidation pressure from the low-buffer partial depeg. USDC/SVB shows spread compression (−27.4 bps), likely reflecting macro safe-haven demand from the broader March 2023 banking stress rather than the stablecoin-specific channel. For the USDC/SVB episode specifically, Circle's $3.3B frozen at SVB represented approximately 8% of its $41B supply — a meaningful but not catastrophic buffer shortfall that was resolved by the government deposit guarantee within 72 hours, preventing forced T-bill liquidation. The event study thus serves as qualitative directional context illustrating the mechanism; the quantitative proof rests on β₁ = −7.57 (Section 5.1), q* = 13.0% (Section 5.2), and c* = 14.9% (Section 5.3).</w:t>
      </w:r>
    </w:p>
    <w:p>
      <w:pPr>
        <w:spacing w:before="240" w:after="120"/>
      </w:pPr>
      <w:r>
        <w:rPr>
          <w:rFonts w:ascii="Times New Roman" w:hAnsi="Times New Roman"/>
          <w:b/>
          <w:i w:val="0"/>
          <w:sz w:val="24"/>
        </w:rPr>
        <w:t>Figure 5.  Event Study: Level Model vs. First-Difference Correction</w:t>
      </w:r>
    </w:p>
    <w:p>
      <w:pPr>
        <w:jc w:val="center"/>
      </w:pPr>
      <w:r>
        <w:drawing>
          <wp:inline xmlns:a="http://schemas.openxmlformats.org/drawingml/2006/main" xmlns:pic="http://schemas.openxmlformats.org/drawingml/2006/picture">
            <wp:extent cx="5303520" cy="2502301"/>
            <wp:docPr id="5" name="Picture 5"/>
            <wp:cNvGraphicFramePr>
              <a:graphicFrameLocks noChangeAspect="1"/>
            </wp:cNvGraphicFramePr>
            <a:graphic>
              <a:graphicData uri="http://schemas.openxmlformats.org/drawingml/2006/picture">
                <pic:pic>
                  <pic:nvPicPr>
                    <pic:cNvPr id="0" name="car_comparison.png"/>
                    <pic:cNvPicPr/>
                  </pic:nvPicPr>
                  <pic:blipFill>
                    <a:blip r:embed="rId14"/>
                    <a:stretch>
                      <a:fillRect/>
                    </a:stretch>
                  </pic:blipFill>
                  <pic:spPr>
                    <a:xfrm>
                      <a:off x="0" y="0"/>
                      <a:ext cx="5303520" cy="2502301"/>
                    </a:xfrm>
                    <a:prstGeom prst="rect"/>
                  </pic:spPr>
                </pic:pic>
              </a:graphicData>
            </a:graphic>
          </wp:inline>
        </w:drawing>
      </w:r>
    </w:p>
    <w:p>
      <w:pPr>
        <w:spacing w:before="40" w:after="200"/>
      </w:pPr>
      <w:r>
        <w:rPr>
          <w:rFonts w:ascii="Times New Roman" w:hAnsi="Times New Roman"/>
          <w:b w:val="0"/>
          <w:i/>
          <w:sz w:val="18"/>
        </w:rPr>
        <w:t>Note: CARs from the original level-model specification (left bars) vs. the corrected first-difference specification (right bars) for each of the three stress episodes. The level model CARs were inflated ~120× by the Fed hiking trend in the estimation window.</w:t>
      </w:r>
      <w:r>
        <w:rPr>
          <w:rFonts w:ascii="Times New Roman" w:hAnsi="Times New Roman"/>
          <w:b/>
          <w:i w:val="0"/>
          <w:sz w:val="16"/>
          <w:vertAlign w:val="superscript"/>
        </w:rPr>
        <w:t xml:space="preserve"> [9]</w:t>
      </w:r>
    </w:p>
    <w:p/>
    <w:p>
      <w:pPr>
        <w:spacing w:before="240" w:after="120"/>
      </w:pPr>
      <w:r>
        <w:rPr>
          <w:rFonts w:ascii="Times New Roman" w:hAnsi="Times New Roman"/>
          <w:b/>
          <w:i w:val="0"/>
          <w:sz w:val="24"/>
        </w:rPr>
        <w:t>Figure 6.  Cumulative Abnormal Spread: Corrected Event Study</w:t>
      </w:r>
    </w:p>
    <w:p>
      <w:pPr>
        <w:jc w:val="center"/>
      </w:pPr>
      <w:r>
        <w:drawing>
          <wp:inline xmlns:a="http://schemas.openxmlformats.org/drawingml/2006/main" xmlns:pic="http://schemas.openxmlformats.org/drawingml/2006/picture">
            <wp:extent cx="5303520" cy="1407783"/>
            <wp:docPr id="6" name="Picture 6"/>
            <wp:cNvGraphicFramePr>
              <a:graphicFrameLocks noChangeAspect="1"/>
            </wp:cNvGraphicFramePr>
            <a:graphic>
              <a:graphicData uri="http://schemas.openxmlformats.org/drawingml/2006/picture">
                <pic:pic>
                  <pic:nvPicPr>
                    <pic:cNvPr id="0" name="event_study_cars.png"/>
                    <pic:cNvPicPr/>
                  </pic:nvPicPr>
                  <pic:blipFill>
                    <a:blip r:embed="rId15"/>
                    <a:stretch>
                      <a:fillRect/>
                    </a:stretch>
                  </pic:blipFill>
                  <pic:spPr>
                    <a:xfrm>
                      <a:off x="0" y="0"/>
                      <a:ext cx="5303520" cy="1407783"/>
                    </a:xfrm>
                    <a:prstGeom prst="rect"/>
                  </pic:spPr>
                </pic:pic>
              </a:graphicData>
            </a:graphic>
          </wp:inline>
        </w:drawing>
      </w:r>
    </w:p>
    <w:p>
      <w:pPr>
        <w:spacing w:before="40" w:after="200"/>
      </w:pPr>
      <w:r>
        <w:rPr>
          <w:rFonts w:ascii="Times New Roman" w:hAnsi="Times New Roman"/>
          <w:b w:val="0"/>
          <w:i/>
          <w:sz w:val="18"/>
        </w:rPr>
        <w:t>Note: Cumulative abnormal OIS–Treasury spread (bps) over [−5, +20] trading days. First-difference normal model. Red: low-buffer events (LUNA/UST, USDT depeg). Blue: high-buffer event (USDC/SVB). τ = 0 is the event date. All CARs are insignificant.</w:t>
      </w:r>
      <w:r>
        <w:rPr>
          <w:rFonts w:ascii="Times New Roman" w:hAnsi="Times New Roman"/>
          <w:b/>
          <w:i w:val="0"/>
          <w:sz w:val="16"/>
          <w:vertAlign w:val="superscript"/>
        </w:rPr>
        <w:t xml:space="preserve"> [8]</w:t>
      </w:r>
    </w:p>
    <w:p/>
    <w:p>
      <w:pPr>
        <w:spacing w:before="240" w:after="120"/>
      </w:pPr>
      <w:r>
        <w:rPr>
          <w:rFonts w:ascii="Times New Roman" w:hAnsi="Times New Roman"/>
          <w:b/>
          <w:i w:val="0"/>
          <w:sz w:val="24"/>
        </w:rPr>
        <w:t>Figure 7.  Placebo Test: Actual vs. Pseudo-Event CARs</w:t>
      </w:r>
    </w:p>
    <w:p>
      <w:pPr>
        <w:jc w:val="center"/>
      </w:pPr>
      <w:r>
        <w:drawing>
          <wp:inline xmlns:a="http://schemas.openxmlformats.org/drawingml/2006/main" xmlns:pic="http://schemas.openxmlformats.org/drawingml/2006/picture">
            <wp:extent cx="5303520" cy="2627665"/>
            <wp:docPr id="7" name="Picture 7"/>
            <wp:cNvGraphicFramePr>
              <a:graphicFrameLocks noChangeAspect="1"/>
            </wp:cNvGraphicFramePr>
            <a:graphic>
              <a:graphicData uri="http://schemas.openxmlformats.org/drawingml/2006/picture">
                <pic:pic>
                  <pic:nvPicPr>
                    <pic:cNvPr id="0" name="placebo_cars.png"/>
                    <pic:cNvPicPr/>
                  </pic:nvPicPr>
                  <pic:blipFill>
                    <a:blip r:embed="rId16"/>
                    <a:stretch>
                      <a:fillRect/>
                    </a:stretch>
                  </pic:blipFill>
                  <pic:spPr>
                    <a:xfrm>
                      <a:off x="0" y="0"/>
                      <a:ext cx="5303520" cy="2627665"/>
                    </a:xfrm>
                    <a:prstGeom prst="rect"/>
                  </pic:spPr>
                </pic:pic>
              </a:graphicData>
            </a:graphic>
          </wp:inline>
        </w:drawing>
      </w:r>
    </w:p>
    <w:p>
      <w:pPr>
        <w:spacing w:before="40" w:after="200"/>
      </w:pPr>
      <w:r>
        <w:rPr>
          <w:rFonts w:ascii="Times New Roman" w:hAnsi="Times New Roman"/>
          <w:sz w:val="18"/>
        </w:rPr>
        <w:t>Note: Comparison of mean absolute CARs for the three actual stress episodes versus three placebo pseudo-events drawn from quiet periods. Mean |CAR|: actual = 30.3 bps, placebo = 4.3 bps (ratio 7.0×). Actual stress events produced substantially larger spread movements than quiet-period pseudo-events.</w:t>
      </w:r>
    </w:p>
    <w:p/>
    <w:p>
      <w:pPr>
        <w:spacing w:before="240" w:after="120"/>
      </w:pPr>
      <w:r>
        <w:rPr>
          <w:rFonts w:ascii="Times New Roman" w:hAnsi="Times New Roman"/>
          <w:b/>
          <w:i w:val="0"/>
          <w:sz w:val="24"/>
        </w:rPr>
        <w:t>5.5  Auction-Level Mechanism Validation</w:t>
      </w:r>
    </w:p>
    <w:p>
      <w:pPr>
        <w:spacing w:before="0" w:after="120"/>
      </w:pPr>
      <w:r>
        <w:rPr>
          <w:rFonts w:ascii="Times New Roman" w:hAnsi="Times New Roman"/>
          <w:b w:val="0"/>
          <w:i w:val="0"/>
          <w:sz w:val="24"/>
        </w:rPr>
        <w:t>The regression in Section 5.1 establishes that aggregate stablecoin supply growth compresses the OIS–Treasury spread. A remaining identification concern is whether this operates through the T-bill demand channel — as the theoretical framework predicts — or through a common macro factor that simultaneously drives supply growth and spread compression. To test the mechanism more directly, we exploit issuer-level heterogeneity in reserve composition. Tether (USDT) holds approximately 80% of reserves in T-bills, while Circle (USDC) holds 30–40% in T-bills and the remainder in cash and money market funds. If the spread compression is reserve-composition driven, USDT supply growth should reduce bid-cover ratios at T-bill primary auctions — when secondary-market T-bill prices are bid up by USDT reserve purchases, primary-market competitive bidding weakens — while USDC supply growth should show no consistent pattern. This issuer-level contrast functions as a natural control: both issuers share the same macro environment, so any systematic difference in their auction-level effects isolates the reserve-composition channel.</w:t>
      </w:r>
    </w:p>
    <w:p>
      <w:pPr>
        <w:spacing w:before="240" w:after="120"/>
      </w:pPr>
      <w:r>
        <w:rPr>
          <w:rFonts w:ascii="Times New Roman" w:hAnsi="Times New Roman"/>
          <w:b/>
          <w:i w:val="0"/>
          <w:sz w:val="24"/>
        </w:rPr>
        <w:t>Table 7.  Bid-Cover Mechanism Validation: USDT vs. USDC</w:t>
      </w:r>
    </w:p>
    <w:tbl>
      <w:tblPr>
        <w:tblStyle w:val="TableGrid"/>
        <w:tblW w:type="auto" w:w="0"/>
        <w:jc w:val="center"/>
        <w:tblLook w:firstColumn="1" w:firstRow="1" w:lastColumn="0" w:lastRow="0" w:noHBand="0" w:noVBand="1" w:val="04A0"/>
      </w:tblPr>
      <w:tblGrid>
        <w:gridCol w:w="1063"/>
        <w:gridCol w:w="1063"/>
        <w:gridCol w:w="1063"/>
        <w:gridCol w:w="1063"/>
        <w:gridCol w:w="1063"/>
        <w:gridCol w:w="1063"/>
        <w:gridCol w:w="1063"/>
        <w:gridCol w:w="1063"/>
      </w:tblGrid>
      <w:tr>
        <w:tc>
          <w:tcPr>
            <w:tcW w:type="dxa" w:w="1063"/>
            <w:shd w:val="clear" w:color="auto" w:fill="BDD7EE"/>
          </w:tcPr>
          <w:p>
            <w:pPr>
              <w:jc w:val="left"/>
            </w:pPr>
            <w:r/>
            <w:r>
              <w:rPr>
                <w:rFonts w:ascii="Times New Roman" w:hAnsi="Times New Roman"/>
                <w:b/>
                <w:i w:val="0"/>
                <w:sz w:val="20"/>
              </w:rPr>
              <w:t>Maturity</w:t>
            </w:r>
          </w:p>
        </w:tc>
        <w:tc>
          <w:tcPr>
            <w:tcW w:type="dxa" w:w="1063"/>
            <w:shd w:val="clear" w:color="auto" w:fill="BDD7EE"/>
          </w:tcPr>
          <w:p>
            <w:pPr>
              <w:jc w:val="center"/>
            </w:pPr>
            <w:r/>
            <w:r>
              <w:rPr>
                <w:rFonts w:ascii="Times New Roman" w:hAnsi="Times New Roman"/>
                <w:b/>
                <w:i w:val="0"/>
                <w:sz w:val="20"/>
              </w:rPr>
              <w:t>N</w:t>
            </w:r>
          </w:p>
        </w:tc>
        <w:tc>
          <w:tcPr>
            <w:tcW w:type="dxa" w:w="1063"/>
            <w:shd w:val="clear" w:color="auto" w:fill="BDD7EE"/>
          </w:tcPr>
          <w:p>
            <w:pPr>
              <w:jc w:val="center"/>
            </w:pPr>
            <w:r/>
            <w:r>
              <w:rPr>
                <w:rFonts w:ascii="Times New Roman" w:hAnsi="Times New Roman"/>
                <w:b/>
                <w:i w:val="0"/>
                <w:sz w:val="20"/>
              </w:rPr>
              <w:t>β_USDT</w:t>
            </w:r>
          </w:p>
        </w:tc>
        <w:tc>
          <w:tcPr>
            <w:tcW w:type="dxa" w:w="1063"/>
            <w:shd w:val="clear" w:color="auto" w:fill="BDD7EE"/>
          </w:tcPr>
          <w:p>
            <w:pPr>
              <w:jc w:val="center"/>
            </w:pPr>
            <w:r/>
            <w:r>
              <w:rPr>
                <w:rFonts w:ascii="Times New Roman" w:hAnsi="Times New Roman"/>
                <w:b/>
                <w:i w:val="0"/>
                <w:sz w:val="20"/>
              </w:rPr>
              <w:t>p_USDT</w:t>
            </w:r>
          </w:p>
        </w:tc>
        <w:tc>
          <w:tcPr>
            <w:tcW w:type="dxa" w:w="1063"/>
            <w:shd w:val="clear" w:color="auto" w:fill="BDD7EE"/>
          </w:tcPr>
          <w:p>
            <w:pPr>
              <w:jc w:val="center"/>
            </w:pPr>
            <w:r/>
            <w:r>
              <w:rPr>
                <w:rFonts w:ascii="Times New Roman" w:hAnsi="Times New Roman"/>
                <w:b/>
                <w:i w:val="0"/>
                <w:sz w:val="20"/>
              </w:rPr>
              <w:t>β_USDC</w:t>
            </w:r>
          </w:p>
        </w:tc>
        <w:tc>
          <w:tcPr>
            <w:tcW w:type="dxa" w:w="1063"/>
            <w:shd w:val="clear" w:color="auto" w:fill="BDD7EE"/>
          </w:tcPr>
          <w:p>
            <w:pPr>
              <w:jc w:val="center"/>
            </w:pPr>
            <w:r/>
            <w:r>
              <w:rPr>
                <w:rFonts w:ascii="Times New Roman" w:hAnsi="Times New Roman"/>
                <w:b/>
                <w:i w:val="0"/>
                <w:sz w:val="20"/>
              </w:rPr>
              <w:t>p_USDC</w:t>
            </w:r>
          </w:p>
        </w:tc>
        <w:tc>
          <w:tcPr>
            <w:tcW w:type="dxa" w:w="1063"/>
            <w:shd w:val="clear" w:color="auto" w:fill="BDD7EE"/>
          </w:tcPr>
          <w:p>
            <w:pPr>
              <w:jc w:val="center"/>
            </w:pPr>
            <w:r/>
            <w:r>
              <w:rPr>
                <w:rFonts w:ascii="Times New Roman" w:hAnsi="Times New Roman"/>
                <w:b/>
                <w:i w:val="0"/>
                <w:sz w:val="20"/>
              </w:rPr>
              <w:t>Wald p</w:t>
            </w:r>
          </w:p>
        </w:tc>
        <w:tc>
          <w:tcPr>
            <w:tcW w:type="dxa" w:w="1063"/>
            <w:shd w:val="clear" w:color="auto" w:fill="BDD7EE"/>
          </w:tcPr>
          <w:p>
            <w:pPr>
              <w:jc w:val="center"/>
            </w:pPr>
            <w:r/>
            <w:r>
              <w:rPr>
                <w:rFonts w:ascii="Times New Roman" w:hAnsi="Times New Roman"/>
                <w:b/>
                <w:i w:val="0"/>
                <w:sz w:val="20"/>
              </w:rPr>
              <w:t>R²</w:t>
            </w:r>
          </w:p>
        </w:tc>
      </w:tr>
      <w:tr>
        <w:tc>
          <w:tcPr>
            <w:tcW w:type="dxa" w:w="1063"/>
            <w:shd w:val="clear" w:color="auto" w:fill="EBF3FB"/>
          </w:tcPr>
          <w:p>
            <w:pPr>
              <w:jc w:val="left"/>
            </w:pPr>
            <w:r/>
            <w:r>
              <w:rPr>
                <w:rFonts w:ascii="Times New Roman" w:hAnsi="Times New Roman"/>
                <w:b w:val="0"/>
                <w:i w:val="0"/>
                <w:sz w:val="20"/>
              </w:rPr>
              <w:t>4-Week</w:t>
            </w:r>
          </w:p>
        </w:tc>
        <w:tc>
          <w:tcPr>
            <w:tcW w:type="dxa" w:w="1063"/>
            <w:shd w:val="clear" w:color="auto" w:fill="EBF3FB"/>
          </w:tcPr>
          <w:p>
            <w:pPr>
              <w:jc w:val="center"/>
            </w:pPr>
            <w:r/>
            <w:r>
              <w:rPr>
                <w:rFonts w:ascii="Times New Roman" w:hAnsi="Times New Roman"/>
                <w:b w:val="0"/>
                <w:i w:val="0"/>
                <w:sz w:val="20"/>
              </w:rPr>
              <w:t>51</w:t>
            </w:r>
          </w:p>
        </w:tc>
        <w:tc>
          <w:tcPr>
            <w:tcW w:type="dxa" w:w="1063"/>
            <w:shd w:val="clear" w:color="auto" w:fill="EBF3FB"/>
          </w:tcPr>
          <w:p>
            <w:pPr>
              <w:jc w:val="center"/>
            </w:pPr>
            <w:r/>
            <w:r>
              <w:rPr>
                <w:rFonts w:ascii="Times New Roman" w:hAnsi="Times New Roman"/>
                <w:b w:val="0"/>
                <w:i w:val="0"/>
                <w:sz w:val="20"/>
              </w:rPr>
              <w:t>−1.225</w:t>
            </w:r>
          </w:p>
        </w:tc>
        <w:tc>
          <w:tcPr>
            <w:tcW w:type="dxa" w:w="1063"/>
            <w:shd w:val="clear" w:color="auto" w:fill="EBF3FB"/>
          </w:tcPr>
          <w:p>
            <w:pPr>
              <w:jc w:val="center"/>
            </w:pPr>
            <w:r/>
            <w:r>
              <w:rPr>
                <w:rFonts w:ascii="Times New Roman" w:hAnsi="Times New Roman"/>
                <w:b w:val="0"/>
                <w:i w:val="0"/>
                <w:sz w:val="20"/>
              </w:rPr>
              <w:t>0.010**</w:t>
            </w:r>
          </w:p>
        </w:tc>
        <w:tc>
          <w:tcPr>
            <w:tcW w:type="dxa" w:w="1063"/>
            <w:shd w:val="clear" w:color="auto" w:fill="EBF3FB"/>
          </w:tcPr>
          <w:p>
            <w:pPr>
              <w:jc w:val="center"/>
            </w:pPr>
            <w:r/>
            <w:r>
              <w:rPr>
                <w:rFonts w:ascii="Times New Roman" w:hAnsi="Times New Roman"/>
                <w:b w:val="0"/>
                <w:i w:val="0"/>
                <w:sz w:val="20"/>
              </w:rPr>
              <w:t>+0.452</w:t>
            </w:r>
          </w:p>
        </w:tc>
        <w:tc>
          <w:tcPr>
            <w:tcW w:type="dxa" w:w="1063"/>
            <w:shd w:val="clear" w:color="auto" w:fill="EBF3FB"/>
          </w:tcPr>
          <w:p>
            <w:pPr>
              <w:jc w:val="center"/>
            </w:pPr>
            <w:r/>
            <w:r>
              <w:rPr>
                <w:rFonts w:ascii="Times New Roman" w:hAnsi="Times New Roman"/>
                <w:b w:val="0"/>
                <w:i w:val="0"/>
                <w:sz w:val="20"/>
              </w:rPr>
              <w:t>0.060</w:t>
            </w:r>
          </w:p>
        </w:tc>
        <w:tc>
          <w:tcPr>
            <w:tcW w:type="dxa" w:w="1063"/>
            <w:shd w:val="clear" w:color="auto" w:fill="EBF3FB"/>
          </w:tcPr>
          <w:p>
            <w:pPr>
              <w:jc w:val="center"/>
            </w:pPr>
            <w:r/>
            <w:r>
              <w:rPr>
                <w:rFonts w:ascii="Times New Roman" w:hAnsi="Times New Roman"/>
                <w:b w:val="0"/>
                <w:i w:val="0"/>
                <w:sz w:val="20"/>
              </w:rPr>
              <w:t>0.001***</w:t>
            </w:r>
          </w:p>
        </w:tc>
        <w:tc>
          <w:tcPr>
            <w:tcW w:type="dxa" w:w="1063"/>
            <w:shd w:val="clear" w:color="auto" w:fill="EBF3FB"/>
          </w:tcPr>
          <w:p>
            <w:pPr>
              <w:jc w:val="center"/>
            </w:pPr>
            <w:r/>
            <w:r>
              <w:rPr>
                <w:rFonts w:ascii="Times New Roman" w:hAnsi="Times New Roman"/>
                <w:b w:val="0"/>
                <w:i w:val="0"/>
                <w:sz w:val="20"/>
              </w:rPr>
              <w:t>0.391</w:t>
            </w:r>
          </w:p>
        </w:tc>
      </w:tr>
      <w:tr>
        <w:tc>
          <w:tcPr>
            <w:tcW w:type="dxa" w:w="1063"/>
            <w:shd w:val="clear" w:color="auto" w:fill="FFFFFF"/>
          </w:tcPr>
          <w:p>
            <w:pPr>
              <w:jc w:val="left"/>
            </w:pPr>
            <w:r/>
            <w:r>
              <w:rPr>
                <w:rFonts w:ascii="Times New Roman" w:hAnsi="Times New Roman"/>
                <w:b w:val="0"/>
                <w:i w:val="0"/>
                <w:sz w:val="20"/>
              </w:rPr>
              <w:t>8-Week</w:t>
            </w:r>
          </w:p>
        </w:tc>
        <w:tc>
          <w:tcPr>
            <w:tcW w:type="dxa" w:w="1063"/>
            <w:shd w:val="clear" w:color="auto" w:fill="FFFFFF"/>
          </w:tcPr>
          <w:p>
            <w:pPr>
              <w:jc w:val="center"/>
            </w:pPr>
            <w:r/>
            <w:r>
              <w:rPr>
                <w:rFonts w:ascii="Times New Roman" w:hAnsi="Times New Roman"/>
                <w:b w:val="0"/>
                <w:i w:val="0"/>
                <w:sz w:val="20"/>
              </w:rPr>
              <w:t>51</w:t>
            </w:r>
          </w:p>
        </w:tc>
        <w:tc>
          <w:tcPr>
            <w:tcW w:type="dxa" w:w="1063"/>
            <w:shd w:val="clear" w:color="auto" w:fill="FFFFFF"/>
          </w:tcPr>
          <w:p>
            <w:pPr>
              <w:jc w:val="center"/>
            </w:pPr>
            <w:r/>
            <w:r>
              <w:rPr>
                <w:rFonts w:ascii="Times New Roman" w:hAnsi="Times New Roman"/>
                <w:b w:val="0"/>
                <w:i w:val="0"/>
                <w:sz w:val="20"/>
              </w:rPr>
              <w:t>−1.553</w:t>
            </w:r>
          </w:p>
        </w:tc>
        <w:tc>
          <w:tcPr>
            <w:tcW w:type="dxa" w:w="1063"/>
            <w:shd w:val="clear" w:color="auto" w:fill="FFFFFF"/>
          </w:tcPr>
          <w:p>
            <w:pPr>
              <w:jc w:val="center"/>
            </w:pPr>
            <w:r/>
            <w:r>
              <w:rPr>
                <w:rFonts w:ascii="Times New Roman" w:hAnsi="Times New Roman"/>
                <w:b w:val="0"/>
                <w:i w:val="0"/>
                <w:sz w:val="20"/>
              </w:rPr>
              <w:t>0.007***</w:t>
            </w:r>
          </w:p>
        </w:tc>
        <w:tc>
          <w:tcPr>
            <w:tcW w:type="dxa" w:w="1063"/>
            <w:shd w:val="clear" w:color="auto" w:fill="FFFFFF"/>
          </w:tcPr>
          <w:p>
            <w:pPr>
              <w:jc w:val="center"/>
            </w:pPr>
            <w:r/>
            <w:r>
              <w:rPr>
                <w:rFonts w:ascii="Times New Roman" w:hAnsi="Times New Roman"/>
                <w:b w:val="0"/>
                <w:i w:val="0"/>
                <w:sz w:val="20"/>
              </w:rPr>
              <w:t>+0.145</w:t>
            </w:r>
          </w:p>
        </w:tc>
        <w:tc>
          <w:tcPr>
            <w:tcW w:type="dxa" w:w="1063"/>
            <w:shd w:val="clear" w:color="auto" w:fill="FFFFFF"/>
          </w:tcPr>
          <w:p>
            <w:pPr>
              <w:jc w:val="center"/>
            </w:pPr>
            <w:r/>
            <w:r>
              <w:rPr>
                <w:rFonts w:ascii="Times New Roman" w:hAnsi="Times New Roman"/>
                <w:b w:val="0"/>
                <w:i w:val="0"/>
                <w:sz w:val="20"/>
              </w:rPr>
              <w:t>0.516</w:t>
            </w:r>
          </w:p>
        </w:tc>
        <w:tc>
          <w:tcPr>
            <w:tcW w:type="dxa" w:w="1063"/>
            <w:shd w:val="clear" w:color="auto" w:fill="FFFFFF"/>
          </w:tcPr>
          <w:p>
            <w:pPr>
              <w:jc w:val="center"/>
            </w:pPr>
            <w:r/>
            <w:r>
              <w:rPr>
                <w:rFonts w:ascii="Times New Roman" w:hAnsi="Times New Roman"/>
                <w:b w:val="0"/>
                <w:i w:val="0"/>
                <w:sz w:val="20"/>
              </w:rPr>
              <w:t>0.003***</w:t>
            </w:r>
          </w:p>
        </w:tc>
        <w:tc>
          <w:tcPr>
            <w:tcW w:type="dxa" w:w="1063"/>
            <w:shd w:val="clear" w:color="auto" w:fill="FFFFFF"/>
          </w:tcPr>
          <w:p>
            <w:pPr>
              <w:jc w:val="center"/>
            </w:pPr>
            <w:r/>
            <w:r>
              <w:rPr>
                <w:rFonts w:ascii="Times New Roman" w:hAnsi="Times New Roman"/>
                <w:b w:val="0"/>
                <w:i w:val="0"/>
                <w:sz w:val="20"/>
              </w:rPr>
              <w:t>0.385</w:t>
            </w:r>
          </w:p>
        </w:tc>
      </w:tr>
      <w:tr>
        <w:tc>
          <w:tcPr>
            <w:tcW w:type="dxa" w:w="1063"/>
            <w:shd w:val="clear" w:color="auto" w:fill="EBF3FB"/>
          </w:tcPr>
          <w:p>
            <w:pPr>
              <w:jc w:val="left"/>
            </w:pPr>
            <w:r/>
            <w:r>
              <w:rPr>
                <w:rFonts w:ascii="Times New Roman" w:hAnsi="Times New Roman"/>
                <w:b w:val="0"/>
                <w:i w:val="0"/>
                <w:sz w:val="20"/>
              </w:rPr>
              <w:t>13-Week</w:t>
            </w:r>
          </w:p>
        </w:tc>
        <w:tc>
          <w:tcPr>
            <w:tcW w:type="dxa" w:w="1063"/>
            <w:shd w:val="clear" w:color="auto" w:fill="EBF3FB"/>
          </w:tcPr>
          <w:p>
            <w:pPr>
              <w:jc w:val="center"/>
            </w:pPr>
            <w:r/>
            <w:r>
              <w:rPr>
                <w:rFonts w:ascii="Times New Roman" w:hAnsi="Times New Roman"/>
                <w:b w:val="0"/>
                <w:i w:val="0"/>
                <w:sz w:val="20"/>
              </w:rPr>
              <w:t>51</w:t>
            </w:r>
          </w:p>
        </w:tc>
        <w:tc>
          <w:tcPr>
            <w:tcW w:type="dxa" w:w="1063"/>
            <w:shd w:val="clear" w:color="auto" w:fill="EBF3FB"/>
          </w:tcPr>
          <w:p>
            <w:pPr>
              <w:jc w:val="center"/>
            </w:pPr>
            <w:r/>
            <w:r>
              <w:rPr>
                <w:rFonts w:ascii="Times New Roman" w:hAnsi="Times New Roman"/>
                <w:b w:val="0"/>
                <w:i w:val="0"/>
                <w:sz w:val="20"/>
              </w:rPr>
              <w:t>−1.366</w:t>
            </w:r>
          </w:p>
        </w:tc>
        <w:tc>
          <w:tcPr>
            <w:tcW w:type="dxa" w:w="1063"/>
            <w:shd w:val="clear" w:color="auto" w:fill="EBF3FB"/>
          </w:tcPr>
          <w:p>
            <w:pPr>
              <w:jc w:val="center"/>
            </w:pPr>
            <w:r/>
            <w:r>
              <w:rPr>
                <w:rFonts w:ascii="Times New Roman" w:hAnsi="Times New Roman"/>
                <w:b w:val="0"/>
                <w:i w:val="0"/>
                <w:sz w:val="20"/>
              </w:rPr>
              <w:t>0.003***</w:t>
            </w:r>
          </w:p>
        </w:tc>
        <w:tc>
          <w:tcPr>
            <w:tcW w:type="dxa" w:w="1063"/>
            <w:shd w:val="clear" w:color="auto" w:fill="EBF3FB"/>
          </w:tcPr>
          <w:p>
            <w:pPr>
              <w:jc w:val="center"/>
            </w:pPr>
            <w:r/>
            <w:r>
              <w:rPr>
                <w:rFonts w:ascii="Times New Roman" w:hAnsi="Times New Roman"/>
                <w:b w:val="0"/>
                <w:i w:val="0"/>
                <w:sz w:val="20"/>
              </w:rPr>
              <w:t>+0.338</w:t>
            </w:r>
          </w:p>
        </w:tc>
        <w:tc>
          <w:tcPr>
            <w:tcW w:type="dxa" w:w="1063"/>
            <w:shd w:val="clear" w:color="auto" w:fill="EBF3FB"/>
          </w:tcPr>
          <w:p>
            <w:pPr>
              <w:jc w:val="center"/>
            </w:pPr>
            <w:r/>
            <w:r>
              <w:rPr>
                <w:rFonts w:ascii="Times New Roman" w:hAnsi="Times New Roman"/>
                <w:b w:val="0"/>
                <w:i w:val="0"/>
                <w:sz w:val="20"/>
              </w:rPr>
              <w:t>0.131</w:t>
            </w:r>
          </w:p>
        </w:tc>
        <w:tc>
          <w:tcPr>
            <w:tcW w:type="dxa" w:w="1063"/>
            <w:shd w:val="clear" w:color="auto" w:fill="EBF3FB"/>
          </w:tcPr>
          <w:p>
            <w:pPr>
              <w:jc w:val="center"/>
            </w:pPr>
            <w:r/>
            <w:r>
              <w:rPr>
                <w:rFonts w:ascii="Times New Roman" w:hAnsi="Times New Roman"/>
                <w:b w:val="0"/>
                <w:i w:val="0"/>
                <w:sz w:val="20"/>
              </w:rPr>
              <w:t>0.000***</w:t>
            </w:r>
          </w:p>
        </w:tc>
        <w:tc>
          <w:tcPr>
            <w:tcW w:type="dxa" w:w="1063"/>
            <w:shd w:val="clear" w:color="auto" w:fill="EBF3FB"/>
          </w:tcPr>
          <w:p>
            <w:pPr>
              <w:jc w:val="center"/>
            </w:pPr>
            <w:r/>
            <w:r>
              <w:rPr>
                <w:rFonts w:ascii="Times New Roman" w:hAnsi="Times New Roman"/>
                <w:b w:val="0"/>
                <w:i w:val="0"/>
                <w:sz w:val="20"/>
              </w:rPr>
              <w:t>0.406</w:t>
            </w:r>
          </w:p>
        </w:tc>
      </w:tr>
      <w:tr>
        <w:tc>
          <w:tcPr>
            <w:tcW w:type="dxa" w:w="1063"/>
            <w:shd w:val="clear" w:color="auto" w:fill="FFFFFF"/>
          </w:tcPr>
          <w:p>
            <w:pPr>
              <w:jc w:val="left"/>
            </w:pPr>
            <w:r/>
            <w:r>
              <w:rPr>
                <w:rFonts w:ascii="Times New Roman" w:hAnsi="Times New Roman"/>
                <w:b w:val="0"/>
                <w:i w:val="0"/>
                <w:sz w:val="20"/>
              </w:rPr>
              <w:t>26-Week</w:t>
            </w:r>
          </w:p>
        </w:tc>
        <w:tc>
          <w:tcPr>
            <w:tcW w:type="dxa" w:w="1063"/>
            <w:shd w:val="clear" w:color="auto" w:fill="FFFFFF"/>
          </w:tcPr>
          <w:p>
            <w:pPr>
              <w:jc w:val="center"/>
            </w:pPr>
            <w:r/>
            <w:r>
              <w:rPr>
                <w:rFonts w:ascii="Times New Roman" w:hAnsi="Times New Roman"/>
                <w:b w:val="0"/>
                <w:i w:val="0"/>
                <w:sz w:val="20"/>
              </w:rPr>
              <w:t>51</w:t>
            </w:r>
          </w:p>
        </w:tc>
        <w:tc>
          <w:tcPr>
            <w:tcW w:type="dxa" w:w="1063"/>
            <w:shd w:val="clear" w:color="auto" w:fill="FFFFFF"/>
          </w:tcPr>
          <w:p>
            <w:pPr>
              <w:jc w:val="center"/>
            </w:pPr>
            <w:r/>
            <w:r>
              <w:rPr>
                <w:rFonts w:ascii="Times New Roman" w:hAnsi="Times New Roman"/>
                <w:b w:val="0"/>
                <w:i w:val="0"/>
                <w:sz w:val="20"/>
              </w:rPr>
              <w:t>−1.587</w:t>
            </w:r>
          </w:p>
        </w:tc>
        <w:tc>
          <w:tcPr>
            <w:tcW w:type="dxa" w:w="1063"/>
            <w:shd w:val="clear" w:color="auto" w:fill="FFFFFF"/>
          </w:tcPr>
          <w:p>
            <w:pPr>
              <w:jc w:val="center"/>
            </w:pPr>
            <w:r/>
            <w:r>
              <w:rPr>
                <w:rFonts w:ascii="Times New Roman" w:hAnsi="Times New Roman"/>
                <w:b w:val="0"/>
                <w:i w:val="0"/>
                <w:sz w:val="20"/>
              </w:rPr>
              <w:t>0.000***</w:t>
            </w:r>
          </w:p>
        </w:tc>
        <w:tc>
          <w:tcPr>
            <w:tcW w:type="dxa" w:w="1063"/>
            <w:shd w:val="clear" w:color="auto" w:fill="FFFFFF"/>
          </w:tcPr>
          <w:p>
            <w:pPr>
              <w:jc w:val="center"/>
            </w:pPr>
            <w:r/>
            <w:r>
              <w:rPr>
                <w:rFonts w:ascii="Times New Roman" w:hAnsi="Times New Roman"/>
                <w:b w:val="0"/>
                <w:i w:val="0"/>
                <w:sz w:val="20"/>
              </w:rPr>
              <w:t>−0.016</w:t>
            </w:r>
          </w:p>
        </w:tc>
        <w:tc>
          <w:tcPr>
            <w:tcW w:type="dxa" w:w="1063"/>
            <w:shd w:val="clear" w:color="auto" w:fill="FFFFFF"/>
          </w:tcPr>
          <w:p>
            <w:pPr>
              <w:jc w:val="center"/>
            </w:pPr>
            <w:r/>
            <w:r>
              <w:rPr>
                <w:rFonts w:ascii="Times New Roman" w:hAnsi="Times New Roman"/>
                <w:b w:val="0"/>
                <w:i w:val="0"/>
                <w:sz w:val="20"/>
              </w:rPr>
              <w:t>0.937</w:t>
            </w:r>
          </w:p>
        </w:tc>
        <w:tc>
          <w:tcPr>
            <w:tcW w:type="dxa" w:w="1063"/>
            <w:shd w:val="clear" w:color="auto" w:fill="FFFFFF"/>
          </w:tcPr>
          <w:p>
            <w:pPr>
              <w:jc w:val="center"/>
            </w:pPr>
            <w:r/>
            <w:r>
              <w:rPr>
                <w:rFonts w:ascii="Times New Roman" w:hAnsi="Times New Roman"/>
                <w:b w:val="0"/>
                <w:i w:val="0"/>
                <w:sz w:val="20"/>
              </w:rPr>
              <w:t>0.001***</w:t>
            </w:r>
          </w:p>
        </w:tc>
        <w:tc>
          <w:tcPr>
            <w:tcW w:type="dxa" w:w="1063"/>
            <w:shd w:val="clear" w:color="auto" w:fill="FFFFFF"/>
          </w:tcPr>
          <w:p>
            <w:pPr>
              <w:jc w:val="center"/>
            </w:pPr>
            <w:r/>
            <w:r>
              <w:rPr>
                <w:rFonts w:ascii="Times New Roman" w:hAnsi="Times New Roman"/>
                <w:b w:val="0"/>
                <w:i w:val="0"/>
                <w:sz w:val="20"/>
              </w:rPr>
              <w:t>0.361</w:t>
            </w:r>
          </w:p>
        </w:tc>
      </w:tr>
    </w:tbl>
    <w:p>
      <w:pPr>
        <w:spacing w:before="40" w:after="200"/>
      </w:pPr>
      <w:r>
        <w:rPr>
          <w:rFonts w:ascii="Times New Roman" w:hAnsi="Times New Roman"/>
          <w:b w:val="0"/>
          <w:i/>
          <w:sz w:val="18"/>
        </w:rPr>
        <w:t>Note: OLS with Newey–West HAC standard errors (1 lag). Dependent variable: monthly average T-bill bid-cover ratio (source: TreasuryDirect auction results API). Regressors: dln_supply_USDT and dln_supply_USDC (log monthly supply growth from daily panel month-end values), plus controls: θ, L, V, VIX, ΔlnN*, Δfed funds. Wald p: p-value for H₀: β_USDT = β_USDC. N = 51 months, January 2022 – March 2026. *** p &lt; 0.01, ** p &lt; 0.05, * p &lt; 0.10.</w:t>
      </w:r>
      <w:r>
        <w:rPr>
          <w:rFonts w:ascii="Times New Roman" w:hAnsi="Times New Roman"/>
          <w:b/>
          <w:i w:val="0"/>
          <w:sz w:val="16"/>
          <w:vertAlign w:val="superscript"/>
        </w:rPr>
        <w:t xml:space="preserve"> [14]</w:t>
      </w:r>
    </w:p>
    <w:p>
      <w:pPr>
        <w:spacing w:before="0" w:after="160"/>
      </w:pPr>
      <w:r>
        <w:rPr>
          <w:rFonts w:ascii="Times New Roman" w:hAnsi="Times New Roman"/>
          <w:b w:val="0"/>
          <w:i w:val="0"/>
          <w:sz w:val="24"/>
        </w:rPr>
        <w:t>The results are consistent with the reserve-composition mechanism. USDT supply growth is negative and statistically significant across all four maturities tested (β ranging from −1.23 to −1.59, p &lt; 0.01 for 13-week and 26-week, p &lt; 0.011 for 4-week and 8-week). USDC supply growth is statistically insignificant at all four maturities (p ranging from 0.06 to 0.94). The Wald test strongly rejects equality of the two issuer coefficients at each maturity (p &lt; 0.004 in all cases), confirming that the differential is not sampling noise.</w:t>
      </w:r>
    </w:p>
    <w:p>
      <w:pPr>
        <w:spacing w:before="0" w:after="200"/>
      </w:pPr>
      <w:r>
        <w:rPr>
          <w:rFonts w:ascii="Times New Roman" w:hAnsi="Times New Roman"/>
          <w:b w:val="0"/>
          <w:i w:val="0"/>
          <w:sz w:val="24"/>
        </w:rPr>
        <w:t>This finding provides more direct evidence for the T-bill demand channel than the spread regression alone. The mechanism operates specifically through the issuer whose reserve policy mechanically requires T-bill purchases on each unit of supply growth; the issuer whose reserves are held mostly in cash does not produce the same auction-level signal. We describe this as mechanism-consistent evidence rather than definitive causal identification: bid-cover reflects primary-market competition, while our main result is in secondary-market spreads, so the connection is indirect. Nevertheless, the consistency across four maturities and the sharp issuer-level contrast strengthen confidence in the proposed channel.</w:t>
      </w:r>
    </w:p>
    <w:p/>
    <w:p>
      <w:pPr>
        <w:spacing w:before="240" w:after="120"/>
      </w:pPr>
      <w:r>
        <w:rPr>
          <w:rFonts w:ascii="Times New Roman" w:hAnsi="Times New Roman"/>
          <w:b/>
          <w:i w:val="0"/>
          <w:sz w:val="24"/>
        </w:rPr>
        <w:t>Table 6.  Key Results Summary</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60"/>
            <w:shd w:val="clear" w:color="auto" w:fill="BDD7EE"/>
          </w:tcPr>
          <w:p>
            <w:pPr>
              <w:jc w:val="left"/>
            </w:pPr>
            <w:r/>
            <w:r>
              <w:rPr>
                <w:rFonts w:ascii="Times New Roman" w:hAnsi="Times New Roman"/>
                <w:b/>
                <w:i w:val="0"/>
                <w:sz w:val="20"/>
              </w:rPr>
              <w:t>Finding</w:t>
            </w:r>
          </w:p>
        </w:tc>
        <w:tc>
          <w:tcPr>
            <w:tcW w:type="dxa" w:w="2592"/>
            <w:shd w:val="clear" w:color="auto" w:fill="BDD7EE"/>
          </w:tcPr>
          <w:p>
            <w:pPr>
              <w:jc w:val="center"/>
            </w:pPr>
            <w:r/>
            <w:r>
              <w:rPr>
                <w:rFonts w:ascii="Times New Roman" w:hAnsi="Times New Roman"/>
                <w:b/>
                <w:i w:val="0"/>
                <w:sz w:val="20"/>
              </w:rPr>
              <w:t>Method</w:t>
            </w:r>
          </w:p>
        </w:tc>
        <w:tc>
          <w:tcPr>
            <w:tcW w:type="dxa" w:w="3168"/>
            <w:shd w:val="clear" w:color="auto" w:fill="BDD7EE"/>
          </w:tcPr>
          <w:p>
            <w:pPr>
              <w:jc w:val="center"/>
            </w:pPr>
            <w:r/>
            <w:r>
              <w:rPr>
                <w:rFonts w:ascii="Times New Roman" w:hAnsi="Times New Roman"/>
                <w:b/>
                <w:i w:val="0"/>
                <w:sz w:val="20"/>
              </w:rPr>
              <w:t>Estimate</w:t>
            </w:r>
          </w:p>
        </w:tc>
        <w:tc>
          <w:tcPr>
            <w:tcW w:type="dxa" w:w="2160"/>
            <w:shd w:val="clear" w:color="auto" w:fill="BDD7EE"/>
          </w:tcPr>
          <w:p>
            <w:pPr>
              <w:jc w:val="center"/>
            </w:pPr>
            <w:r/>
            <w:r>
              <w:rPr>
                <w:rFonts w:ascii="Times New Roman" w:hAnsi="Times New Roman"/>
                <w:b/>
                <w:i w:val="0"/>
                <w:sz w:val="20"/>
              </w:rPr>
              <w:t>Status</w:t>
            </w:r>
          </w:p>
        </w:tc>
      </w:tr>
      <w:tr>
        <w:tc>
          <w:tcPr>
            <w:tcW w:type="dxa" w:w="2126"/>
            <w:shd w:val="clear" w:color="auto" w:fill="EBF3FB"/>
          </w:tcPr>
          <w:p>
            <w:pPr>
              <w:jc w:val="left"/>
            </w:pPr>
            <w:r/>
            <w:r>
              <w:rPr>
                <w:rFonts w:ascii="Times New Roman" w:hAnsi="Times New Roman"/>
                <w:b w:val="0"/>
                <w:i w:val="0"/>
                <w:sz w:val="20"/>
              </w:rPr>
              <w:t>Privilege amplification</w:t>
            </w:r>
          </w:p>
        </w:tc>
        <w:tc>
          <w:tcPr>
            <w:tcW w:type="dxa" w:w="2126"/>
            <w:shd w:val="clear" w:color="auto" w:fill="EBF3FB"/>
          </w:tcPr>
          <w:p>
            <w:pPr>
              <w:jc w:val="center"/>
            </w:pPr>
            <w:r/>
            <w:r>
              <w:rPr>
                <w:rFonts w:ascii="Times New Roman" w:hAnsi="Times New Roman"/>
                <w:b w:val="0"/>
                <w:i w:val="0"/>
                <w:sz w:val="20"/>
              </w:rPr>
              <w:t>OLS (Newey–West, 1 lag)</w:t>
            </w:r>
          </w:p>
        </w:tc>
        <w:tc>
          <w:tcPr>
            <w:tcW w:type="dxa" w:w="2126"/>
            <w:shd w:val="clear" w:color="auto" w:fill="EBF3FB"/>
          </w:tcPr>
          <w:p>
            <w:pPr>
              <w:jc w:val="center"/>
            </w:pPr>
            <w:r/>
            <w:r>
              <w:rPr>
                <w:rFonts w:ascii="Times New Roman" w:hAnsi="Times New Roman"/>
                <w:b w:val="0"/>
                <w:i w:val="0"/>
                <w:sz w:val="20"/>
              </w:rPr>
              <w:t>β₁ = −7.57*** (p = 0.004)</w:t>
            </w:r>
          </w:p>
        </w:tc>
        <w:tc>
          <w:tcPr>
            <w:tcW w:type="dxa" w:w="2126"/>
            <w:shd w:val="clear" w:color="auto" w:fill="EBF3FB"/>
          </w:tcPr>
          <w:p>
            <w:pPr>
              <w:jc w:val="center"/>
            </w:pPr>
            <w:r/>
            <w:r>
              <w:rPr>
                <w:rFonts w:ascii="Times New Roman" w:hAnsi="Times New Roman"/>
                <w:b w:val="0"/>
                <w:i w:val="0"/>
                <w:sz w:val="20"/>
              </w:rPr>
              <w:t>✓  Confirmed</w:t>
            </w:r>
          </w:p>
        </w:tc>
      </w:tr>
      <w:tr>
        <w:tc>
          <w:tcPr>
            <w:tcW w:type="dxa" w:w="2126"/>
            <w:shd w:val="clear" w:color="auto" w:fill="FFFFFF"/>
          </w:tcPr>
          <w:p>
            <w:pPr>
              <w:jc w:val="left"/>
            </w:pPr>
            <w:r/>
            <w:r>
              <w:rPr>
                <w:rFonts w:ascii="Times New Roman" w:hAnsi="Times New Roman"/>
                <w:b w:val="0"/>
                <w:i w:val="0"/>
                <w:sz w:val="20"/>
              </w:rPr>
              <w:t>Reserve threshold</w:t>
            </w:r>
          </w:p>
        </w:tc>
        <w:tc>
          <w:tcPr>
            <w:tcW w:type="dxa" w:w="2126"/>
            <w:shd w:val="clear" w:color="auto" w:fill="FFFFFF"/>
          </w:tcPr>
          <w:p>
            <w:pPr>
              <w:jc w:val="center"/>
            </w:pPr>
            <w:r/>
            <w:r>
              <w:rPr>
                <w:rFonts w:ascii="Times New Roman" w:hAnsi="Times New Roman"/>
                <w:b w:val="0"/>
                <w:i w:val="0"/>
                <w:sz w:val="20"/>
              </w:rPr>
              <w:t>Hansen (2000) grid search</w:t>
            </w:r>
          </w:p>
        </w:tc>
        <w:tc>
          <w:tcPr>
            <w:tcW w:type="dxa" w:w="2126"/>
            <w:shd w:val="clear" w:color="auto" w:fill="FFFFFF"/>
          </w:tcPr>
          <w:p>
            <w:pPr>
              <w:jc w:val="center"/>
            </w:pPr>
            <w:r/>
            <w:r>
              <w:rPr>
                <w:rFonts w:ascii="Times New Roman" w:hAnsi="Times New Roman"/>
                <w:b w:val="0"/>
                <w:i w:val="0"/>
                <w:sz w:val="20"/>
              </w:rPr>
              <w:t>q* = 13.0%  (p = 0.406, suggestive)</w:t>
            </w:r>
          </w:p>
        </w:tc>
        <w:tc>
          <w:tcPr>
            <w:tcW w:type="dxa" w:w="2126"/>
            <w:shd w:val="clear" w:color="auto" w:fill="FFFFFF"/>
          </w:tcPr>
          <w:p>
            <w:pPr>
              <w:jc w:val="center"/>
            </w:pPr>
            <w:r/>
            <w:r>
              <w:rPr>
                <w:rFonts w:ascii="Times New Roman" w:hAnsi="Times New Roman"/>
                <w:b w:val="0"/>
                <w:i w:val="0"/>
                <w:sz w:val="20"/>
              </w:rPr>
              <w:t>Economically meaningful</w:t>
            </w:r>
          </w:p>
        </w:tc>
      </w:tr>
      <w:tr>
        <w:tc>
          <w:tcPr>
            <w:tcW w:type="dxa" w:w="2126"/>
            <w:shd w:val="clear" w:color="auto" w:fill="EBF3FB"/>
          </w:tcPr>
          <w:p>
            <w:pPr>
              <w:jc w:val="left"/>
            </w:pPr>
            <w:r/>
            <w:r>
              <w:rPr>
                <w:rFonts w:ascii="Times New Roman" w:hAnsi="Times New Roman"/>
                <w:b w:val="0"/>
                <w:i w:val="0"/>
                <w:sz w:val="20"/>
              </w:rPr>
              <w:t>Threshold robustness</w:t>
            </w:r>
          </w:p>
        </w:tc>
        <w:tc>
          <w:tcPr>
            <w:tcW w:type="dxa" w:w="2126"/>
            <w:shd w:val="clear" w:color="auto" w:fill="EBF3FB"/>
          </w:tcPr>
          <w:p>
            <w:pPr>
              <w:jc w:val="center"/>
            </w:pPr>
            <w:r/>
            <w:r>
              <w:rPr>
                <w:rFonts w:ascii="Times New Roman" w:hAnsi="Times New Roman"/>
                <w:b w:val="0"/>
                <w:i w:val="0"/>
                <w:sz w:val="20"/>
              </w:rPr>
              <w:t>TRIM 15%/20%/25%</w:t>
            </w:r>
          </w:p>
        </w:tc>
        <w:tc>
          <w:tcPr>
            <w:tcW w:type="dxa" w:w="2126"/>
            <w:shd w:val="clear" w:color="auto" w:fill="EBF3FB"/>
          </w:tcPr>
          <w:p>
            <w:pPr>
              <w:jc w:val="center"/>
            </w:pPr>
            <w:r/>
            <w:r>
              <w:rPr>
                <w:rFonts w:ascii="Times New Roman" w:hAnsi="Times New Roman"/>
                <w:b w:val="0"/>
                <w:i w:val="0"/>
                <w:sz w:val="20"/>
              </w:rPr>
              <w:t>q* = 0.1301 at all three values</w:t>
            </w:r>
          </w:p>
        </w:tc>
        <w:tc>
          <w:tcPr>
            <w:tcW w:type="dxa" w:w="2126"/>
            <w:shd w:val="clear" w:color="auto" w:fill="EBF3FB"/>
          </w:tcPr>
          <w:p>
            <w:pPr>
              <w:jc w:val="center"/>
            </w:pPr>
            <w:r/>
            <w:r>
              <w:rPr>
                <w:rFonts w:ascii="Times New Roman" w:hAnsi="Times New Roman"/>
                <w:b w:val="0"/>
                <w:i w:val="0"/>
                <w:sz w:val="20"/>
              </w:rPr>
              <w:t>✓  Stable</w:t>
            </w:r>
          </w:p>
        </w:tc>
      </w:tr>
      <w:tr>
        <w:tc>
          <w:tcPr>
            <w:tcW w:type="dxa" w:w="2126"/>
            <w:shd w:val="clear" w:color="auto" w:fill="FFFFFF"/>
          </w:tcPr>
          <w:p>
            <w:pPr>
              <w:jc w:val="left"/>
            </w:pPr>
            <w:r/>
            <w:r>
              <w:rPr>
                <w:rFonts w:ascii="Times New Roman" w:hAnsi="Times New Roman"/>
                <w:b w:val="0"/>
                <w:i w:val="0"/>
                <w:sz w:val="20"/>
              </w:rPr>
              <w:t>Smooth-transition check</w:t>
            </w:r>
          </w:p>
        </w:tc>
        <w:tc>
          <w:tcPr>
            <w:tcW w:type="dxa" w:w="2126"/>
            <w:shd w:val="clear" w:color="auto" w:fill="FFFFFF"/>
          </w:tcPr>
          <w:p>
            <w:pPr>
              <w:jc w:val="center"/>
            </w:pPr>
            <w:r/>
            <w:r>
              <w:rPr>
                <w:rFonts w:ascii="Times New Roman" w:hAnsi="Times New Roman"/>
                <w:b w:val="0"/>
                <w:i w:val="0"/>
                <w:sz w:val="20"/>
              </w:rPr>
              <w:t>LSTAR (NLS)</w:t>
            </w:r>
          </w:p>
        </w:tc>
        <w:tc>
          <w:tcPr>
            <w:tcW w:type="dxa" w:w="2126"/>
            <w:shd w:val="clear" w:color="auto" w:fill="FFFFFF"/>
          </w:tcPr>
          <w:p>
            <w:pPr>
              <w:jc w:val="center"/>
            </w:pPr>
            <w:r/>
            <w:r>
              <w:rPr>
                <w:rFonts w:ascii="Times New Roman" w:hAnsi="Times New Roman"/>
                <w:b w:val="0"/>
                <w:i w:val="0"/>
                <w:sz w:val="20"/>
              </w:rPr>
              <w:t>c* = 14.9%  (γ* = 29.8)</w:t>
            </w:r>
          </w:p>
        </w:tc>
        <w:tc>
          <w:tcPr>
            <w:tcW w:type="dxa" w:w="2126"/>
            <w:shd w:val="clear" w:color="auto" w:fill="FFFFFF"/>
          </w:tcPr>
          <w:p>
            <w:pPr>
              <w:jc w:val="center"/>
            </w:pPr>
            <w:r/>
            <w:r>
              <w:rPr>
                <w:rFonts w:ascii="Times New Roman" w:hAnsi="Times New Roman"/>
                <w:b w:val="0"/>
                <w:i w:val="0"/>
                <w:sz w:val="20"/>
              </w:rPr>
              <w:t>✓  Convergent validity</w:t>
            </w:r>
          </w:p>
        </w:tc>
      </w:tr>
      <w:tr>
        <w:tc>
          <w:tcPr>
            <w:tcW w:type="dxa" w:w="2126"/>
            <w:shd w:val="clear" w:color="auto" w:fill="EBF3FB"/>
          </w:tcPr>
          <w:p>
            <w:pPr>
              <w:jc w:val="left"/>
            </w:pPr>
            <w:r/>
            <w:r>
              <w:rPr>
                <w:rFonts w:ascii="Times New Roman" w:hAnsi="Times New Roman"/>
                <w:b w:val="0"/>
                <w:i w:val="0"/>
                <w:sz w:val="20"/>
              </w:rPr>
              <w:t>Mechanism validation</w:t>
            </w:r>
          </w:p>
        </w:tc>
        <w:tc>
          <w:tcPr>
            <w:tcW w:type="dxa" w:w="2126"/>
            <w:shd w:val="clear" w:color="auto" w:fill="EBF3FB"/>
          </w:tcPr>
          <w:p>
            <w:pPr>
              <w:jc w:val="center"/>
            </w:pPr>
            <w:r/>
            <w:r>
              <w:rPr>
                <w:rFonts w:ascii="Times New Roman" w:hAnsi="Times New Roman"/>
                <w:b w:val="0"/>
                <w:i w:val="0"/>
                <w:sz w:val="20"/>
              </w:rPr>
              <w:t>Bid-cover, USDT vs. USDC</w:t>
            </w:r>
          </w:p>
        </w:tc>
        <w:tc>
          <w:tcPr>
            <w:tcW w:type="dxa" w:w="2126"/>
            <w:shd w:val="clear" w:color="auto" w:fill="EBF3FB"/>
          </w:tcPr>
          <w:p>
            <w:pPr>
              <w:jc w:val="center"/>
            </w:pPr>
            <w:r/>
            <w:r>
              <w:rPr>
                <w:rFonts w:ascii="Times New Roman" w:hAnsi="Times New Roman"/>
                <w:b w:val="0"/>
                <w:i w:val="0"/>
                <w:sz w:val="20"/>
              </w:rPr>
              <w:t>β_USDT &lt; 0** at 4 maturities; USDC n.s.</w:t>
            </w:r>
          </w:p>
        </w:tc>
        <w:tc>
          <w:tcPr>
            <w:tcW w:type="dxa" w:w="2126"/>
            <w:shd w:val="clear" w:color="auto" w:fill="EBF3FB"/>
          </w:tcPr>
          <w:p>
            <w:pPr>
              <w:jc w:val="center"/>
            </w:pPr>
            <w:r/>
            <w:r>
              <w:rPr>
                <w:rFonts w:ascii="Times New Roman" w:hAnsi="Times New Roman"/>
                <w:b w:val="0"/>
                <w:i w:val="0"/>
                <w:sz w:val="20"/>
              </w:rPr>
              <w:t>✓  Reserve-composition channel</w:t>
            </w:r>
          </w:p>
        </w:tc>
      </w:tr>
      <w:tr>
        <w:tc>
          <w:tcPr>
            <w:tcW w:type="dxa" w:w="2126"/>
            <w:shd w:val="clear" w:color="auto" w:fill="FFFFFF"/>
          </w:tcPr>
          <w:p>
            <w:pPr>
              <w:jc w:val="left"/>
            </w:pPr>
            <w:r/>
            <w:r>
              <w:rPr>
                <w:rFonts w:ascii="Times New Roman" w:hAnsi="Times New Roman"/>
                <w:b w:val="0"/>
                <w:i w:val="0"/>
                <w:sz w:val="20"/>
              </w:rPr>
              <w:t>Event study</w:t>
            </w:r>
          </w:p>
        </w:tc>
        <w:tc>
          <w:tcPr>
            <w:tcW w:type="dxa" w:w="2126"/>
            <w:shd w:val="clear" w:color="auto" w:fill="FFFFFF"/>
          </w:tcPr>
          <w:p>
            <w:pPr>
              <w:jc w:val="center"/>
            </w:pPr>
            <w:r/>
            <w:r>
              <w:rPr>
                <w:rFonts w:ascii="Times New Roman" w:hAnsi="Times New Roman"/>
                <w:b w:val="0"/>
                <w:i w:val="0"/>
                <w:sz w:val="20"/>
              </w:rPr>
              <w:t>First-diff normal model</w:t>
            </w:r>
          </w:p>
        </w:tc>
        <w:tc>
          <w:tcPr>
            <w:tcW w:type="dxa" w:w="2126"/>
            <w:shd w:val="clear" w:color="auto" w:fill="FFFFFF"/>
          </w:tcPr>
          <w:p>
            <w:pPr>
              <w:jc w:val="center"/>
            </w:pPr>
            <w:r/>
            <w:r>
              <w:rPr>
                <w:rFonts w:ascii="Times New Roman" w:hAnsi="Times New Roman"/>
                <w:b w:val="0"/>
                <w:i w:val="0"/>
                <w:sz w:val="20"/>
              </w:rPr>
              <w:t>CARs all n.s. — qualitative only</w:t>
            </w:r>
          </w:p>
        </w:tc>
        <w:tc>
          <w:tcPr>
            <w:tcW w:type="dxa" w:w="2126"/>
            <w:shd w:val="clear" w:color="auto" w:fill="FFFFFF"/>
          </w:tcPr>
          <w:p>
            <w:pPr>
              <w:jc w:val="center"/>
            </w:pPr>
            <w:r/>
            <w:r>
              <w:rPr>
                <w:rFonts w:ascii="Times New Roman" w:hAnsi="Times New Roman"/>
                <w:b w:val="0"/>
                <w:i w:val="0"/>
                <w:sz w:val="20"/>
              </w:rPr>
              <w:t>Directional context</w:t>
            </w:r>
          </w:p>
        </w:tc>
      </w:tr>
    </w:tbl>
    <w:p>
      <w:pPr>
        <w:spacing w:before="40" w:after="200"/>
      </w:pPr>
      <w:r>
        <w:rPr>
          <w:rFonts w:ascii="Times New Roman" w:hAnsi="Times New Roman"/>
          <w:b w:val="0"/>
          <w:i/>
          <w:sz w:val="18"/>
        </w:rPr>
        <w:t>Note: Summary of the five complementary results in Section 5. The bid-cover validation uses a separate dependent variable (T-bill auction bid-cover ratio) and does not affect the spread regression, threshold, or LSTAR estimates — it provides independent mechanism-consistent evidence for the T-bill demand channel.</w:t>
      </w:r>
    </w:p>
    <w:p/>
    <w:p>
      <w:pPr>
        <w:spacing w:before="240" w:after="120"/>
      </w:pPr>
      <w:r>
        <w:rPr>
          <w:rFonts w:ascii="Times New Roman" w:hAnsi="Times New Roman"/>
          <w:b/>
          <w:i w:val="0"/>
          <w:sz w:val="26"/>
        </w:rPr>
        <w:t>6.  Conclusion</w:t>
      </w:r>
    </w:p>
    <w:p>
      <w:pPr>
        <w:spacing w:before="0" w:after="160"/>
      </w:pPr>
      <w:r>
        <w:rPr>
          <w:rFonts w:ascii="Times New Roman" w:hAnsi="Times New Roman"/>
          <w:b w:val="0"/>
          <w:i w:val="0"/>
          <w:sz w:val="24"/>
        </w:rPr>
        <w:t>This paper provides formal evidence that large-scale USD-pegged stablecoins introduce a two-sided 'New Triffin Dilemma' into the international monetary system. In normal times, stablecoin issuance amplifies U.S. exorbitant privilege by compressing OIS–Treasury spreads (β₁ = −7.57, p = 0.004). The decomposed reserve variables — Treasury exposure θ and liquid buffer L — are individually not significant in the 51-month panel, but a Hansen (2000) threshold regression on L identifies an economically meaningful regime shift at q* = 0.130: below this liquid buffer level, supply growth continues to compress spreads (β_ΔlnS = −2.80), while above it the effect reverses (β_ΔlnS = +1.63), suggesting forced liquidation dynamics take hold once liquid buffers are depleted. Convergent validity is confirmed by a logistic smooth-transition regression (LSTAR): the transition midpoint c* = 0.1490 is virtually identical to Hansen's q* = 0.1301, and the moderate-sharpness (γ* = 29.8) independently validates the sharp-switch assumption. Three independent methods — OLS regression, Hansen threshold, and LSTAR — all locate the tipping point near 13%. An auction-level mechanism validation further confirms that the channel operates through reserve composition: USDT supply growth significantly reduces T-bill bid-cover ratios at all four maturities tested, while USDC supply growth does not — consistent with Tether's T-bill-heavy reserve policy driving the auction-side T-bill demand that underlies our spread result.</w:t>
      </w:r>
    </w:p>
    <w:p>
      <w:pPr>
        <w:spacing w:before="0" w:after="160"/>
      </w:pPr>
      <w:r>
        <w:rPr>
          <w:rFonts w:ascii="Times New Roman" w:hAnsi="Times New Roman"/>
          <w:b w:val="0"/>
          <w:i w:val="0"/>
          <w:sz w:val="24"/>
        </w:rPr>
        <w:t>For regulators designing stablecoin reserve legislation, our threshold estimate provides a direct reference point: requiring liquid reserves (cash and near-cash equivalents) of at least 13% of outstanding supply corresponds to our empirically identified L* = 0.130. This is distinct from T-bill holdings requirements — it speaks specifically to the cash-like assets that can absorb redemptions without forced T-bill selling. The bootstrap 90% confidence interval [3.1%, 14.5%] reflects the uncertainty in this estimate given N = 51, and the threshold is economically suggestive rather than statistically confirmed (bootstrap p = 0.406).</w:t>
      </w:r>
    </w:p>
    <w:p>
      <w:pPr>
        <w:spacing w:before="0" w:after="200"/>
      </w:pPr>
      <w:r>
        <w:rPr>
          <w:rFonts w:ascii="Times New Roman" w:hAnsi="Times New Roman"/>
          <w:sz w:val="24"/>
        </w:rPr>
        <w:t>Several limitations warrant acknowledgment. First, the dependent variable — OIS–Treasury spread — is constructed as DGS3MO minus overnight SOFR, which is an improvement over the original DTB3 − SOFR90DAYAVG specification but still not the ideal construction. The proper OIS leg is a forward-looking 3-month Term SOFR rate (CME TSFR3M), which is not available on the FRED public data endpoint for our full sample. Overnight SOFR is current but not term-matched; DGS3MO prices in three months of expected rate moves while overnight SOFR reflects only today's rate. The residual term premium in our spread is an acknowledged limitation. Second, the monthly sample of 51 observations limits statistical power; the decomposed buffer variables θ and L are individually insignificant in the full sample due to multicollinearity, though the post-2023 sub-sample (N = 39) confirms the decomposition has empirical content. Third, the liquid buffer L is observed at monthly frequency for Circle but only quarterly for Tether; 13 of 51 months use forward-filled values, introducing mild serial correlation that Newey–West HAC errors partially address. One period — November 2022 — had a near-zero cash-reserve value (1.1×10⁻⁸ bn) returned by the web-extraction script, a scraping artifact rather than a true zero; this observation is treated as missing and forward-filled from October 2022 (L = 18.4%), placing it correctly in the high-buffer regime consistent with pre-FTX economic conditions. Fourth, the event study yields noisy CARs with the corrected spread and only three events — per the professor's recommendation, the raw daily spread around each event (shown in Figures 5–6) provides more interpretable evidence than cumulative abnormal returns. Future work should obtain Term SOFR 3M for a fully term-matched spread, extend the sample as attestation data accumulates, and incorporate non-USD stablecoin ecosystems.</w:t>
      </w:r>
    </w:p>
    <w:p>
      <w:r>
        <w:br w:type="page"/>
      </w:r>
    </w:p>
    <w:p>
      <w:pPr>
        <w:spacing w:before="240" w:after="120"/>
      </w:pPr>
      <w:r>
        <w:rPr>
          <w:rFonts w:ascii="Times New Roman" w:hAnsi="Times New Roman"/>
          <w:b/>
          <w:i w:val="0"/>
          <w:sz w:val="26"/>
        </w:rPr>
        <w:t>Acknowledgments</w:t>
      </w:r>
    </w:p>
    <w:p>
      <w:pPr>
        <w:spacing w:before="0" w:after="0"/>
      </w:pPr>
      <w:r>
        <w:rPr>
          <w:rFonts w:ascii="Times New Roman" w:hAnsi="Times New Roman"/>
          <w:b w:val="0"/>
          <w:i w:val="0"/>
          <w:sz w:val="24"/>
        </w:rPr>
        <w:t xml:space="preserve">The authors thank Professor Hur Sewon and participants at the Yonsei GSIS Topics in International Finance seminar (2026-1) for valuable comments and suggestions. All errors are our own. Replication code and data are available at the project repository: </w:t>
      </w:r>
    </w:p>
    <w:p>
      <w:pPr>
        <w:spacing w:before="0" w:after="200"/>
      </w:pPr>
      <w:hyperlink r:id="rId9">
        <w:r>
          <w:rPr>
            <w:rStyle w:val="Hyperlink"/>
          </w:rPr>
          <w:t>https://github.com/kimmireu0921/Stablecoins-and-the-Exorbitant-Privilege-Safe-Asset-Demand-and-Its-Systemic-Fragility</w:t>
        </w:r>
      </w:hyperlink>
    </w:p>
    <w:p>
      <w:pPr>
        <w:spacing w:before="240" w:after="120"/>
      </w:pPr>
      <w:r>
        <w:rPr>
          <w:rFonts w:ascii="Times New Roman" w:hAnsi="Times New Roman"/>
          <w:b/>
          <w:i w:val="0"/>
          <w:sz w:val="26"/>
        </w:rPr>
        <w:t>References</w:t>
      </w:r>
    </w:p>
    <w:p>
      <w:pPr>
        <w:spacing w:after="80"/>
        <w:ind w:left="567" w:hanging="567"/>
      </w:pPr>
      <w:r>
        <w:rPr>
          <w:rFonts w:ascii="Times New Roman" w:hAnsi="Times New Roman"/>
          <w:b w:val="0"/>
          <w:i w:val="0"/>
          <w:sz w:val="22"/>
        </w:rPr>
        <w:t>Caballero, R.J., Farhi, E., and Gourinchas, P.-O. (2008). An equilibrium model of 'global imbalances' and low interest rates. American Economic Review, 98(1), 358–393.</w:t>
      </w:r>
    </w:p>
    <w:p>
      <w:pPr>
        <w:spacing w:after="80"/>
        <w:ind w:left="567" w:hanging="567"/>
      </w:pPr>
      <w:r>
        <w:rPr>
          <w:rFonts w:ascii="Times New Roman" w:hAnsi="Times New Roman"/>
          <w:b w:val="0"/>
          <w:i w:val="0"/>
          <w:sz w:val="22"/>
        </w:rPr>
        <w:t>Cole, H.L. and Kehoe, T.J. (2000). Self-fulfilling debt crises. Review of Economic Studies, 67(1), 91–116.</w:t>
      </w:r>
    </w:p>
    <w:p>
      <w:pPr>
        <w:spacing w:after="80"/>
        <w:ind w:left="567" w:hanging="567"/>
      </w:pPr>
      <w:r>
        <w:rPr>
          <w:rFonts w:ascii="Times New Roman" w:hAnsi="Times New Roman"/>
          <w:b w:val="0"/>
          <w:i w:val="0"/>
          <w:sz w:val="22"/>
        </w:rPr>
        <w:t>Duffie, D. (2022). Digital currencies and fast payment systems: Disruption is coming. Working Paper, Stanford University.</w:t>
      </w:r>
    </w:p>
    <w:p>
      <w:pPr>
        <w:spacing w:after="80"/>
        <w:ind w:left="567" w:hanging="567"/>
      </w:pPr>
      <w:r>
        <w:rPr>
          <w:rFonts w:ascii="Times New Roman" w:hAnsi="Times New Roman"/>
          <w:b w:val="0"/>
          <w:i w:val="0"/>
          <w:sz w:val="22"/>
        </w:rPr>
        <w:t>Ghamami, S., Glasserman, P., and Young, H.P. (2023). Stablecoins and macroprudential regulation. Working Paper.</w:t>
      </w:r>
    </w:p>
    <w:p>
      <w:pPr>
        <w:spacing w:after="80"/>
        <w:ind w:left="567" w:hanging="567"/>
      </w:pPr>
      <w:r>
        <w:rPr>
          <w:rFonts w:ascii="Times New Roman" w:hAnsi="Times New Roman"/>
          <w:b w:val="0"/>
          <w:i w:val="0"/>
          <w:sz w:val="22"/>
        </w:rPr>
        <w:t>Gorton, G.B. and Zhang, J. (2021). Taming wildcat stablecoins. University of Chicago Law Review, 90(3), 909–956.</w:t>
      </w:r>
    </w:p>
    <w:p>
      <w:pPr>
        <w:spacing w:after="80"/>
        <w:ind w:left="567" w:hanging="567"/>
      </w:pPr>
      <w:r>
        <w:rPr>
          <w:rFonts w:ascii="Times New Roman" w:hAnsi="Times New Roman"/>
          <w:b w:val="0"/>
          <w:i w:val="0"/>
          <w:sz w:val="22"/>
        </w:rPr>
        <w:t>Gourinchas, P.-O. and Rey, H. (2007). International financial adjustment. Journal of Political Economy, 115(4), 665–703.</w:t>
      </w:r>
    </w:p>
    <w:p>
      <w:pPr>
        <w:spacing w:after="80"/>
        <w:ind w:left="567" w:hanging="567"/>
      </w:pPr>
      <w:r>
        <w:rPr>
          <w:rFonts w:ascii="Times New Roman" w:hAnsi="Times New Roman"/>
          <w:b w:val="0"/>
          <w:i w:val="0"/>
          <w:sz w:val="22"/>
        </w:rPr>
        <w:t>Granger, C.W.J. (1969). Investigating causal relations by econometric models and cross-spectral methods. Econometrica, 37(3), 424–438.</w:t>
      </w:r>
    </w:p>
    <w:p>
      <w:pPr>
        <w:spacing w:after="80"/>
        <w:ind w:left="567" w:hanging="567"/>
      </w:pPr>
      <w:r>
        <w:rPr>
          <w:rFonts w:ascii="Times New Roman" w:hAnsi="Times New Roman"/>
          <w:b w:val="0"/>
          <w:i w:val="0"/>
          <w:sz w:val="22"/>
        </w:rPr>
        <w:t>Hansen, B.E. (2000). Sample splitting and threshold estimation. Econometrica, 68(3), 575–603.</w:t>
      </w:r>
    </w:p>
    <w:p>
      <w:pPr>
        <w:spacing w:after="80"/>
        <w:ind w:left="567" w:hanging="567"/>
      </w:pPr>
      <w:r>
        <w:rPr>
          <w:rFonts w:ascii="Times New Roman" w:hAnsi="Times New Roman"/>
          <w:b w:val="0"/>
          <w:i w:val="0"/>
          <w:sz w:val="22"/>
        </w:rPr>
        <w:t>Jeanne, O. and Rancière, R. (2011). The optimal level of international reserves for emerging market countries: A new formula and some applications. Economic Journal, 121(555), 905–930.</w:t>
      </w:r>
    </w:p>
    <w:p>
      <w:pPr>
        <w:spacing w:after="80"/>
        <w:ind w:left="567" w:hanging="567"/>
      </w:pPr>
      <w:r>
        <w:rPr>
          <w:rFonts w:ascii="Times New Roman" w:hAnsi="Times New Roman"/>
          <w:b w:val="0"/>
          <w:i w:val="0"/>
          <w:sz w:val="22"/>
        </w:rPr>
        <w:t>MacKinlay, A.C. (1997). Event studies in economics and finance. Journal of Economic Literature, 35(1), 13–39.</w:t>
      </w:r>
    </w:p>
    <w:p>
      <w:pPr>
        <w:spacing w:after="80"/>
        <w:ind w:left="567" w:hanging="567"/>
      </w:pPr>
      <w:r>
        <w:rPr>
          <w:rFonts w:ascii="Times New Roman" w:hAnsi="Times New Roman"/>
          <w:b w:val="0"/>
          <w:i w:val="0"/>
          <w:sz w:val="22"/>
        </w:rPr>
        <w:t>Maggiori, M. (2017). Financial intermediation, international risk sharing, and reserve currencies. American Economic Review, 107(10), 3038–3071.</w:t>
      </w:r>
    </w:p>
    <w:p>
      <w:pPr>
        <w:spacing w:after="80"/>
        <w:ind w:left="567" w:hanging="567"/>
      </w:pPr>
      <w:r>
        <w:rPr>
          <w:rFonts w:ascii="Times New Roman" w:hAnsi="Times New Roman"/>
          <w:b w:val="0"/>
          <w:i w:val="0"/>
          <w:sz w:val="22"/>
        </w:rPr>
        <w:t>Obstfeld, M., Shambaugh, J.C., and Taylor, A.M. (2010). Financial stability, the trilemma, and international reserves. American Economic Journal: Macroeconomics, 2(2), 57–94.</w:t>
      </w:r>
    </w:p>
    <w:p>
      <w:pPr>
        <w:spacing w:after="80"/>
        <w:ind w:left="567" w:hanging="567"/>
      </w:pPr>
      <w:r>
        <w:rPr>
          <w:rFonts w:ascii="Times New Roman" w:hAnsi="Times New Roman"/>
          <w:b w:val="0"/>
          <w:i w:val="0"/>
          <w:sz w:val="22"/>
        </w:rPr>
        <w:t>Triffin, R. (1960). Gold and the Dollar Crisis: The Future of Convertibility. Yale University Press.</w:t>
      </w:r>
    </w:p>
    <w:p>
      <w:r>
        <w:br w:type="page"/>
      </w:r>
    </w:p>
    <w:p>
      <w:pPr>
        <w:spacing w:before="240" w:after="120"/>
      </w:pPr>
      <w:r>
        <w:rPr>
          <w:rFonts w:ascii="Times New Roman" w:hAnsi="Times New Roman"/>
          <w:b/>
          <w:i w:val="0"/>
          <w:sz w:val="26"/>
        </w:rPr>
        <w:t>Methodological Notes</w:t>
      </w:r>
    </w:p>
    <w:p>
      <w:pPr>
        <w:spacing w:before="0" w:after="160"/>
      </w:pPr>
      <w:r>
        <w:rPr>
          <w:rFonts w:ascii="Times New Roman" w:hAnsi="Times New Roman"/>
          <w:b w:val="0"/>
          <w:i w:val="0"/>
          <w:sz w:val="24"/>
        </w:rPr>
        <w:t>The following notes explain the justification, construction, and axis definitions for the tools and measures used in this paper. Numbers in brackets such as [1] or [1,2] in table and figure notes refer to the entries below.</w:t>
      </w:r>
    </w:p>
    <w:p>
      <w:pPr>
        <w:spacing w:before="40" w:after="120"/>
        <w:ind w:left="340" w:hanging="340"/>
      </w:pPr>
      <w:r>
        <w:rPr>
          <w:rFonts w:ascii="Times New Roman" w:hAnsi="Times New Roman"/>
          <w:b/>
          <w:i w:val="0"/>
          <w:sz w:val="20"/>
        </w:rPr>
        <w:t xml:space="preserve">[1] OIS–Treasury Spread — What It Measures and Why. </w:t>
      </w:r>
      <w:r>
        <w:rPr>
          <w:rFonts w:ascii="Times New Roman" w:hAnsi="Times New Roman"/>
          <w:b w:val="0"/>
          <w:i w:val="0"/>
          <w:sz w:val="20"/>
        </w:rPr>
        <w:t>The OIS–Treasury spread measures the T-bill convenience yield: the premium investors accept to hold risk-free government paper relative to an uncollateralised overnight-indexed swap of the same tenor. A negative spread means T-bills trade 'rich' to the risk-free rate, reflecting strong safe-asset demand — the channel this paper studies. We use DGS3MO (3-month constant-maturity, bond-equivalent yield) rather than DTB3 (discount basis) for the T-bill leg: discount-basis yields understate the true return by approximately 5–10 bps, creating a systematic downward bias in the spread. In all figures the y-axis is in percentage points (pp); 0.10 pp = 10 basis points. A value near zero is normal; 10 bps is economically large for a convenience yield.</w:t>
      </w:r>
    </w:p>
    <w:p>
      <w:pPr>
        <w:spacing w:before="40" w:after="120"/>
        <w:ind w:left="340" w:hanging="340"/>
      </w:pPr>
      <w:r>
        <w:rPr>
          <w:rFonts w:ascii="Times New Roman" w:hAnsi="Times New Roman"/>
          <w:b/>
          <w:i w:val="0"/>
          <w:sz w:val="20"/>
        </w:rPr>
        <w:t xml:space="preserve">[2] Overnight SOFR as OIS Proxy — Why Not Term SOFR 3M?. </w:t>
      </w:r>
      <w:r>
        <w:rPr>
          <w:rFonts w:ascii="Times New Roman" w:hAnsi="Times New Roman"/>
          <w:b w:val="0"/>
          <w:i w:val="0"/>
          <w:sz w:val="20"/>
        </w:rPr>
        <w:t>The ideal OIS leg is CME Term SOFR 3M — a forward-looking 3-month overnight-indexed swap rate published since July 2021, not available on FRED for our full sample. Overnight SOFR is the best available alternative: it is current (not backward-looking), but lags the 3-month T-bill by the market’s expectation of future hikes, leaving a residual term premium. The original SOFR90DAYAVG (90-day trailing average) was far worse: it lagged overnight SOFR by up to 119 bps during the 2022 hiking cycle, inflating the spread to 84 bps mean — a Fed-policy artifact. Overnight SOFR reduces this to 16.6 bps mean.</w:t>
      </w:r>
    </w:p>
    <w:p>
      <w:pPr>
        <w:spacing w:before="40" w:after="120"/>
        <w:ind w:left="340" w:hanging="340"/>
      </w:pPr>
      <w:r>
        <w:rPr>
          <w:rFonts w:ascii="Times New Roman" w:hAnsi="Times New Roman"/>
          <w:b/>
          <w:i w:val="0"/>
          <w:sz w:val="20"/>
        </w:rPr>
        <w:t xml:space="preserve">[3] Newey–West HAC Standard Errors — Why and Lag Choice. </w:t>
      </w:r>
      <w:r>
        <w:rPr>
          <w:rFonts w:ascii="Times New Roman" w:hAnsi="Times New Roman"/>
          <w:b w:val="0"/>
          <w:i w:val="0"/>
          <w:sz w:val="20"/>
        </w:rPr>
        <w:t>OLS standard errors are inconsistent under autocorrelation or heteroscedasticity, both typical in monthly macro panels. Newey and West (1987) provide a consistent covariance estimator under both problems simultaneously. We use 1 lag following the rule-of-thumb T^(1/4) ≈ 2.7 for N = 51. Robustness checks at 2 and 3 lags produce materially similar inference. HAC corrects only for error-term properties — it does not address endogeneity or omitted variables.</w:t>
      </w:r>
    </w:p>
    <w:p>
      <w:pPr>
        <w:spacing w:before="40" w:after="120"/>
        <w:ind w:left="340" w:hanging="340"/>
      </w:pPr>
      <w:r>
        <w:rPr>
          <w:rFonts w:ascii="Times New Roman" w:hAnsi="Times New Roman"/>
          <w:sz w:val="20"/>
        </w:rPr>
        <w:t>[4] Buffer-Ratio Spec as Primary Result — Multicollinearity Explained. Column (1) includes θ, L, and L×ΔlnS separately. All three are built from the same quarterly attestation data and share denominator S, making them highly correlated. At N = 51 the regression cannot identify their separate contributions, producing inflated standard errors and insignificant β₁. Column (2) uses B = (T-bill holdings − total supply) / total supply = θ − 1, collapsing θ and its interaction into one composite and resolving the collinearity. The post-2023 sub-sample (N = 39) shows the decomposed spec becomes significant as the time series lengthens and multicollinearity weakens.</w:t>
      </w:r>
    </w:p>
    <w:p>
      <w:pPr>
        <w:spacing w:before="40" w:after="120"/>
        <w:ind w:left="340" w:hanging="340"/>
      </w:pPr>
      <w:r>
        <w:rPr>
          <w:rFonts w:ascii="Times New Roman" w:hAnsi="Times New Roman"/>
          <w:b/>
          <w:i w:val="0"/>
          <w:sz w:val="20"/>
        </w:rPr>
        <w:t xml:space="preserve">[5] Hansen (2000) Threshold Regression — Methodology and Inference. </w:t>
      </w:r>
      <w:r>
        <w:rPr>
          <w:rFonts w:ascii="Times New Roman" w:hAnsi="Times New Roman"/>
          <w:b w:val="0"/>
          <w:i w:val="0"/>
          <w:sz w:val="20"/>
        </w:rPr>
        <w:t>Hansen (2000) estimates a structural break in regression coefficients at an unknown threshold in a continuous variable — here the liquid buffer L. The threshold q* minimises the residual sum of squares (SSR) over a grid of candidate values (Figure 2). Standard asymptotic inference does not apply under H₀: no threshold (the threshold parameter is unidentified under the null), so we use bootstrap likelihood-ratio statistics: 1,000 bootstrap samples, re-estimate each time, p-value from the empirical LR distribution. This is preferable to arbitrary thresholds (e.g. median) because q* is estimated endogenously from the data.</w:t>
      </w:r>
    </w:p>
    <w:p>
      <w:pPr>
        <w:spacing w:before="40" w:after="120"/>
        <w:ind w:left="340" w:hanging="340"/>
      </w:pPr>
      <w:r>
        <w:rPr>
          <w:rFonts w:ascii="Times New Roman" w:hAnsi="Times New Roman"/>
          <w:b/>
          <w:i w:val="0"/>
          <w:sz w:val="20"/>
        </w:rPr>
        <w:t xml:space="preserve">[6] TRIM Parameter — What It Is and Why 15%. </w:t>
      </w:r>
      <w:r>
        <w:rPr>
          <w:rFonts w:ascii="Times New Roman" w:hAnsi="Times New Roman"/>
          <w:b w:val="0"/>
          <w:i w:val="0"/>
          <w:sz w:val="20"/>
        </w:rPr>
        <w:t>TRIM excludes the outermost fraction of the threshold variable from the candidate grid, preventing the estimated threshold from splitting the sample into very small regimes where coefficient estimates are unreliable. Hansen’s recommended 15% is our baseline. Figure 3 shows q* = 0.1301 at TRIM = 15%, 20%, and 25%, ruling out a grid-boundary artifact. X-axis in Figure 3: TRIM value. Y-axis: estimated q*.</w:t>
      </w:r>
    </w:p>
    <w:p>
      <w:pPr>
        <w:spacing w:before="40" w:after="120"/>
        <w:ind w:left="340" w:hanging="340"/>
      </w:pPr>
      <w:r>
        <w:rPr>
          <w:rFonts w:ascii="Times New Roman" w:hAnsi="Times New Roman"/>
          <w:b/>
          <w:i w:val="0"/>
          <w:sz w:val="20"/>
        </w:rPr>
        <w:t xml:space="preserve">[7] LSTAR — Why Smooth Transition? What Does γ* Mean?. </w:t>
      </w:r>
      <w:r>
        <w:rPr>
          <w:rFonts w:ascii="Times New Roman" w:hAnsi="Times New Roman"/>
          <w:b w:val="0"/>
          <w:i w:val="0"/>
          <w:sz w:val="20"/>
        </w:rPr>
        <w:t>Hansen (2000) forces a binary regime switch. LSTAR (Teräsvirta 1994) replaces the step function with G(L; γ, c) = [1 + exp(−γ(L−c))]⁻¹. As γ → ∞, G(L) → step function, recovering Hansen’s model. c is the L value where regime weight = 0.5 (transition midpoint). γ* = 29.8 indicates a gradual transition — the corrected spread supports a continuous mechanism rather than a discrete switch. Both models are estimated independently; Hansen q* inside LSTAR CI provides cross-model validation. Figure 4 left panel y-axis: G(L) ∈ [0,1]; right panel y-axis: effective β (marginal effect of ΔlnS on spread); dashed line marks c* = 14.9%.</w:t>
      </w:r>
    </w:p>
    <w:p>
      <w:pPr>
        <w:spacing w:before="40" w:after="120"/>
        <w:ind w:left="340" w:hanging="340"/>
      </w:pPr>
      <w:r>
        <w:rPr>
          <w:rFonts w:ascii="Times New Roman" w:hAnsi="Times New Roman"/>
          <w:b/>
          <w:i w:val="0"/>
          <w:sz w:val="20"/>
        </w:rPr>
        <w:t xml:space="preserve">[8] CAR — Definition, Justification, and Axis Interpretation. </w:t>
      </w:r>
      <w:r>
        <w:rPr>
          <w:rFonts w:ascii="Times New Roman" w:hAnsi="Times New Roman"/>
          <w:b w:val="0"/>
          <w:i w:val="0"/>
          <w:sz w:val="20"/>
        </w:rPr>
        <w:t>Cumulative Abnormal Return (CAR) = cumulative sum of daily abnormal spread changes over the event window, following MacKinlay (1997). 'Abnormal' = actual daily change minus predicted change from a normal model estimated pre-event. Construction: (1) Estimate Δspread = f(ΔVIX, ΔlnN*) on [−0, −6]; (2) predict for each day in [−5, +20]; (3) sum residuals. Figure 6 x-axis (τ): trading days relative to event date (τ = 0). Y-axis: cumulative abnormal spread change in basis points. Positive CAR = spread widened more than expected (consistent with forced T-bill liquidation). Negative CAR = spread compressed more than expected (flight-to-safety demand). Window [−5, +20] chosen to capture 5 days of pre-event price discovery and 4 calendar weeks of post-event market absorption.</w:t>
      </w:r>
    </w:p>
    <w:p>
      <w:pPr>
        <w:spacing w:before="40" w:after="120"/>
        <w:ind w:left="340" w:hanging="340"/>
      </w:pPr>
      <w:r>
        <w:rPr>
          <w:rFonts w:ascii="Times New Roman" w:hAnsi="Times New Roman"/>
          <w:b/>
          <w:i w:val="0"/>
          <w:sz w:val="20"/>
        </w:rPr>
        <w:t xml:space="preserve">[9] First-Difference Normal Model — Why Not Level Model?. </w:t>
      </w:r>
      <w:r>
        <w:rPr>
          <w:rFonts w:ascii="Times New Roman" w:hAnsi="Times New Roman"/>
          <w:b w:val="0"/>
          <w:i w:val="0"/>
          <w:sz w:val="20"/>
        </w:rPr>
        <w:t>The original level model estimated spread = f(VIX, lnN*) over a Jan–May 2022 window. This window coincided with the Fed’s most aggressive hiking cycle in four decades: the spread rose from 5 bps to 78 bps purely from Fed policy, making event-date levels look abnormally high relative to the January baseline — inflating CARs ~120-fold. The first-difference model Δspread = f(ΔVIX, ΔlnN*) removes slow-moving trends by modelling daily changes, eliminating the hiking trend artifact. This is the standard fix for unit-root contamination in event study estimation windows.</w:t>
      </w:r>
    </w:p>
    <w:p>
      <w:pPr>
        <w:spacing w:before="40" w:after="120"/>
        <w:ind w:left="340" w:hanging="340"/>
      </w:pPr>
      <w:r>
        <w:rPr>
          <w:rFonts w:ascii="Times New Roman" w:hAnsi="Times New Roman"/>
          <w:b/>
          <w:i w:val="0"/>
          <w:sz w:val="20"/>
        </w:rPr>
        <w:t xml:space="preserve">[10] Event Window [−5, +20] — Choice Justification. </w:t>
      </w:r>
      <w:r>
        <w:rPr>
          <w:rFonts w:ascii="Times New Roman" w:hAnsi="Times New Roman"/>
          <w:b w:val="0"/>
          <w:i w:val="0"/>
          <w:sz w:val="20"/>
        </w:rPr>
        <w:t>Pre-event window of 5 days captures information leakage before official event dates (e.g. early Terra/LUNA stress signals, SVB deposit outflows). Post-event window of 20 trading days (~4 calendar weeks) allows time for forced T-bill selling to materialise and for price discovery to complete. Longer windows risk confounding with subsequent macro shocks; the FOMC meeting on May 4, 2022 (5 days before LUNA/UST) and March 22, 2023 (11 days after SVB) make tight windows especially important.</w:t>
      </w:r>
    </w:p>
    <w:p>
      <w:pPr>
        <w:spacing w:before="40" w:after="120"/>
        <w:ind w:left="340" w:hanging="340"/>
      </w:pPr>
      <w:r>
        <w:rPr>
          <w:rFonts w:ascii="Times New Roman" w:hAnsi="Times New Roman"/>
          <w:b/>
          <w:i w:val="0"/>
          <w:sz w:val="20"/>
        </w:rPr>
        <w:t xml:space="preserve">[11] Figure 1 — Panel and Axis Descriptions. </w:t>
      </w:r>
      <w:r>
        <w:rPr>
          <w:rFonts w:ascii="Times New Roman" w:hAnsi="Times New Roman"/>
          <w:b w:val="0"/>
          <w:i w:val="0"/>
          <w:sz w:val="20"/>
        </w:rPr>
        <w:t>Panel A: OIS–Treasury spread (DGS3MO − overnight SOFR), y-axis in pp. Near zero in 2021 (stable Fed); elevated 2022 (residual term premium from hiking); reverts toward zero by 2024–2026. Panel B: Combined USDT + USDC supply, y-axis in USD billions. Panel C: Aggregate liquid buffer L = cash reserves / supply (dimensionless). Horizontal dashed line marks q* = 0.1301 (13%); observations above = high-buffer regime, below = low-buffer regime.</w:t>
      </w:r>
    </w:p>
    <w:p>
      <w:pPr>
        <w:spacing w:before="40" w:after="120"/>
        <w:ind w:left="340" w:hanging="340"/>
      </w:pPr>
      <w:r>
        <w:rPr>
          <w:rFonts w:ascii="Times New Roman" w:hAnsi="Times New Roman"/>
          <w:b/>
          <w:i w:val="0"/>
          <w:sz w:val="20"/>
        </w:rPr>
        <w:t xml:space="preserve">[12] Figure 2 — Hansen SSR Profile: Axes and Interpretation. </w:t>
      </w:r>
      <w:r>
        <w:rPr>
          <w:rFonts w:ascii="Times New Roman" w:hAnsi="Times New Roman"/>
          <w:b w:val="0"/>
          <w:i w:val="0"/>
          <w:sz w:val="20"/>
        </w:rPr>
        <w:t>X-axis: candidate threshold values for L (trimmed 15th–85th percentile). Y-axis: sum of squared residuals from the threshold regression at each candidate q. The global minimum at q* = 0.1301 (red dashed line) defines the threshold estimate. The shaded region is the bootstrap 90% CI from 1,000 bootstrap samples. A pronounced valley indicates a well-identified threshold; a shallow profile indicates uncertainty — consistent with bootstrap p = 0.406.</w:t>
      </w:r>
    </w:p>
    <w:p>
      <w:pPr>
        <w:spacing w:before="40" w:after="120"/>
        <w:ind w:left="340" w:hanging="340"/>
      </w:pPr>
      <w:r>
        <w:rPr>
          <w:rFonts w:ascii="Times New Roman" w:hAnsi="Times New Roman"/>
          <w:b/>
          <w:i w:val="0"/>
          <w:sz w:val="20"/>
        </w:rPr>
        <w:t xml:space="preserve">[13] Figure 4 — LSTAR Transition: Axes and Interpretation. </w:t>
      </w:r>
      <w:r>
        <w:rPr>
          <w:rFonts w:ascii="Times New Roman" w:hAnsi="Times New Roman"/>
          <w:b w:val="0"/>
          <w:i w:val="0"/>
          <w:sz w:val="20"/>
        </w:rPr>
        <w:t>Left panel x-axis: liquid buffer L; y-axis: G(L; γ*, c*) ∈ [0,1]. G = 1: fully in low-buffer regime; G = 0: fully in high-buffer regime. Transition midpoint c* = 14.9% shown as dashed vertical line. Right panel x-axis: L; y-axis: effective β (marginal effect of ΔlnS on spread). Effective β = β_high + δ·G(L) shifts continuously from β_high (large L) to β_high + δ (L near zero).</w:t>
      </w:r>
    </w:p>
    <w:p>
      <w:pPr>
        <w:spacing w:before="40" w:after="120"/>
        <w:ind w:left="340" w:hanging="340"/>
      </w:pPr>
      <w:r>
        <w:rPr>
          <w:rFonts w:ascii="Times New Roman" w:hAnsi="Times New Roman"/>
          <w:b/>
          <w:i w:val="0"/>
          <w:sz w:val="20"/>
        </w:rPr>
        <w:t xml:space="preserve">[14] Bid-Cover Ratio — Definition and Mechanism Link. </w:t>
      </w:r>
      <w:r>
        <w:rPr>
          <w:rFonts w:ascii="Times New Roman" w:hAnsi="Times New Roman"/>
          <w:b w:val="0"/>
          <w:i w:val="0"/>
          <w:sz w:val="20"/>
        </w:rPr>
        <w:t>Bid-cover = total competitive bids tendered / offering amount at a Treasury auction. Higher ratio = stronger competitive demand. Mechanism logic: if secondary-market T-bill yields fall due to stablecoin reserve buying, primary-market bidders face less attractive entry yields and may reduce quantities, lowering bid-cover. We use USDT vs. USDC as a natural experiment: both share the same macro environment, so differential effects isolate the reserve-composition channel. Wald test: H₀: β_USDT = β_USDC; rejection confirms the two issuers affect auctions differently, consistent with the reserve-composition hypothesis. Data: TreasuryDirect auction results API, 4/8/13/26-week T-bills, Jan 2021–Mar 2026.</w:t>
      </w:r>
    </w:p>
    <w:p>
      <w:pPr>
        <w:spacing w:before="40" w:after="120"/>
        <w:ind w:left="340" w:hanging="340"/>
      </w:pPr>
      <w:r>
        <w:rPr>
          <w:rFonts w:ascii="Times New Roman" w:hAnsi="Times New Roman"/>
          <w:sz w:val="20"/>
        </w:rPr>
        <w:t>[15] Reserve Attestation Forward-Fill — Methodology and Justification. Tether publishes attestations quarterly (March, June, September, December); Circle publishes monthly. Months without a direct attestation observation inherit the most recent reported value (forward-fill). Backward-fill is explicitly rejected on no-look-ahead grounds: December attestation data are not available in November, so assigning the December value to November would introduce future information into the conditioning variable. For the Hansen (2000) threshold and LSTAR models this distinction matters: forward-fill places November 2022 at L = 18.4% (above q* = 13%, high-buffer regime), while backward-fill would place it at L = 11.5% (below q*, low-buffer regime). Forward-fill is also consistent with how the threshold variable would be observed in real time by market participants. One additional data-quality step is applied: near-zero values in the web-extracted cash-reserve column (specifically, values below $1 million) are treated as missing rather than as true zero holdings, since they reflect scraping placeholders for unreported lines rather than an actual absence of cash reserves. These observations are then forward-filled from the preceding attestation.</w:t>
      </w:r>
    </w:p>
    <w:p/>
    <w:p>
      <w:r>
        <w:br w:type="page"/>
      </w:r>
    </w:p>
    <w:p>
      <w:pPr>
        <w:spacing w:before="240" w:after="120"/>
      </w:pPr>
      <w:r>
        <w:rPr>
          <w:rFonts w:ascii="Times New Roman" w:hAnsi="Times New Roman"/>
          <w:b/>
          <w:i w:val="0"/>
          <w:sz w:val="26"/>
        </w:rPr>
        <w:t>Appendix</w:t>
      </w:r>
    </w:p>
    <w:p>
      <w:pPr>
        <w:spacing w:before="240" w:after="120"/>
      </w:pPr>
      <w:r>
        <w:rPr>
          <w:rFonts w:ascii="Times New Roman" w:hAnsi="Times New Roman"/>
          <w:b/>
          <w:i w:val="0"/>
          <w:sz w:val="24"/>
        </w:rPr>
        <w:t>A.1  Robustness: Post-2023 Sub-sample (N = 39)</w:t>
      </w:r>
    </w:p>
    <w:p>
      <w:pPr>
        <w:spacing w:before="0" w:after="160"/>
      </w:pPr>
      <w:r>
        <w:rPr>
          <w:rFonts w:ascii="Times New Roman" w:hAnsi="Times New Roman"/>
          <w:sz w:val="24"/>
        </w:rPr>
        <w:t>Restricting to January 2023 – March 2026 (N = 39), the period with broadest attestation coverage from both Tether and Circle, yields β₁ = −2.43 (p = 0.063) and β₂ (θ) = −0.232 (p = 0.008). Treasury exposure θ becomes individually significant in this sub-sample, confirming the decomposition has identifiable content as the time series lengthens. L × ΔlnS remains below conventional significance (β₄ = −5.63, p = 0.763). The result is consistent with the multicollinearity explanation: as the sample extends, the Treasury-exposure channel emerges, though separating the cash-buffer component requires additional observations.</w:t>
      </w:r>
    </w:p>
    <w:p>
      <w:pPr>
        <w:spacing w:before="240" w:after="120"/>
      </w:pPr>
      <w:r>
        <w:rPr>
          <w:rFonts w:ascii="Times New Roman" w:hAnsi="Times New Roman"/>
          <w:b/>
          <w:i w:val="0"/>
          <w:sz w:val="24"/>
        </w:rPr>
        <w:t>A.2  Robustness: First-Differenced Specification</w:t>
      </w:r>
    </w:p>
    <w:p>
      <w:pPr>
        <w:spacing w:before="0" w:after="160"/>
      </w:pPr>
      <w:r>
        <w:rPr>
          <w:rFonts w:ascii="Times New Roman" w:hAnsi="Times New Roman"/>
          <w:b w:val="0"/>
          <w:i w:val="0"/>
          <w:sz w:val="24"/>
        </w:rPr>
        <w:t>Differencing all variables to address potential non-stationarity yields β₁ = 0.228 (p = 0.686) and β₄ = 7.57 (p = 0.651); neither survives at conventional significance levels. This reflects the distinction between a slow-moving structural relationship — captured in levels — and month-to-month changes. The event study, which uses daily abnormal spreads and is immune to unit-root concerns, provides the primary causal identification.</w:t>
      </w:r>
    </w:p>
    <w:p>
      <w:pPr>
        <w:spacing w:before="240" w:after="120"/>
      </w:pPr>
      <w:r>
        <w:rPr>
          <w:rFonts w:ascii="Times New Roman" w:hAnsi="Times New Roman"/>
          <w:b/>
          <w:i w:val="0"/>
          <w:sz w:val="24"/>
        </w:rPr>
        <w:t>A.3  Diagnostic Statistics</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shd w:val="clear" w:color="auto" w:fill="BDD7EE"/>
          </w:tcPr>
          <w:p>
            <w:pPr>
              <w:jc w:val="left"/>
            </w:pPr>
            <w:r/>
            <w:r>
              <w:rPr>
                <w:rFonts w:ascii="Times New Roman" w:hAnsi="Times New Roman"/>
                <w:b/>
                <w:i w:val="0"/>
                <w:sz w:val="20"/>
              </w:rPr>
              <w:t>Test</w:t>
            </w:r>
          </w:p>
        </w:tc>
        <w:tc>
          <w:tcPr>
            <w:tcW w:type="dxa" w:w="2126"/>
            <w:shd w:val="clear" w:color="auto" w:fill="BDD7EE"/>
          </w:tcPr>
          <w:p>
            <w:pPr>
              <w:jc w:val="center"/>
            </w:pPr>
            <w:r/>
            <w:r>
              <w:rPr>
                <w:rFonts w:ascii="Times New Roman" w:hAnsi="Times New Roman"/>
                <w:b/>
                <w:i w:val="0"/>
                <w:sz w:val="20"/>
              </w:rPr>
              <w:t>Statistic</w:t>
            </w:r>
          </w:p>
        </w:tc>
        <w:tc>
          <w:tcPr>
            <w:tcW w:type="dxa" w:w="2126"/>
            <w:shd w:val="clear" w:color="auto" w:fill="BDD7EE"/>
          </w:tcPr>
          <w:p>
            <w:pPr>
              <w:jc w:val="center"/>
            </w:pPr>
            <w:r/>
            <w:r>
              <w:rPr>
                <w:rFonts w:ascii="Times New Roman" w:hAnsi="Times New Roman"/>
                <w:b/>
                <w:i w:val="0"/>
                <w:sz w:val="20"/>
              </w:rPr>
              <w:t>p-value</w:t>
            </w:r>
          </w:p>
        </w:tc>
        <w:tc>
          <w:tcPr>
            <w:tcW w:type="dxa" w:w="2126"/>
            <w:shd w:val="clear" w:color="auto" w:fill="BDD7EE"/>
          </w:tcPr>
          <w:p>
            <w:pPr>
              <w:jc w:val="left"/>
            </w:pPr>
            <w:r/>
            <w:r>
              <w:rPr>
                <w:rFonts w:ascii="Times New Roman" w:hAnsi="Times New Roman"/>
                <w:b/>
                <w:i w:val="0"/>
                <w:sz w:val="20"/>
              </w:rPr>
              <w:t>Conclusion</w:t>
            </w:r>
          </w:p>
        </w:tc>
      </w:tr>
      <w:tr>
        <w:tc>
          <w:tcPr>
            <w:tcW w:type="dxa" w:w="2126"/>
            <w:shd w:val="clear" w:color="auto" w:fill="EBF3FB"/>
          </w:tcPr>
          <w:p>
            <w:pPr>
              <w:jc w:val="left"/>
            </w:pPr>
            <w:r/>
            <w:r>
              <w:rPr>
                <w:rFonts w:ascii="Times New Roman" w:hAnsi="Times New Roman"/>
                <w:b w:val="0"/>
                <w:i w:val="0"/>
                <w:sz w:val="20"/>
              </w:rPr>
              <w:t>ADF — OIS–Treasury spread</w:t>
            </w:r>
          </w:p>
        </w:tc>
        <w:tc>
          <w:tcPr>
            <w:tcW w:type="dxa" w:w="2126"/>
            <w:shd w:val="clear" w:color="auto" w:fill="EBF3FB"/>
          </w:tcPr>
          <w:p>
            <w:pPr>
              <w:jc w:val="center"/>
            </w:pPr>
            <w:r/>
            <w:r>
              <w:rPr>
                <w:rFonts w:ascii="Times New Roman" w:hAnsi="Times New Roman"/>
                <w:b w:val="0"/>
                <w:i w:val="0"/>
                <w:sz w:val="20"/>
              </w:rPr>
              <w:t>−1.580</w:t>
            </w:r>
          </w:p>
        </w:tc>
        <w:tc>
          <w:tcPr>
            <w:tcW w:type="dxa" w:w="2126"/>
            <w:shd w:val="clear" w:color="auto" w:fill="EBF3FB"/>
          </w:tcPr>
          <w:p>
            <w:pPr>
              <w:jc w:val="center"/>
            </w:pPr>
            <w:r/>
            <w:r>
              <w:rPr>
                <w:rFonts w:ascii="Times New Roman" w:hAnsi="Times New Roman"/>
                <w:b w:val="0"/>
                <w:i w:val="0"/>
                <w:sz w:val="20"/>
              </w:rPr>
              <w:t>0.494</w:t>
            </w:r>
          </w:p>
        </w:tc>
        <w:tc>
          <w:tcPr>
            <w:tcW w:type="dxa" w:w="2126"/>
            <w:shd w:val="clear" w:color="auto" w:fill="EBF3FB"/>
          </w:tcPr>
          <w:p>
            <w:pPr>
              <w:jc w:val="left"/>
            </w:pPr>
            <w:r/>
            <w:r>
              <w:rPr>
                <w:rFonts w:ascii="Times New Roman" w:hAnsi="Times New Roman"/>
                <w:b w:val="0"/>
                <w:i w:val="0"/>
                <w:sz w:val="20"/>
              </w:rPr>
              <w:t>I(1) not rejected</w:t>
            </w:r>
          </w:p>
        </w:tc>
      </w:tr>
      <w:tr>
        <w:tc>
          <w:tcPr>
            <w:tcW w:type="dxa" w:w="2126"/>
          </w:tcPr>
          <w:p>
            <w:pPr>
              <w:jc w:val="left"/>
            </w:pPr>
            <w:r/>
            <w:r>
              <w:rPr>
                <w:rFonts w:ascii="Times New Roman" w:hAnsi="Times New Roman"/>
                <w:b w:val="0"/>
                <w:i w:val="0"/>
                <w:sz w:val="20"/>
              </w:rPr>
              <w:t>ADF — ΔlnS</w:t>
            </w:r>
          </w:p>
        </w:tc>
        <w:tc>
          <w:tcPr>
            <w:tcW w:type="dxa" w:w="2126"/>
          </w:tcPr>
          <w:p>
            <w:pPr>
              <w:jc w:val="center"/>
            </w:pPr>
            <w:r/>
            <w:r>
              <w:rPr>
                <w:rFonts w:ascii="Times New Roman" w:hAnsi="Times New Roman"/>
                <w:b w:val="0"/>
                <w:i w:val="0"/>
                <w:sz w:val="20"/>
              </w:rPr>
              <w:t>−4.007</w:t>
            </w:r>
          </w:p>
        </w:tc>
        <w:tc>
          <w:tcPr>
            <w:tcW w:type="dxa" w:w="2126"/>
          </w:tcPr>
          <w:p>
            <w:pPr>
              <w:jc w:val="center"/>
            </w:pPr>
            <w:r/>
            <w:r>
              <w:rPr>
                <w:rFonts w:ascii="Times New Roman" w:hAnsi="Times New Roman"/>
                <w:b w:val="0"/>
                <w:i w:val="0"/>
                <w:sz w:val="20"/>
              </w:rPr>
              <w:t>0.001</w:t>
            </w:r>
          </w:p>
        </w:tc>
        <w:tc>
          <w:tcPr>
            <w:tcW w:type="dxa" w:w="2126"/>
          </w:tcPr>
          <w:p>
            <w:pPr>
              <w:jc w:val="left"/>
            </w:pPr>
            <w:r/>
            <w:r>
              <w:rPr>
                <w:rFonts w:ascii="Times New Roman" w:hAnsi="Times New Roman"/>
                <w:b w:val="0"/>
                <w:i w:val="0"/>
                <w:sz w:val="20"/>
              </w:rPr>
              <w:t>Stationary ✓</w:t>
            </w:r>
          </w:p>
        </w:tc>
      </w:tr>
      <w:tr>
        <w:tc>
          <w:tcPr>
            <w:tcW w:type="dxa" w:w="2126"/>
            <w:shd w:val="clear" w:color="auto" w:fill="EBF3FB"/>
          </w:tcPr>
          <w:p>
            <w:pPr>
              <w:jc w:val="left"/>
            </w:pPr>
            <w:r/>
            <w:r>
              <w:rPr>
                <w:rFonts w:ascii="Times New Roman" w:hAnsi="Times New Roman"/>
                <w:b w:val="0"/>
                <w:i w:val="0"/>
                <w:sz w:val="20"/>
              </w:rPr>
              <w:t>ADF — θ (Treasury Exposure)</w:t>
            </w:r>
          </w:p>
        </w:tc>
        <w:tc>
          <w:tcPr>
            <w:tcW w:type="dxa" w:w="2126"/>
            <w:shd w:val="clear" w:color="auto" w:fill="EBF3FB"/>
          </w:tcPr>
          <w:p>
            <w:pPr>
              <w:jc w:val="center"/>
            </w:pPr>
            <w:r/>
            <w:r>
              <w:rPr>
                <w:rFonts w:ascii="Times New Roman" w:hAnsi="Times New Roman"/>
                <w:b w:val="0"/>
                <w:i w:val="0"/>
                <w:sz w:val="20"/>
              </w:rPr>
              <w:t>−3.026</w:t>
            </w:r>
          </w:p>
        </w:tc>
        <w:tc>
          <w:tcPr>
            <w:tcW w:type="dxa" w:w="2126"/>
            <w:shd w:val="clear" w:color="auto" w:fill="EBF3FB"/>
          </w:tcPr>
          <w:p>
            <w:pPr>
              <w:jc w:val="center"/>
            </w:pPr>
            <w:r/>
            <w:r>
              <w:rPr>
                <w:rFonts w:ascii="Times New Roman" w:hAnsi="Times New Roman"/>
                <w:b w:val="0"/>
                <w:i w:val="0"/>
                <w:sz w:val="20"/>
              </w:rPr>
              <w:t>0.033</w:t>
            </w:r>
          </w:p>
        </w:tc>
        <w:tc>
          <w:tcPr>
            <w:tcW w:type="dxa" w:w="2126"/>
            <w:shd w:val="clear" w:color="auto" w:fill="EBF3FB"/>
          </w:tcPr>
          <w:p>
            <w:pPr>
              <w:jc w:val="left"/>
            </w:pPr>
            <w:r/>
            <w:r>
              <w:rPr>
                <w:rFonts w:ascii="Times New Roman" w:hAnsi="Times New Roman"/>
                <w:b w:val="0"/>
                <w:i w:val="0"/>
                <w:sz w:val="20"/>
              </w:rPr>
              <w:t>Stationary ✓</w:t>
            </w:r>
          </w:p>
        </w:tc>
      </w:tr>
      <w:tr>
        <w:tc>
          <w:tcPr>
            <w:tcW w:type="dxa" w:w="2126"/>
          </w:tcPr>
          <w:p>
            <w:pPr>
              <w:jc w:val="left"/>
            </w:pPr>
            <w:r/>
            <w:r>
              <w:rPr>
                <w:rFonts w:ascii="Times New Roman" w:hAnsi="Times New Roman"/>
                <w:b w:val="0"/>
                <w:i w:val="0"/>
                <w:sz w:val="20"/>
              </w:rPr>
              <w:t>ADF — L (Liquid Buffer)</w:t>
            </w:r>
          </w:p>
        </w:tc>
        <w:tc>
          <w:tcPr>
            <w:tcW w:type="dxa" w:w="2126"/>
          </w:tcPr>
          <w:p>
            <w:pPr>
              <w:jc w:val="center"/>
            </w:pPr>
            <w:r/>
            <w:r>
              <w:rPr>
                <w:rFonts w:ascii="Times New Roman" w:hAnsi="Times New Roman"/>
                <w:b w:val="0"/>
                <w:i w:val="0"/>
                <w:sz w:val="20"/>
              </w:rPr>
              <w:t>−2.529</w:t>
            </w:r>
          </w:p>
        </w:tc>
        <w:tc>
          <w:tcPr>
            <w:tcW w:type="dxa" w:w="2126"/>
          </w:tcPr>
          <w:p>
            <w:pPr>
              <w:jc w:val="center"/>
            </w:pPr>
            <w:r/>
            <w:r>
              <w:rPr>
                <w:rFonts w:ascii="Times New Roman" w:hAnsi="Times New Roman"/>
                <w:b w:val="0"/>
                <w:i w:val="0"/>
                <w:sz w:val="20"/>
              </w:rPr>
              <w:t>0.108</w:t>
            </w:r>
          </w:p>
        </w:tc>
        <w:tc>
          <w:tcPr>
            <w:tcW w:type="dxa" w:w="2126"/>
          </w:tcPr>
          <w:p>
            <w:pPr>
              <w:jc w:val="left"/>
            </w:pPr>
            <w:r/>
            <w:r>
              <w:rPr>
                <w:rFonts w:ascii="Times New Roman" w:hAnsi="Times New Roman"/>
                <w:b w:val="0"/>
                <w:i w:val="0"/>
                <w:sz w:val="20"/>
              </w:rPr>
              <w:t>I(1) not rejected</w:t>
            </w:r>
          </w:p>
        </w:tc>
      </w:tr>
      <w:tr>
        <w:tc>
          <w:tcPr>
            <w:tcW w:type="dxa" w:w="2126"/>
            <w:shd w:val="clear" w:color="auto" w:fill="EBF3FB"/>
          </w:tcPr>
          <w:p>
            <w:pPr>
              <w:jc w:val="left"/>
            </w:pPr>
            <w:r/>
            <w:r>
              <w:rPr>
                <w:rFonts w:ascii="Times New Roman" w:hAnsi="Times New Roman"/>
                <w:b w:val="0"/>
                <w:i w:val="0"/>
                <w:sz w:val="20"/>
              </w:rPr>
              <w:t>ADF — VIX</w:t>
            </w:r>
          </w:p>
        </w:tc>
        <w:tc>
          <w:tcPr>
            <w:tcW w:type="dxa" w:w="2126"/>
            <w:shd w:val="clear" w:color="auto" w:fill="EBF3FB"/>
          </w:tcPr>
          <w:p>
            <w:pPr>
              <w:jc w:val="center"/>
            </w:pPr>
            <w:r/>
            <w:r>
              <w:rPr>
                <w:rFonts w:ascii="Times New Roman" w:hAnsi="Times New Roman"/>
                <w:b w:val="0"/>
                <w:i w:val="0"/>
                <w:sz w:val="20"/>
              </w:rPr>
              <w:t>−2.618</w:t>
            </w:r>
          </w:p>
        </w:tc>
        <w:tc>
          <w:tcPr>
            <w:tcW w:type="dxa" w:w="2126"/>
            <w:shd w:val="clear" w:color="auto" w:fill="EBF3FB"/>
          </w:tcPr>
          <w:p>
            <w:pPr>
              <w:jc w:val="center"/>
            </w:pPr>
            <w:r/>
            <w:r>
              <w:rPr>
                <w:rFonts w:ascii="Times New Roman" w:hAnsi="Times New Roman"/>
                <w:b w:val="0"/>
                <w:i w:val="0"/>
                <w:sz w:val="20"/>
              </w:rPr>
              <w:t>0.089</w:t>
            </w:r>
          </w:p>
        </w:tc>
        <w:tc>
          <w:tcPr>
            <w:tcW w:type="dxa" w:w="2126"/>
            <w:shd w:val="clear" w:color="auto" w:fill="EBF3FB"/>
          </w:tcPr>
          <w:p>
            <w:pPr>
              <w:jc w:val="left"/>
            </w:pPr>
            <w:r/>
            <w:r>
              <w:rPr>
                <w:rFonts w:ascii="Times New Roman" w:hAnsi="Times New Roman"/>
                <w:b w:val="0"/>
                <w:i w:val="0"/>
                <w:sz w:val="20"/>
              </w:rPr>
              <w:t>Borderline</w:t>
            </w:r>
          </w:p>
        </w:tc>
      </w:tr>
      <w:tr>
        <w:tc>
          <w:tcPr>
            <w:tcW w:type="dxa" w:w="2126"/>
          </w:tcPr>
          <w:p>
            <w:pPr>
              <w:jc w:val="left"/>
            </w:pPr>
            <w:r/>
            <w:r>
              <w:rPr>
                <w:rFonts w:ascii="Times New Roman" w:hAnsi="Times New Roman"/>
                <w:b w:val="0"/>
                <w:i w:val="0"/>
                <w:sz w:val="20"/>
              </w:rPr>
              <w:t>ADF — ΔlnN*</w:t>
            </w:r>
          </w:p>
        </w:tc>
        <w:tc>
          <w:tcPr>
            <w:tcW w:type="dxa" w:w="2126"/>
          </w:tcPr>
          <w:p>
            <w:pPr>
              <w:jc w:val="center"/>
            </w:pPr>
            <w:r/>
            <w:r>
              <w:rPr>
                <w:rFonts w:ascii="Times New Roman" w:hAnsi="Times New Roman"/>
                <w:b w:val="0"/>
                <w:i w:val="0"/>
                <w:sz w:val="20"/>
              </w:rPr>
              <w:t>−4.701</w:t>
            </w:r>
          </w:p>
        </w:tc>
        <w:tc>
          <w:tcPr>
            <w:tcW w:type="dxa" w:w="2126"/>
          </w:tcPr>
          <w:p>
            <w:pPr>
              <w:jc w:val="center"/>
            </w:pPr>
            <w:r/>
            <w:r>
              <w:rPr>
                <w:rFonts w:ascii="Times New Roman" w:hAnsi="Times New Roman"/>
                <w:b w:val="0"/>
                <w:i w:val="0"/>
                <w:sz w:val="20"/>
              </w:rPr>
              <w:t>0.000</w:t>
            </w:r>
          </w:p>
        </w:tc>
        <w:tc>
          <w:tcPr>
            <w:tcW w:type="dxa" w:w="2126"/>
          </w:tcPr>
          <w:p>
            <w:pPr>
              <w:jc w:val="left"/>
            </w:pPr>
            <w:r/>
            <w:r>
              <w:rPr>
                <w:rFonts w:ascii="Times New Roman" w:hAnsi="Times New Roman"/>
                <w:b w:val="0"/>
                <w:i w:val="0"/>
                <w:sz w:val="20"/>
              </w:rPr>
              <w:t>Stationary ✓</w:t>
            </w:r>
          </w:p>
        </w:tc>
      </w:tr>
      <w:tr>
        <w:tc>
          <w:tcPr>
            <w:tcW w:type="dxa" w:w="2126"/>
            <w:shd w:val="clear" w:color="auto" w:fill="EBF3FB"/>
          </w:tcPr>
          <w:p>
            <w:pPr>
              <w:jc w:val="left"/>
            </w:pPr>
            <w:r/>
            <w:r>
              <w:rPr>
                <w:rFonts w:ascii="Times New Roman" w:hAnsi="Times New Roman"/>
                <w:b w:val="0"/>
                <w:i w:val="0"/>
                <w:sz w:val="20"/>
              </w:rPr>
              <w:t>Engle–Granger (spread ~ ΔlnS)</w:t>
            </w:r>
          </w:p>
        </w:tc>
        <w:tc>
          <w:tcPr>
            <w:tcW w:type="dxa" w:w="2126"/>
            <w:shd w:val="clear" w:color="auto" w:fill="EBF3FB"/>
          </w:tcPr>
          <w:p>
            <w:pPr>
              <w:jc w:val="center"/>
            </w:pPr>
            <w:r/>
            <w:r>
              <w:rPr>
                <w:rFonts w:ascii="Times New Roman" w:hAnsi="Times New Roman"/>
                <w:b w:val="0"/>
                <w:i w:val="0"/>
                <w:sz w:val="20"/>
              </w:rPr>
              <w:t>−2.888</w:t>
            </w:r>
          </w:p>
        </w:tc>
        <w:tc>
          <w:tcPr>
            <w:tcW w:type="dxa" w:w="2126"/>
            <w:shd w:val="clear" w:color="auto" w:fill="EBF3FB"/>
          </w:tcPr>
          <w:p>
            <w:pPr>
              <w:jc w:val="center"/>
            </w:pPr>
            <w:r/>
            <w:r>
              <w:rPr>
                <w:rFonts w:ascii="Times New Roman" w:hAnsi="Times New Roman"/>
                <w:b w:val="0"/>
                <w:i w:val="0"/>
                <w:sz w:val="20"/>
              </w:rPr>
              <w:t>0.139</w:t>
            </w:r>
          </w:p>
        </w:tc>
        <w:tc>
          <w:tcPr>
            <w:tcW w:type="dxa" w:w="2126"/>
            <w:shd w:val="clear" w:color="auto" w:fill="EBF3FB"/>
          </w:tcPr>
          <w:p>
            <w:pPr>
              <w:jc w:val="left"/>
            </w:pPr>
            <w:r/>
            <w:r>
              <w:rPr>
                <w:rFonts w:ascii="Times New Roman" w:hAnsi="Times New Roman"/>
                <w:b w:val="0"/>
                <w:i w:val="0"/>
                <w:sz w:val="20"/>
              </w:rPr>
              <w:t>Not cointegrated</w:t>
            </w:r>
          </w:p>
        </w:tc>
      </w:tr>
      <w:tr>
        <w:tc>
          <w:tcPr>
            <w:tcW w:type="dxa" w:w="2126"/>
          </w:tcPr>
          <w:p>
            <w:pPr>
              <w:jc w:val="left"/>
            </w:pPr>
            <w:r/>
            <w:r>
              <w:rPr>
                <w:rFonts w:ascii="Times New Roman" w:hAnsi="Times New Roman"/>
                <w:b w:val="0"/>
                <w:i w:val="0"/>
                <w:sz w:val="20"/>
              </w:rPr>
              <w:t>Engle–Granger (spread ~ θ)</w:t>
            </w:r>
          </w:p>
        </w:tc>
        <w:tc>
          <w:tcPr>
            <w:tcW w:type="dxa" w:w="2126"/>
          </w:tcPr>
          <w:p>
            <w:pPr>
              <w:jc w:val="center"/>
            </w:pPr>
            <w:r/>
            <w:r>
              <w:rPr>
                <w:rFonts w:ascii="Times New Roman" w:hAnsi="Times New Roman"/>
                <w:b w:val="0"/>
                <w:i w:val="0"/>
                <w:sz w:val="20"/>
              </w:rPr>
              <w:t>−1.546</w:t>
            </w:r>
          </w:p>
        </w:tc>
        <w:tc>
          <w:tcPr>
            <w:tcW w:type="dxa" w:w="2126"/>
          </w:tcPr>
          <w:p>
            <w:pPr>
              <w:jc w:val="center"/>
            </w:pPr>
            <w:r/>
            <w:r>
              <w:rPr>
                <w:rFonts w:ascii="Times New Roman" w:hAnsi="Times New Roman"/>
                <w:b w:val="0"/>
                <w:i w:val="0"/>
                <w:sz w:val="20"/>
              </w:rPr>
              <w:t>0.743</w:t>
            </w:r>
          </w:p>
        </w:tc>
        <w:tc>
          <w:tcPr>
            <w:tcW w:type="dxa" w:w="2126"/>
          </w:tcPr>
          <w:p>
            <w:pPr>
              <w:jc w:val="left"/>
            </w:pPr>
            <w:r/>
            <w:r>
              <w:rPr>
                <w:rFonts w:ascii="Times New Roman" w:hAnsi="Times New Roman"/>
                <w:b w:val="0"/>
                <w:i w:val="0"/>
                <w:sz w:val="20"/>
              </w:rPr>
              <w:t>Not cointegrated</w:t>
            </w:r>
          </w:p>
        </w:tc>
      </w:tr>
      <w:tr>
        <w:tc>
          <w:tcPr>
            <w:tcW w:type="dxa" w:w="2126"/>
            <w:shd w:val="clear" w:color="auto" w:fill="EBF3FB"/>
          </w:tcPr>
          <w:p>
            <w:pPr>
              <w:jc w:val="left"/>
            </w:pPr>
            <w:r/>
            <w:r>
              <w:rPr>
                <w:rFonts w:ascii="Times New Roman" w:hAnsi="Times New Roman"/>
                <w:b w:val="0"/>
                <w:i w:val="0"/>
                <w:sz w:val="20"/>
              </w:rPr>
              <w:t>Engle–Granger (spread ~ L)</w:t>
            </w:r>
          </w:p>
        </w:tc>
        <w:tc>
          <w:tcPr>
            <w:tcW w:type="dxa" w:w="2126"/>
            <w:shd w:val="clear" w:color="auto" w:fill="EBF3FB"/>
          </w:tcPr>
          <w:p>
            <w:pPr>
              <w:jc w:val="center"/>
            </w:pPr>
            <w:r/>
            <w:r>
              <w:rPr>
                <w:rFonts w:ascii="Times New Roman" w:hAnsi="Times New Roman"/>
                <w:b w:val="0"/>
                <w:i w:val="0"/>
                <w:sz w:val="20"/>
              </w:rPr>
              <w:t>−1.611</w:t>
            </w:r>
          </w:p>
        </w:tc>
        <w:tc>
          <w:tcPr>
            <w:tcW w:type="dxa" w:w="2126"/>
            <w:shd w:val="clear" w:color="auto" w:fill="EBF3FB"/>
          </w:tcPr>
          <w:p>
            <w:pPr>
              <w:jc w:val="center"/>
            </w:pPr>
            <w:r/>
            <w:r>
              <w:rPr>
                <w:rFonts w:ascii="Times New Roman" w:hAnsi="Times New Roman"/>
                <w:b w:val="0"/>
                <w:i w:val="0"/>
                <w:sz w:val="20"/>
              </w:rPr>
              <w:t>0.716</w:t>
            </w:r>
          </w:p>
        </w:tc>
        <w:tc>
          <w:tcPr>
            <w:tcW w:type="dxa" w:w="2126"/>
            <w:shd w:val="clear" w:color="auto" w:fill="EBF3FB"/>
          </w:tcPr>
          <w:p>
            <w:pPr>
              <w:jc w:val="left"/>
            </w:pPr>
            <w:r/>
            <w:r>
              <w:rPr>
                <w:rFonts w:ascii="Times New Roman" w:hAnsi="Times New Roman"/>
                <w:b w:val="0"/>
                <w:i w:val="0"/>
                <w:sz w:val="20"/>
              </w:rPr>
              <w:t>Not cointegrated</w:t>
            </w:r>
          </w:p>
        </w:tc>
      </w:tr>
    </w:tbl>
    <w:p>
      <w:pPr>
        <w:spacing w:before="40" w:after="200"/>
      </w:pPr>
      <w:r>
        <w:rPr>
          <w:rFonts w:ascii="Times New Roman" w:hAnsi="Times New Roman"/>
          <w:b w:val="0"/>
          <w:i/>
          <w:sz w:val="18"/>
        </w:rPr>
        <w:t>Note: ADF tests use AIC lag selection. Engle–Granger tests the null of no cointegration. Sample N = 51 monthly observations, January 2022 – March 2026.</w:t>
      </w:r>
    </w:p>
    <w:p>
      <w:pPr>
        <w:spacing w:before="240" w:after="120"/>
      </w:pPr>
      <w:r>
        <w:rPr>
          <w:rFonts w:ascii="Times New Roman" w:hAnsi="Times New Roman"/>
          <w:b/>
          <w:i w:val="0"/>
          <w:sz w:val="24"/>
        </w:rPr>
        <w:t>A.4  LSTAR Estimation Details</w:t>
      </w:r>
    </w:p>
    <w:p>
      <w:pPr>
        <w:spacing w:before="0" w:after="160"/>
      </w:pPr>
      <w:r>
        <w:rPr>
          <w:rFonts w:ascii="Times New Roman" w:hAnsi="Times New Roman"/>
          <w:b w:val="0"/>
          <w:i w:val="0"/>
          <w:sz w:val="24"/>
        </w:rPr>
        <w:t>The LSTAR is estimated by nonlinear least squares (NLS) minimizing the residual sum of squares over (γ, c). The transition variable L is standardized by its sample standard deviation (std(L) = 0.051) before entering the logistic function to aid numerical stability; γ is reported in the original L scale. Starting values follow the Luukkonen, Saikkonen, and Teräsvirta (1988) LM linearity test: the grid is initialized at the sample median of L for c and at γ = 10. Convergence is checked against a gradient tolerance of 10⁻⁶.</w:t>
      </w:r>
    </w:p>
    <w:p>
      <w:pPr>
        <w:spacing w:before="0" w:after="200"/>
      </w:pPr>
      <w:r>
        <w:rPr>
          <w:rFonts w:ascii="Times New Roman" w:hAnsi="Times New Roman"/>
          <w:sz w:val="24"/>
        </w:rPr>
        <w:t>Bootstrap confidence intervals for c* use the percentile method with B = 1,000 replications: each replication resamples rows with replacement and re-runs the NLS optimization. The 5th and 95th percentiles of the resulting distribution of ĉ form the 90% CI = [0.032, 0.145]. The Hansen q* = 0.1301 lies inside this interval, confirming cross-model consistency.</w:t>
      </w:r>
    </w:p>
    <w:sectPr w:rsidR="00FC693F" w:rsidRPr="0006063C" w:rsidSect="00034616">
      <w:pgSz w:w="11906" w:h="16838"/>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kimmireu0921/Stablecoins-and-the-Exorbitant-Privilege-Safe-Asset-Demand-and-Its-Systemic-Fragility" TargetMode="Externa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