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Regression Update — Post-Feedback Re-run</w:t>
      </w:r>
    </w:p>
    <w:p>
      <w:pPr>
        <w:spacing w:after="40"/>
        <w:jc w:val="center"/>
      </w:pPr>
      <w:r>
        <w:rPr>
          <w:rFonts w:ascii="Calibri" w:hAnsi="Calibri"/>
          <w:b w:val="0"/>
          <w:i/>
          <w:color w:val="555555"/>
          <w:sz w:val="22"/>
        </w:rPr>
        <w:t>Stablecoins and the Exorbitant Privilege</w:t>
      </w:r>
    </w:p>
    <w:p>
      <w:pPr>
        <w:spacing w:after="80"/>
        <w:jc w:val="center"/>
      </w:pPr>
      <w:r>
        <w:rPr>
          <w:rFonts w:ascii="Calibri" w:hAnsi="Calibri"/>
          <w:b w:val="0"/>
          <w:i w:val="0"/>
          <w:color w:val="888888"/>
          <w:sz w:val="19"/>
        </w:rPr>
        <w:t>Team memo · prepared from the re-run code and results</w:t>
      </w:r>
    </w:p>
    <w:p>
      <w:pPr>
        <w:spacing w:after="200"/>
        <w:jc w:val="center"/>
      </w:pPr>
      <w:r>
        <w:rPr>
          <w:rFonts w:ascii="Calibri" w:hAnsi="Calibri"/>
          <w:b w:val="0"/>
          <w:i/>
          <w:color w:val="555555"/>
          <w:sz w:val="19"/>
        </w:rPr>
        <w:t>The analysis was run independently with two tools (Claude Code and Codex); both produced the same results.</w:t>
      </w:r>
    </w:p>
    <w:p>
      <w:pPr>
        <w:spacing w:before="280" w:after="80"/>
      </w:pPr>
      <w:r>
        <w:rPr>
          <w:rFonts w:ascii="Calibri" w:hAnsi="Calibri"/>
          <w:b/>
          <w:i w:val="0"/>
          <w:color w:val="1B3A72"/>
          <w:sz w:val="26"/>
        </w:rPr>
        <w:t>1. What the specification was before (June 9 deck)</w:t>
      </w:r>
    </w:p>
    <w:p>
      <w:pPr>
        <w:spacing w:after="80" w:before="0"/>
      </w:pPr>
      <w:r>
        <w:rPr>
          <w:rFonts w:ascii="Calibri" w:hAnsi="Calibri"/>
          <w:b w:val="0"/>
          <w:i w:val="0"/>
          <w:sz w:val="22"/>
        </w:rPr>
        <w:t>The June 9 presentation used two different equations in two places:</w:t>
      </w:r>
    </w:p>
    <w:p>
      <w:pPr>
        <w:pStyle w:val="ListBullet"/>
        <w:spacing w:after="60"/>
      </w:pPr>
      <w:r>
        <w:rPr>
          <w:rFonts w:ascii="Calibri" w:hAnsi="Calibri"/>
          <w:b w:val="0"/>
          <w:i w:val="0"/>
          <w:sz w:val="21"/>
        </w:rPr>
        <w:t>Slide 5 (theory): Spread = α + β1·ΔlnS + β2·θ + β3·L + β4·(L×ΔlnS) + controls. Predicted β1&lt;0, β2&gt;0, β4&gt;0.</w:t>
      </w:r>
    </w:p>
    <w:p>
      <w:pPr>
        <w:pStyle w:val="ListBullet"/>
        <w:spacing w:after="60"/>
      </w:pPr>
      <w:r>
        <w:rPr>
          <w:rFonts w:ascii="Calibri" w:hAnsi="Calibri"/>
          <w:b w:val="0"/>
          <w:i w:val="0"/>
          <w:sz w:val="21"/>
        </w:rPr>
        <w:t>Slide 12 (result): a different "buffer-ratio" specification, B = (treasury + cash)/supply, with B×ΔlnS. This is where β1 = −7.57 and q* = 13% came from.</w:t>
      </w:r>
    </w:p>
    <w:p>
      <w:pPr>
        <w:spacing w:after="120" w:before="0"/>
      </w:pPr>
      <w:r>
        <w:rPr>
          <w:rFonts w:ascii="Calibri" w:hAnsi="Calibri"/>
          <w:b w:val="0"/>
          <w:i w:val="0"/>
          <w:sz w:val="22"/>
        </w:rPr>
        <w:t>The theory equation and the reported-result equation were not the same. The β1 = −7.57 headline came from the B-specification, not from the equation shown on slide 5.</w:t>
      </w:r>
    </w:p>
    <w:p>
      <w:pPr>
        <w:spacing w:before="280" w:after="80"/>
      </w:pPr>
      <w:r>
        <w:rPr>
          <w:rFonts w:ascii="Calibri" w:hAnsi="Calibri"/>
          <w:b/>
          <w:i w:val="0"/>
          <w:color w:val="1B3A72"/>
          <w:sz w:val="26"/>
        </w:rPr>
        <w:t>2. What the professor asked</w:t>
      </w:r>
    </w:p>
    <w:p>
      <w:pPr>
        <w:pStyle w:val="ListBullet"/>
        <w:spacing w:after="60"/>
      </w:pPr>
      <w:r>
        <w:rPr>
          <w:rFonts w:ascii="Calibri" w:hAnsi="Calibri"/>
          <w:b w:val="0"/>
          <w:i w:val="0"/>
          <w:sz w:val="21"/>
        </w:rPr>
        <w:t>Use each issuer as a separate observation (exploit the panel dimension; 51 → 102).</w:t>
      </w:r>
    </w:p>
    <w:p>
      <w:pPr>
        <w:pStyle w:val="ListBullet"/>
        <w:spacing w:after="60"/>
      </w:pPr>
      <w:r>
        <w:rPr>
          <w:rFonts w:ascii="Calibri" w:hAnsi="Calibri"/>
          <w:b w:val="0"/>
          <w:i w:val="0"/>
          <w:sz w:val="21"/>
        </w:rPr>
        <w:t>Do not combine treasury and liquid reserves into one variable (drop the B / buffer-ratio spec).</w:t>
      </w:r>
    </w:p>
    <w:p>
      <w:pPr>
        <w:pStyle w:val="ListBullet"/>
        <w:spacing w:after="60"/>
      </w:pPr>
      <w:r>
        <w:rPr>
          <w:rFonts w:ascii="Calibri" w:hAnsi="Calibri"/>
          <w:b w:val="0"/>
          <w:i w:val="0"/>
          <w:sz w:val="21"/>
        </w:rPr>
        <w:t>Drop θ (treasury exposure) from the right-hand side; keep L and L×ΔlnS.</w:t>
      </w:r>
    </w:p>
    <w:p>
      <w:pPr>
        <w:pStyle w:val="ListBullet"/>
        <w:spacing w:after="60"/>
      </w:pPr>
      <w:r>
        <w:rPr>
          <w:rFonts w:ascii="Calibri" w:hAnsi="Calibri"/>
          <w:b w:val="0"/>
          <w:i w:val="0"/>
          <w:sz w:val="21"/>
        </w:rPr>
        <w:t>Replace the quarterly forward-fill of reserves with a moving average.</w:t>
      </w:r>
    </w:p>
    <w:p>
      <w:pPr>
        <w:pStyle w:val="ListBullet"/>
        <w:spacing w:after="60"/>
      </w:pPr>
      <w:r>
        <w:rPr>
          <w:rFonts w:ascii="Calibri" w:hAnsi="Calibri"/>
          <w:b w:val="0"/>
          <w:i w:val="0"/>
          <w:sz w:val="21"/>
        </w:rPr>
        <w:t>Show the estimating equation on every result slide.</w:t>
      </w:r>
    </w:p>
    <w:p>
      <w:pPr>
        <w:pStyle w:val="ListBullet"/>
        <w:spacing w:after="60"/>
      </w:pPr>
      <w:r>
        <w:rPr>
          <w:rFonts w:ascii="Calibri" w:hAnsi="Calibri"/>
          <w:b w:val="0"/>
          <w:i w:val="0"/>
          <w:sz w:val="21"/>
        </w:rPr>
        <w:t>Treat the event study as motivation only, not a key result (SVB is confounded).</w:t>
      </w:r>
    </w:p>
    <w:p>
      <w:pPr>
        <w:pStyle w:val="ListBullet"/>
        <w:spacing w:after="60"/>
      </w:pPr>
      <w:r>
        <w:rPr>
          <w:rFonts w:ascii="Calibri" w:hAnsi="Calibri"/>
          <w:b w:val="0"/>
          <w:i w:val="0"/>
          <w:sz w:val="21"/>
        </w:rPr>
        <w:t>β4 (on L×ΔlnS) is the coefficient that matters, not β1 alone.</w:t>
      </w:r>
    </w:p>
    <w:p>
      <w:pPr>
        <w:spacing w:before="280" w:after="80"/>
      </w:pPr>
      <w:r>
        <w:rPr>
          <w:rFonts w:ascii="Calibri" w:hAnsi="Calibri"/>
          <w:b/>
          <w:i w:val="0"/>
          <w:color w:val="1B3A72"/>
          <w:sz w:val="26"/>
        </w:rPr>
        <w:t>3. What was changed</w:t>
      </w:r>
    </w:p>
    <w:p>
      <w:pPr>
        <w:pStyle w:val="ListBullet"/>
        <w:spacing w:after="60"/>
      </w:pPr>
      <w:r>
        <w:rPr>
          <w:rFonts w:ascii="Calibri" w:hAnsi="Calibri"/>
          <w:b w:val="0"/>
          <w:i w:val="0"/>
          <w:sz w:val="21"/>
        </w:rPr>
        <w:t>Main equation is now a single, consistent spec: Spread = α + β1·ΔlnS + β3·L + β4·(L×ΔlnS) + controls. θ and the B/buffer-ratio variables were removed.</w:t>
      </w:r>
    </w:p>
    <w:p>
      <w:pPr>
        <w:pStyle w:val="ListBullet"/>
        <w:spacing w:after="60"/>
      </w:pPr>
      <w:r>
        <w:rPr>
          <w:rFonts w:ascii="Calibri" w:hAnsi="Calibri"/>
          <w:b w:val="0"/>
          <w:i w:val="0"/>
          <w:sz w:val="21"/>
        </w:rPr>
        <w:t>Issuer-level panel built (USDT and Circle as separate issuer-month rows; N = 102).</w:t>
      </w:r>
    </w:p>
    <w:p>
      <w:pPr>
        <w:pStyle w:val="ListBullet"/>
        <w:spacing w:after="60"/>
      </w:pPr>
      <w:r>
        <w:rPr>
          <w:rFonts w:ascii="Calibri" w:hAnsi="Calibri"/>
          <w:b w:val="0"/>
          <w:i w:val="0"/>
          <w:sz w:val="21"/>
        </w:rPr>
        <w:t>Quarterly Tether attestations interpolated with a moving average (the ⅔/⅓ blend the professor described) instead of forward-fill.</w:t>
      </w:r>
    </w:p>
    <w:p>
      <w:pPr>
        <w:pStyle w:val="ListBullet"/>
        <w:spacing w:after="60"/>
      </w:pPr>
      <w:r>
        <w:rPr>
          <w:rFonts w:ascii="Calibri" w:hAnsi="Calibri"/>
          <w:b w:val="0"/>
          <w:i w:val="0"/>
          <w:sz w:val="21"/>
        </w:rPr>
        <w:t>All eight analysis scripts re-run successfully on the new data.</w:t>
      </w:r>
    </w:p>
    <w:p>
      <w:pPr>
        <w:spacing w:before="280" w:after="80"/>
      </w:pPr>
      <w:r>
        <w:rPr>
          <w:rFonts w:ascii="Calibri" w:hAnsi="Calibri"/>
          <w:b/>
          <w:i w:val="0"/>
          <w:color w:val="1B3A72"/>
          <w:sz w:val="26"/>
        </w:rPr>
        <w:t>4. Results (professor-approved spec, new data)</w:t>
      </w:r>
    </w:p>
    <w:p>
      <w:pPr>
        <w:spacing w:after="80" w:before="0"/>
      </w:pPr>
      <w:r>
        <w:rPr>
          <w:rFonts w:ascii="Calibri" w:hAnsi="Calibri"/>
          <w:b/>
          <w:i w:val="0"/>
          <w:sz w:val="22"/>
        </w:rPr>
        <w:t>Main regression coefficients: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948"/>
            <w:shd w:val="clear" w:color="auto" w:fill="1B3A72"/>
          </w:tcPr>
          <w:p>
            <w:pPr>
              <w:jc w:val="left"/>
            </w:pPr>
            <w:r>
              <w:rPr>
                <w:color w:val="FFFFFF"/>
              </w:rPr>
            </w:r>
            <w:r>
              <w:rPr>
                <w:rFonts w:ascii="Calibri" w:hAnsi="Calibri"/>
                <w:b/>
                <w:i w:val="0"/>
                <w:color w:val="FFFFFF"/>
                <w:sz w:val="19"/>
              </w:rPr>
              <w:t>Specification</w:t>
            </w:r>
          </w:p>
        </w:tc>
        <w:tc>
          <w:tcPr>
            <w:tcW w:type="dxa" w:w="1701"/>
            <w:shd w:val="clear" w:color="auto" w:fill="1B3A72"/>
          </w:tcPr>
          <w:p>
            <w:pPr>
              <w:jc w:val="center"/>
            </w:pPr>
            <w:r>
              <w:rPr>
                <w:color w:val="FFFFFF"/>
              </w:rPr>
            </w:r>
            <w:r>
              <w:rPr>
                <w:rFonts w:ascii="Calibri" w:hAnsi="Calibri"/>
                <w:b/>
                <w:i w:val="0"/>
                <w:color w:val="FFFFFF"/>
                <w:sz w:val="19"/>
              </w:rPr>
              <w:t>β1 (ΔlnS)</w:t>
            </w:r>
          </w:p>
        </w:tc>
        <w:tc>
          <w:tcPr>
            <w:tcW w:type="dxa" w:w="1474"/>
            <w:shd w:val="clear" w:color="auto" w:fill="1B3A72"/>
          </w:tcPr>
          <w:p>
            <w:pPr>
              <w:jc w:val="center"/>
            </w:pPr>
            <w:r>
              <w:rPr>
                <w:color w:val="FFFFFF"/>
              </w:rPr>
            </w:r>
            <w:r>
              <w:rPr>
                <w:rFonts w:ascii="Calibri" w:hAnsi="Calibri"/>
                <w:b/>
                <w:i w:val="0"/>
                <w:color w:val="FFFFFF"/>
                <w:sz w:val="19"/>
              </w:rPr>
              <w:t>β3 (L)</w:t>
            </w:r>
          </w:p>
        </w:tc>
        <w:tc>
          <w:tcPr>
            <w:tcW w:type="dxa" w:w="1701"/>
            <w:shd w:val="clear" w:color="auto" w:fill="1B3A72"/>
          </w:tcPr>
          <w:p>
            <w:pPr>
              <w:jc w:val="center"/>
            </w:pPr>
            <w:r>
              <w:rPr>
                <w:color w:val="FFFFFF"/>
              </w:rPr>
            </w:r>
            <w:r>
              <w:rPr>
                <w:rFonts w:ascii="Calibri" w:hAnsi="Calibri"/>
                <w:b/>
                <w:i w:val="0"/>
                <w:color w:val="FFFFFF"/>
                <w:sz w:val="19"/>
              </w:rPr>
              <w:t>β4 (L×ΔlnS)</w:t>
            </w:r>
          </w:p>
        </w:tc>
        <w:tc>
          <w:tcPr>
            <w:tcW w:type="dxa" w:w="964"/>
            <w:shd w:val="clear" w:color="auto" w:fill="1B3A72"/>
          </w:tcPr>
          <w:p>
            <w:pPr>
              <w:jc w:val="center"/>
            </w:pPr>
            <w:r>
              <w:rPr>
                <w:color w:val="FFFFFF"/>
              </w:rPr>
            </w:r>
            <w:r>
              <w:rPr>
                <w:rFonts w:ascii="Calibri" w:hAnsi="Calibri"/>
                <w:b/>
                <w:i w:val="0"/>
                <w:color w:val="FFFFFF"/>
                <w:sz w:val="19"/>
              </w:rPr>
              <w:t>R²</w:t>
            </w:r>
          </w:p>
        </w:tc>
      </w:tr>
      <w:tr>
        <w:tc>
          <w:tcPr>
            <w:tcW w:type="dxa" w:w="2948"/>
            <w:shd w:val="clear" w:color="auto" w:fill="EEF3FA"/>
          </w:tcPr>
          <w:p>
            <w:pPr>
              <w:jc w:val="left"/>
            </w:pPr>
            <w:r/>
            <w:r>
              <w:rPr>
                <w:rFonts w:ascii="Calibri" w:hAnsi="Calibri"/>
                <w:b w:val="0"/>
                <w:i w:val="0"/>
                <w:sz w:val="19"/>
              </w:rPr>
              <w:t>Time series, N=51</w:t>
            </w:r>
          </w:p>
        </w:tc>
        <w:tc>
          <w:tcPr>
            <w:tcW w:type="dxa" w:w="1701"/>
            <w:shd w:val="clear" w:color="auto" w:fill="EEF3FA"/>
          </w:tcPr>
          <w:p>
            <w:pPr>
              <w:jc w:val="center"/>
            </w:pPr>
            <w:r/>
            <w:r>
              <w:rPr>
                <w:rFonts w:ascii="Calibri" w:hAnsi="Calibri"/>
                <w:b w:val="0"/>
                <w:i w:val="0"/>
                <w:sz w:val="19"/>
              </w:rPr>
              <w:t>+2.74 (ns)</w:t>
            </w:r>
          </w:p>
        </w:tc>
        <w:tc>
          <w:tcPr>
            <w:tcW w:type="dxa" w:w="1474"/>
            <w:shd w:val="clear" w:color="auto" w:fill="EEF3FA"/>
          </w:tcPr>
          <w:p>
            <w:pPr>
              <w:jc w:val="center"/>
            </w:pPr>
            <w:r/>
            <w:r>
              <w:rPr>
                <w:rFonts w:ascii="Calibri" w:hAnsi="Calibri"/>
                <w:b w:val="0"/>
                <w:i w:val="0"/>
                <w:sz w:val="19"/>
              </w:rPr>
              <w:t>+8.09 ***</w:t>
            </w:r>
          </w:p>
        </w:tc>
        <w:tc>
          <w:tcPr>
            <w:tcW w:type="dxa" w:w="1701"/>
            <w:shd w:val="clear" w:color="auto" w:fill="EEF3FA"/>
          </w:tcPr>
          <w:p>
            <w:pPr>
              <w:jc w:val="center"/>
            </w:pPr>
            <w:r/>
            <w:r>
              <w:rPr>
                <w:rFonts w:ascii="Calibri" w:hAnsi="Calibri"/>
                <w:b w:val="0"/>
                <w:i w:val="0"/>
                <w:sz w:val="19"/>
              </w:rPr>
              <w:t>−35.89 **</w:t>
            </w:r>
          </w:p>
        </w:tc>
        <w:tc>
          <w:tcPr>
            <w:tcW w:type="dxa" w:w="964"/>
            <w:shd w:val="clear" w:color="auto" w:fill="EEF3FA"/>
          </w:tcPr>
          <w:p>
            <w:pPr>
              <w:jc w:val="center"/>
            </w:pPr>
            <w:r/>
            <w:r>
              <w:rPr>
                <w:rFonts w:ascii="Calibri" w:hAnsi="Calibri"/>
                <w:b w:val="0"/>
                <w:i w:val="0"/>
                <w:sz w:val="19"/>
              </w:rPr>
              <w:t>0.858</w:t>
            </w:r>
          </w:p>
        </w:tc>
      </w:tr>
      <w:tr>
        <w:tc>
          <w:tcPr>
            <w:tcW w:type="dxa" w:w="2948"/>
            <w:shd w:val="clear" w:color="auto" w:fill="FFFFFF"/>
          </w:tcPr>
          <w:p>
            <w:pPr>
              <w:jc w:val="left"/>
            </w:pPr>
            <w:r/>
            <w:r>
              <w:rPr>
                <w:rFonts w:ascii="Calibri" w:hAnsi="Calibri"/>
                <w:b w:val="0"/>
                <w:i w:val="0"/>
                <w:sz w:val="19"/>
              </w:rPr>
              <w:t>Issuer panel, N=102</w:t>
            </w:r>
          </w:p>
        </w:tc>
        <w:tc>
          <w:tcPr>
            <w:tcW w:type="dxa" w:w="1701"/>
            <w:shd w:val="clear" w:color="auto" w:fill="FFFFFF"/>
          </w:tcPr>
          <w:p>
            <w:pPr>
              <w:jc w:val="center"/>
            </w:pPr>
            <w:r/>
            <w:r>
              <w:rPr>
                <w:rFonts w:ascii="Calibri" w:hAnsi="Calibri"/>
                <w:b w:val="0"/>
                <w:i w:val="0"/>
                <w:sz w:val="19"/>
              </w:rPr>
              <w:t>+0.01 (ns)</w:t>
            </w:r>
          </w:p>
        </w:tc>
        <w:tc>
          <w:tcPr>
            <w:tcW w:type="dxa" w:w="1474"/>
            <w:shd w:val="clear" w:color="auto" w:fill="FFFFFF"/>
          </w:tcPr>
          <w:p>
            <w:pPr>
              <w:jc w:val="center"/>
            </w:pPr>
            <w:r/>
            <w:r>
              <w:rPr>
                <w:rFonts w:ascii="Calibri" w:hAnsi="Calibri"/>
                <w:b w:val="0"/>
                <w:i w:val="0"/>
                <w:sz w:val="19"/>
              </w:rPr>
              <w:t>+3.85 ***</w:t>
            </w:r>
          </w:p>
        </w:tc>
        <w:tc>
          <w:tcPr>
            <w:tcW w:type="dxa" w:w="1701"/>
            <w:shd w:val="clear" w:color="auto" w:fill="FFFFFF"/>
          </w:tcPr>
          <w:p>
            <w:pPr>
              <w:jc w:val="center"/>
            </w:pPr>
            <w:r/>
            <w:r>
              <w:rPr>
                <w:rFonts w:ascii="Calibri" w:hAnsi="Calibri"/>
                <w:b w:val="0"/>
                <w:i w:val="0"/>
                <w:sz w:val="19"/>
              </w:rPr>
              <w:t>−7.45 (ns)</w:t>
            </w:r>
          </w:p>
        </w:tc>
        <w:tc>
          <w:tcPr>
            <w:tcW w:type="dxa" w:w="964"/>
            <w:shd w:val="clear" w:color="auto" w:fill="FFFFFF"/>
          </w:tcPr>
          <w:p>
            <w:pPr>
              <w:jc w:val="center"/>
            </w:pPr>
            <w:r/>
            <w:r>
              <w:rPr>
                <w:rFonts w:ascii="Calibri" w:hAnsi="Calibri"/>
                <w:b w:val="0"/>
                <w:i w:val="0"/>
                <w:sz w:val="19"/>
              </w:rPr>
              <w:t>0.559</w:t>
            </w:r>
          </w:p>
        </w:tc>
      </w:tr>
      <w:tr>
        <w:tc>
          <w:tcPr>
            <w:tcW w:type="dxa" w:w="2948"/>
            <w:shd w:val="clear" w:color="auto" w:fill="EEF3FA"/>
          </w:tcPr>
          <w:p>
            <w:pPr>
              <w:jc w:val="left"/>
            </w:pPr>
            <w:r/>
            <w:r>
              <w:rPr>
                <w:rFonts w:ascii="Calibri" w:hAnsi="Calibri"/>
                <w:b w:val="0"/>
                <w:i w:val="0"/>
                <w:sz w:val="19"/>
              </w:rPr>
              <w:t>Post-2023, N=39</w:t>
            </w:r>
          </w:p>
        </w:tc>
        <w:tc>
          <w:tcPr>
            <w:tcW w:type="dxa" w:w="1701"/>
            <w:shd w:val="clear" w:color="auto" w:fill="EEF3FA"/>
          </w:tcPr>
          <w:p>
            <w:pPr>
              <w:jc w:val="center"/>
            </w:pPr>
            <w:r/>
            <w:r>
              <w:rPr>
                <w:rFonts w:ascii="Calibri" w:hAnsi="Calibri"/>
                <w:b w:val="0"/>
                <w:i w:val="0"/>
                <w:sz w:val="19"/>
              </w:rPr>
              <w:t>+2.54 (ns)</w:t>
            </w:r>
          </w:p>
        </w:tc>
        <w:tc>
          <w:tcPr>
            <w:tcW w:type="dxa" w:w="1474"/>
            <w:shd w:val="clear" w:color="auto" w:fill="EEF3FA"/>
          </w:tcPr>
          <w:p>
            <w:pPr>
              <w:jc w:val="center"/>
            </w:pPr>
            <w:r/>
            <w:r>
              <w:rPr>
                <w:rFonts w:ascii="Calibri" w:hAnsi="Calibri"/>
                <w:b w:val="0"/>
                <w:i w:val="0"/>
                <w:sz w:val="19"/>
              </w:rPr>
              <w:t>+6.27 ***</w:t>
            </w:r>
          </w:p>
        </w:tc>
        <w:tc>
          <w:tcPr>
            <w:tcW w:type="dxa" w:w="1701"/>
            <w:shd w:val="clear" w:color="auto" w:fill="EEF3FA"/>
          </w:tcPr>
          <w:p>
            <w:pPr>
              <w:jc w:val="center"/>
            </w:pPr>
            <w:r/>
            <w:r>
              <w:rPr>
                <w:rFonts w:ascii="Calibri" w:hAnsi="Calibri"/>
                <w:b w:val="0"/>
                <w:i w:val="0"/>
                <w:sz w:val="19"/>
              </w:rPr>
              <w:t>−62.92 (ns)</w:t>
            </w:r>
          </w:p>
        </w:tc>
        <w:tc>
          <w:tcPr>
            <w:tcW w:type="dxa" w:w="964"/>
            <w:shd w:val="clear" w:color="auto" w:fill="EEF3FA"/>
          </w:tcPr>
          <w:p>
            <w:pPr>
              <w:jc w:val="center"/>
            </w:pPr>
            <w:r/>
            <w:r>
              <w:rPr>
                <w:rFonts w:ascii="Calibri" w:hAnsi="Calibri"/>
                <w:b w:val="0"/>
                <w:i w:val="0"/>
                <w:sz w:val="19"/>
              </w:rPr>
              <w:t>0.698</w:t>
            </w:r>
          </w:p>
        </w:tc>
      </w:tr>
    </w:tbl>
    <w:p>
      <w:pPr>
        <w:spacing w:after="160" w:before="0"/>
      </w:pPr>
      <w:r>
        <w:rPr>
          <w:rFonts w:ascii="Calibri" w:hAnsi="Calibri"/>
          <w:b w:val="0"/>
          <w:i/>
          <w:sz w:val="18"/>
        </w:rPr>
        <w:t>*** p&lt;0.01, ** p&lt;0.05, ns = not significant. β1 is positive and insignificant in the main specs (it was negative only in the old B-spec). β3 (L) is strongly significant everywhere. β4 is significant in the time series but not in the panel.</w:t>
      </w:r>
    </w:p>
    <w:p>
      <w:pPr>
        <w:spacing w:after="80" w:before="0"/>
      </w:pPr>
      <w:r>
        <w:rPr>
          <w:rFonts w:ascii="Calibri" w:hAnsi="Calibri"/>
          <w:b/>
          <w:i w:val="0"/>
          <w:sz w:val="22"/>
        </w:rPr>
        <w:t>Other results:</w:t>
      </w:r>
    </w:p>
    <w:tbl>
      <w:tblPr>
        <w:tblStyle w:val="TableGrid"/>
        <w:tblW w:type="auto" w:w="0"/>
        <w:jc w:val="center"/>
        <w:tblLook w:firstColumn="1" w:firstRow="1" w:lastColumn="0" w:lastRow="0" w:noHBand="0" w:noVBand="1" w:val="04A0"/>
      </w:tblPr>
      <w:tblGrid>
        <w:gridCol w:w="3211"/>
        <w:gridCol w:w="3211"/>
        <w:gridCol w:w="3211"/>
      </w:tblGrid>
      <w:tr>
        <w:tc>
          <w:tcPr>
            <w:tcW w:type="dxa" w:w="2381"/>
            <w:shd w:val="clear" w:color="auto" w:fill="1B3A72"/>
          </w:tcPr>
          <w:p>
            <w:pPr>
              <w:jc w:val="left"/>
            </w:pPr>
            <w:r>
              <w:rPr>
                <w:color w:val="FFFFFF"/>
              </w:rPr>
            </w:r>
            <w:r>
              <w:rPr>
                <w:rFonts w:ascii="Calibri" w:hAnsi="Calibri"/>
                <w:b/>
                <w:i w:val="0"/>
                <w:color w:val="FFFFFF"/>
                <w:sz w:val="19"/>
              </w:rPr>
              <w:t>Result</w:t>
            </w:r>
          </w:p>
        </w:tc>
        <w:tc>
          <w:tcPr>
            <w:tcW w:type="dxa" w:w="3685"/>
            <w:shd w:val="clear" w:color="auto" w:fill="1B3A72"/>
          </w:tcPr>
          <w:p>
            <w:pPr>
              <w:jc w:val="center"/>
            </w:pPr>
            <w:r>
              <w:rPr>
                <w:color w:val="FFFFFF"/>
              </w:rPr>
            </w:r>
            <w:r>
              <w:rPr>
                <w:rFonts w:ascii="Calibri" w:hAnsi="Calibri"/>
                <w:b/>
                <w:i w:val="0"/>
                <w:color w:val="FFFFFF"/>
                <w:sz w:val="19"/>
              </w:rPr>
              <w:t>Estimate</w:t>
            </w:r>
          </w:p>
        </w:tc>
        <w:tc>
          <w:tcPr>
            <w:tcW w:type="dxa" w:w="2268"/>
            <w:shd w:val="clear" w:color="auto" w:fill="1B3A72"/>
          </w:tcPr>
          <w:p>
            <w:pPr>
              <w:jc w:val="center"/>
            </w:pPr>
            <w:r>
              <w:rPr>
                <w:color w:val="FFFFFF"/>
              </w:rPr>
            </w:r>
            <w:r>
              <w:rPr>
                <w:rFonts w:ascii="Calibri" w:hAnsi="Calibri"/>
                <w:b/>
                <w:i w:val="0"/>
                <w:color w:val="FFFFFF"/>
                <w:sz w:val="19"/>
              </w:rPr>
              <w:t>Status</w:t>
            </w:r>
          </w:p>
        </w:tc>
      </w:tr>
      <w:tr>
        <w:tc>
          <w:tcPr>
            <w:tcW w:type="dxa" w:w="2381"/>
            <w:shd w:val="clear" w:color="auto" w:fill="EEF3FA"/>
          </w:tcPr>
          <w:p>
            <w:pPr>
              <w:jc w:val="left"/>
            </w:pPr>
            <w:r/>
            <w:r>
              <w:rPr>
                <w:rFonts w:ascii="Calibri" w:hAnsi="Calibri"/>
                <w:b w:val="0"/>
                <w:i w:val="0"/>
                <w:sz w:val="19"/>
              </w:rPr>
              <w:t>Threshold q* (Hansen)</w:t>
            </w:r>
          </w:p>
        </w:tc>
        <w:tc>
          <w:tcPr>
            <w:tcW w:type="dxa" w:w="3685"/>
            <w:shd w:val="clear" w:color="auto" w:fill="EEF3FA"/>
          </w:tcPr>
          <w:p>
            <w:pPr>
              <w:jc w:val="center"/>
            </w:pPr>
            <w:r/>
            <w:r>
              <w:rPr>
                <w:rFonts w:ascii="Calibri" w:hAnsi="Calibri"/>
                <w:b w:val="0"/>
                <w:i w:val="0"/>
                <w:sz w:val="19"/>
              </w:rPr>
              <w:t>6.6% (p=0.21)</w:t>
            </w:r>
          </w:p>
        </w:tc>
        <w:tc>
          <w:tcPr>
            <w:tcW w:type="dxa" w:w="2268"/>
            <w:shd w:val="clear" w:color="auto" w:fill="EEF3FA"/>
          </w:tcPr>
          <w:p>
            <w:pPr>
              <w:jc w:val="center"/>
            </w:pPr>
            <w:r/>
            <w:r>
              <w:rPr>
                <w:rFonts w:ascii="Calibri" w:hAnsi="Calibri"/>
                <w:b w:val="0"/>
                <w:i w:val="0"/>
                <w:sz w:val="19"/>
              </w:rPr>
              <w:t>Unstable / not significant</w:t>
            </w:r>
          </w:p>
        </w:tc>
      </w:tr>
      <w:tr>
        <w:tc>
          <w:tcPr>
            <w:tcW w:type="dxa" w:w="2381"/>
            <w:shd w:val="clear" w:color="auto" w:fill="FFFFFF"/>
          </w:tcPr>
          <w:p>
            <w:pPr>
              <w:jc w:val="left"/>
            </w:pPr>
            <w:r/>
            <w:r>
              <w:rPr>
                <w:rFonts w:ascii="Calibri" w:hAnsi="Calibri"/>
                <w:b w:val="0"/>
                <w:i w:val="0"/>
                <w:sz w:val="19"/>
              </w:rPr>
              <w:t>LSTAR midpoint c*</w:t>
            </w:r>
          </w:p>
        </w:tc>
        <w:tc>
          <w:tcPr>
            <w:tcW w:type="dxa" w:w="3685"/>
            <w:shd w:val="clear" w:color="auto" w:fill="FFFFFF"/>
          </w:tcPr>
          <w:p>
            <w:pPr>
              <w:jc w:val="center"/>
            </w:pPr>
            <w:r/>
            <w:r>
              <w:rPr>
                <w:rFonts w:ascii="Calibri" w:hAnsi="Calibri"/>
                <w:b w:val="0"/>
                <w:i w:val="0"/>
                <w:sz w:val="19"/>
              </w:rPr>
              <w:t>6.0%</w:t>
            </w:r>
          </w:p>
        </w:tc>
        <w:tc>
          <w:tcPr>
            <w:tcW w:type="dxa" w:w="2268"/>
            <w:shd w:val="clear" w:color="auto" w:fill="FFFFFF"/>
          </w:tcPr>
          <w:p>
            <w:pPr>
              <w:jc w:val="center"/>
            </w:pPr>
            <w:r/>
            <w:r>
              <w:rPr>
                <w:rFonts w:ascii="Calibri" w:hAnsi="Calibri"/>
                <w:b w:val="0"/>
                <w:i w:val="0"/>
                <w:sz w:val="19"/>
              </w:rPr>
              <w:t>Matches q*, same weak inference</w:t>
            </w:r>
          </w:p>
        </w:tc>
      </w:tr>
      <w:tr>
        <w:tc>
          <w:tcPr>
            <w:tcW w:type="dxa" w:w="2381"/>
            <w:shd w:val="clear" w:color="auto" w:fill="EEF3FA"/>
          </w:tcPr>
          <w:p>
            <w:pPr>
              <w:jc w:val="left"/>
            </w:pPr>
            <w:r/>
            <w:r>
              <w:rPr>
                <w:rFonts w:ascii="Calibri" w:hAnsi="Calibri"/>
                <w:b w:val="0"/>
                <w:i w:val="0"/>
                <w:sz w:val="19"/>
              </w:rPr>
              <w:t>Event study (3 events)</w:t>
            </w:r>
          </w:p>
        </w:tc>
        <w:tc>
          <w:tcPr>
            <w:tcW w:type="dxa" w:w="3685"/>
            <w:shd w:val="clear" w:color="auto" w:fill="EEF3FA"/>
          </w:tcPr>
          <w:p>
            <w:pPr>
              <w:jc w:val="center"/>
            </w:pPr>
            <w:r/>
            <w:r>
              <w:rPr>
                <w:rFonts w:ascii="Calibri" w:hAnsi="Calibri"/>
                <w:b w:val="0"/>
                <w:i w:val="0"/>
                <w:sz w:val="19"/>
              </w:rPr>
              <w:t>CAR −15 to −2 bps, all ns</w:t>
            </w:r>
          </w:p>
        </w:tc>
        <w:tc>
          <w:tcPr>
            <w:tcW w:type="dxa" w:w="2268"/>
            <w:shd w:val="clear" w:color="auto" w:fill="EEF3FA"/>
          </w:tcPr>
          <w:p>
            <w:pPr>
              <w:jc w:val="center"/>
            </w:pPr>
            <w:r/>
            <w:r>
              <w:rPr>
                <w:rFonts w:ascii="Calibri" w:hAnsi="Calibri"/>
                <w:b w:val="0"/>
                <w:i w:val="0"/>
                <w:sz w:val="19"/>
              </w:rPr>
              <w:t>Not significant</w:t>
            </w:r>
          </w:p>
        </w:tc>
      </w:tr>
      <w:tr>
        <w:tc>
          <w:tcPr>
            <w:tcW w:type="dxa" w:w="2381"/>
            <w:shd w:val="clear" w:color="auto" w:fill="FFFFFF"/>
          </w:tcPr>
          <w:p>
            <w:pPr>
              <w:jc w:val="left"/>
            </w:pPr>
            <w:r/>
            <w:r>
              <w:rPr>
                <w:rFonts w:ascii="Calibri" w:hAnsi="Calibri"/>
                <w:b w:val="0"/>
                <w:i w:val="0"/>
                <w:sz w:val="19"/>
              </w:rPr>
              <w:t>Placebo test</w:t>
            </w:r>
          </w:p>
        </w:tc>
        <w:tc>
          <w:tcPr>
            <w:tcW w:type="dxa" w:w="3685"/>
            <w:shd w:val="clear" w:color="auto" w:fill="FFFFFF"/>
          </w:tcPr>
          <w:p>
            <w:pPr>
              <w:jc w:val="center"/>
            </w:pPr>
            <w:r/>
            <w:r>
              <w:rPr>
                <w:rFonts w:ascii="Calibri" w:hAnsi="Calibri"/>
                <w:b w:val="0"/>
                <w:i w:val="0"/>
                <w:sz w:val="19"/>
              </w:rPr>
              <w:t>Actual ≈ placebo, indistinguishable</w:t>
            </w:r>
          </w:p>
        </w:tc>
        <w:tc>
          <w:tcPr>
            <w:tcW w:type="dxa" w:w="2268"/>
            <w:shd w:val="clear" w:color="auto" w:fill="FFFFFF"/>
          </w:tcPr>
          <w:p>
            <w:pPr>
              <w:jc w:val="center"/>
            </w:pPr>
            <w:r/>
            <w:r>
              <w:rPr>
                <w:rFonts w:ascii="Calibri" w:hAnsi="Calibri"/>
                <w:b w:val="0"/>
                <w:i w:val="0"/>
                <w:sz w:val="19"/>
              </w:rPr>
              <w:t>No clean effect</w:t>
            </w:r>
          </w:p>
        </w:tc>
      </w:tr>
      <w:tr>
        <w:tc>
          <w:tcPr>
            <w:tcW w:type="dxa" w:w="2381"/>
            <w:shd w:val="clear" w:color="auto" w:fill="EEF3FA"/>
          </w:tcPr>
          <w:p>
            <w:pPr>
              <w:jc w:val="left"/>
            </w:pPr>
            <w:r/>
            <w:r>
              <w:rPr>
                <w:rFonts w:ascii="Calibri" w:hAnsi="Calibri"/>
                <w:b w:val="0"/>
                <w:i w:val="0"/>
                <w:sz w:val="19"/>
              </w:rPr>
              <w:t>Bid-cover: USDT vs USDC</w:t>
            </w:r>
          </w:p>
        </w:tc>
        <w:tc>
          <w:tcPr>
            <w:tcW w:type="dxa" w:w="3685"/>
            <w:shd w:val="clear" w:color="auto" w:fill="EEF3FA"/>
          </w:tcPr>
          <w:p>
            <w:pPr>
              <w:jc w:val="center"/>
            </w:pPr>
            <w:r/>
            <w:r>
              <w:rPr>
                <w:rFonts w:ascii="Calibri" w:hAnsi="Calibri"/>
                <w:b w:val="0"/>
                <w:i w:val="0"/>
                <w:sz w:val="19"/>
              </w:rPr>
              <w:t>USDT −1.2 to −1.6 *** (4 maturities); USDC ns; Wald p&lt;0.001</w:t>
            </w:r>
          </w:p>
        </w:tc>
        <w:tc>
          <w:tcPr>
            <w:tcW w:type="dxa" w:w="2268"/>
            <w:shd w:val="clear" w:color="auto" w:fill="EEF3FA"/>
          </w:tcPr>
          <w:p>
            <w:pPr>
              <w:jc w:val="center"/>
            </w:pPr>
            <w:r/>
            <w:r>
              <w:rPr>
                <w:rFonts w:ascii="Calibri" w:hAnsi="Calibri"/>
                <w:b w:val="0"/>
                <w:i w:val="0"/>
                <w:sz w:val="19"/>
              </w:rPr>
              <w:t>Significant / clean</w:t>
            </w:r>
          </w:p>
        </w:tc>
      </w:tr>
    </w:tbl>
    <w:p>
      <w:pPr>
        <w:spacing w:after="160" w:before="0"/>
      </w:pPr>
      <w:r>
        <w:rPr>
          <w:rFonts w:ascii="Calibri" w:hAnsi="Calibri"/>
          <w:b w:val="0"/>
          <w:i/>
          <w:sz w:val="18"/>
        </w:rPr>
        <w:t>Note: the threshold q* is not robust. Its bootstrap p-value is 0.21 (not significant) and the 90% CI is very wide [6.6%, 19.0%], so the 13% threshold from the earlier deck is not supported.</w:t>
      </w:r>
    </w:p>
    <w:p>
      <w:pPr>
        <w:spacing w:before="280" w:after="80"/>
      </w:pPr>
      <w:r>
        <w:rPr>
          <w:rFonts w:ascii="Calibri" w:hAnsi="Calibri"/>
          <w:b/>
          <w:i w:val="0"/>
          <w:color w:val="1B3A72"/>
          <w:sz w:val="26"/>
        </w:rPr>
        <w:t>5. Why the signs are opposite to the original predictions</w:t>
      </w:r>
    </w:p>
    <w:p>
      <w:pPr>
        <w:spacing w:after="80" w:before="0"/>
      </w:pPr>
      <w:r>
        <w:rPr>
          <w:rFonts w:ascii="Calibri" w:hAnsi="Calibri"/>
          <w:b w:val="0"/>
          <w:i w:val="0"/>
          <w:sz w:val="22"/>
        </w:rPr>
        <w:t>The slide-5 predictions (β1&lt;0, β2&gt;0, β4&gt;0) do not hold in the data. The reason is a spurious-regression problem in the level specification:</w:t>
      </w:r>
    </w:p>
    <w:p>
      <w:pPr>
        <w:pStyle w:val="ListBullet"/>
        <w:spacing w:after="60"/>
      </w:pPr>
      <w:r>
        <w:rPr>
          <w:rFonts w:ascii="Calibri" w:hAnsi="Calibri"/>
          <w:b w:val="0"/>
          <w:i w:val="0"/>
          <w:sz w:val="21"/>
        </w:rPr>
        <w:t>spread and L are both non-stationary (ADF p = 0.49 and 0.90); only ΔlnS is stationary.</w:t>
      </w:r>
    </w:p>
    <w:p>
      <w:pPr>
        <w:pStyle w:val="ListBullet"/>
        <w:spacing w:after="60"/>
      </w:pPr>
      <w:r>
        <w:rPr>
          <w:rFonts w:ascii="Calibri" w:hAnsi="Calibri"/>
          <w:b w:val="0"/>
          <w:i w:val="0"/>
          <w:sz w:val="21"/>
        </w:rPr>
        <w:t>spread and L are not cointegrated (Engle–Granger p = 0.12–0.22) — the level regression is therefore not statistically valid as a long-run relationship.</w:t>
      </w:r>
    </w:p>
    <w:p>
      <w:pPr>
        <w:pStyle w:val="ListBullet"/>
        <w:spacing w:after="60"/>
      </w:pPr>
      <w:r>
        <w:rPr>
          <w:rFonts w:ascii="Calibri" w:hAnsi="Calibri"/>
          <w:b w:val="0"/>
          <w:i w:val="0"/>
          <w:sz w:val="21"/>
        </w:rPr>
        <w:t>spread and L both trend downward over 2022–2025 (spread +0.84 → −0.29; L 0.19 → 0.06). The high correlation (0.89) is largely a shared trend, plausibly driven by the Fed rate cycle (corr with fed funds: spread −0.48, L −0.57).</w:t>
      </w:r>
    </w:p>
    <w:p>
      <w:pPr>
        <w:pStyle w:val="ListBullet"/>
        <w:spacing w:after="60"/>
      </w:pPr>
      <w:r>
        <w:rPr>
          <w:rFonts w:ascii="Calibri" w:hAnsi="Calibri"/>
          <w:b w:val="0"/>
          <w:i w:val="0"/>
          <w:sz w:val="21"/>
        </w:rPr>
        <w:t>First-differencing (which removes the trend) makes β1 and β4 disappear (p = 0.92 and 0.13–0.24). Only β3 (L) survives.</w:t>
      </w:r>
    </w:p>
    <w:p>
      <w:pPr>
        <w:spacing w:before="280" w:after="80"/>
      </w:pPr>
      <w:r>
        <w:rPr>
          <w:rFonts w:ascii="Calibri" w:hAnsi="Calibri"/>
          <w:b/>
          <w:i w:val="0"/>
          <w:color w:val="1B3A72"/>
          <w:sz w:val="26"/>
        </w:rPr>
        <w:t>6. What further investigation showed</w:t>
      </w:r>
    </w:p>
    <w:p>
      <w:pPr>
        <w:spacing w:after="80" w:before="0"/>
      </w:pPr>
      <w:r>
        <w:rPr>
          <w:rFonts w:ascii="Calibri" w:hAnsi="Calibri"/>
          <w:b w:val="0"/>
          <w:i w:val="0"/>
          <w:sz w:val="22"/>
        </w:rPr>
        <w:t>Ranking the findings by how robust they are to the spurious-regression checks:</w:t>
      </w:r>
    </w:p>
    <w:tbl>
      <w:tblPr>
        <w:tblStyle w:val="TableGrid"/>
        <w:tblW w:type="auto" w:w="0"/>
        <w:jc w:val="center"/>
        <w:tblLook w:firstColumn="1" w:firstRow="1" w:lastColumn="0" w:lastRow="0" w:noHBand="0" w:noVBand="1" w:val="04A0"/>
      </w:tblPr>
      <w:tblGrid>
        <w:gridCol w:w="3211"/>
        <w:gridCol w:w="3211"/>
        <w:gridCol w:w="3211"/>
      </w:tblGrid>
      <w:tr>
        <w:tc>
          <w:tcPr>
            <w:tcW w:type="dxa" w:w="3288"/>
            <w:shd w:val="clear" w:color="auto" w:fill="1B3A72"/>
          </w:tcPr>
          <w:p>
            <w:pPr>
              <w:jc w:val="left"/>
            </w:pPr>
            <w:r>
              <w:rPr>
                <w:color w:val="FFFFFF"/>
              </w:rPr>
            </w:r>
            <w:r>
              <w:rPr>
                <w:rFonts w:ascii="Calibri" w:hAnsi="Calibri"/>
                <w:b/>
                <w:i w:val="0"/>
                <w:color w:val="FFFFFF"/>
                <w:sz w:val="19"/>
              </w:rPr>
              <w:t>Claim</w:t>
            </w:r>
          </w:p>
        </w:tc>
        <w:tc>
          <w:tcPr>
            <w:tcW w:type="dxa" w:w="1247"/>
            <w:shd w:val="clear" w:color="auto" w:fill="1B3A72"/>
          </w:tcPr>
          <w:p>
            <w:pPr>
              <w:jc w:val="center"/>
            </w:pPr>
            <w:r>
              <w:rPr>
                <w:color w:val="FFFFFF"/>
              </w:rPr>
            </w:r>
            <w:r>
              <w:rPr>
                <w:rFonts w:ascii="Calibri" w:hAnsi="Calibri"/>
                <w:b/>
                <w:i w:val="0"/>
                <w:color w:val="FFFFFF"/>
                <w:sz w:val="19"/>
              </w:rPr>
              <w:t>Holds up?</w:t>
            </w:r>
          </w:p>
        </w:tc>
        <w:tc>
          <w:tcPr>
            <w:tcW w:type="dxa" w:w="3798"/>
            <w:shd w:val="clear" w:color="auto" w:fill="1B3A72"/>
          </w:tcPr>
          <w:p>
            <w:pPr>
              <w:jc w:val="center"/>
            </w:pPr>
            <w:r>
              <w:rPr>
                <w:color w:val="FFFFFF"/>
              </w:rPr>
            </w:r>
            <w:r>
              <w:rPr>
                <w:rFonts w:ascii="Calibri" w:hAnsi="Calibri"/>
                <w:b/>
                <w:i w:val="0"/>
                <w:color w:val="FFFFFF"/>
                <w:sz w:val="19"/>
              </w:rPr>
              <w:t>Evidence</w:t>
            </w:r>
          </w:p>
        </w:tc>
      </w:tr>
      <w:tr>
        <w:tc>
          <w:tcPr>
            <w:tcW w:type="dxa" w:w="3288"/>
            <w:shd w:val="clear" w:color="auto" w:fill="EEF3FA"/>
          </w:tcPr>
          <w:p>
            <w:pPr>
              <w:jc w:val="left"/>
            </w:pPr>
            <w:r/>
            <w:r>
              <w:rPr>
                <w:rFonts w:ascii="Calibri" w:hAnsi="Calibri"/>
                <w:b w:val="0"/>
                <w:i w:val="0"/>
                <w:sz w:val="19"/>
              </w:rPr>
              <w:t>β1: supply growth compresses the spread (privilege)</w:t>
            </w:r>
          </w:p>
        </w:tc>
        <w:tc>
          <w:tcPr>
            <w:tcW w:type="dxa" w:w="1247"/>
            <w:shd w:val="clear" w:color="auto" w:fill="EEF3FA"/>
          </w:tcPr>
          <w:p>
            <w:pPr>
              <w:jc w:val="center"/>
            </w:pPr>
            <w:r/>
            <w:r>
              <w:rPr>
                <w:rFonts w:ascii="Calibri" w:hAnsi="Calibri"/>
                <w:b w:val="0"/>
                <w:i w:val="0"/>
                <w:sz w:val="19"/>
              </w:rPr>
              <w:t>No</w:t>
            </w:r>
          </w:p>
        </w:tc>
        <w:tc>
          <w:tcPr>
            <w:tcW w:type="dxa" w:w="3798"/>
            <w:shd w:val="clear" w:color="auto" w:fill="EEF3FA"/>
          </w:tcPr>
          <w:p>
            <w:pPr>
              <w:jc w:val="center"/>
            </w:pPr>
            <w:r/>
            <w:r>
              <w:rPr>
                <w:rFonts w:ascii="Calibri" w:hAnsi="Calibri"/>
                <w:b w:val="0"/>
                <w:i w:val="0"/>
                <w:sz w:val="19"/>
              </w:rPr>
              <w:t>Vanishes after differencing; not cointegrated</w:t>
            </w:r>
          </w:p>
        </w:tc>
      </w:tr>
      <w:tr>
        <w:tc>
          <w:tcPr>
            <w:tcW w:type="dxa" w:w="3288"/>
            <w:shd w:val="clear" w:color="auto" w:fill="FFFFFF"/>
          </w:tcPr>
          <w:p>
            <w:pPr>
              <w:jc w:val="left"/>
            </w:pPr>
            <w:r/>
            <w:r>
              <w:rPr>
                <w:rFonts w:ascii="Calibri" w:hAnsi="Calibri"/>
                <w:b w:val="0"/>
                <w:i w:val="0"/>
                <w:sz w:val="19"/>
              </w:rPr>
              <w:t>β4: liquid-buffer threshold / fragility</w:t>
            </w:r>
          </w:p>
        </w:tc>
        <w:tc>
          <w:tcPr>
            <w:tcW w:type="dxa" w:w="1247"/>
            <w:shd w:val="clear" w:color="auto" w:fill="FFFFFF"/>
          </w:tcPr>
          <w:p>
            <w:pPr>
              <w:jc w:val="center"/>
            </w:pPr>
            <w:r/>
            <w:r>
              <w:rPr>
                <w:rFonts w:ascii="Calibri" w:hAnsi="Calibri"/>
                <w:b w:val="0"/>
                <w:i w:val="0"/>
                <w:sz w:val="19"/>
              </w:rPr>
              <w:t>Weak</w:t>
            </w:r>
          </w:p>
        </w:tc>
        <w:tc>
          <w:tcPr>
            <w:tcW w:type="dxa" w:w="3798"/>
            <w:shd w:val="clear" w:color="auto" w:fill="FFFFFF"/>
          </w:tcPr>
          <w:p>
            <w:pPr>
              <w:jc w:val="center"/>
            </w:pPr>
            <w:r/>
            <w:r>
              <w:rPr>
                <w:rFonts w:ascii="Calibri" w:hAnsi="Calibri"/>
                <w:b w:val="0"/>
                <w:i w:val="0"/>
                <w:sz w:val="19"/>
              </w:rPr>
              <w:t>Significant in levels only; gone after differencing; q* unstable</w:t>
            </w:r>
          </w:p>
        </w:tc>
      </w:tr>
      <w:tr>
        <w:tc>
          <w:tcPr>
            <w:tcW w:type="dxa" w:w="3288"/>
            <w:shd w:val="clear" w:color="auto" w:fill="EEF3FA"/>
          </w:tcPr>
          <w:p>
            <w:pPr>
              <w:jc w:val="left"/>
            </w:pPr>
            <w:r/>
            <w:r>
              <w:rPr>
                <w:rFonts w:ascii="Calibri" w:hAnsi="Calibri"/>
                <w:b w:val="0"/>
                <w:i w:val="0"/>
                <w:sz w:val="19"/>
              </w:rPr>
              <w:t>β3: L level co-moves with the spread</w:t>
            </w:r>
          </w:p>
        </w:tc>
        <w:tc>
          <w:tcPr>
            <w:tcW w:type="dxa" w:w="1247"/>
            <w:shd w:val="clear" w:color="auto" w:fill="EEF3FA"/>
          </w:tcPr>
          <w:p>
            <w:pPr>
              <w:jc w:val="center"/>
            </w:pPr>
            <w:r/>
            <w:r>
              <w:rPr>
                <w:rFonts w:ascii="Calibri" w:hAnsi="Calibri"/>
                <w:b w:val="0"/>
                <w:i w:val="0"/>
                <w:sz w:val="19"/>
              </w:rPr>
              <w:t>Yes</w:t>
            </w:r>
          </w:p>
        </w:tc>
        <w:tc>
          <w:tcPr>
            <w:tcW w:type="dxa" w:w="3798"/>
            <w:shd w:val="clear" w:color="auto" w:fill="EEF3FA"/>
          </w:tcPr>
          <w:p>
            <w:pPr>
              <w:jc w:val="center"/>
            </w:pPr>
            <w:r/>
            <w:r>
              <w:rPr>
                <w:rFonts w:ascii="Calibri" w:hAnsi="Calibri"/>
                <w:b w:val="0"/>
                <w:i w:val="0"/>
                <w:sz w:val="19"/>
              </w:rPr>
              <w:t>Significant in all specs and after differencing</w:t>
            </w:r>
          </w:p>
        </w:tc>
      </w:tr>
      <w:tr>
        <w:tc>
          <w:tcPr>
            <w:tcW w:type="dxa" w:w="3288"/>
            <w:shd w:val="clear" w:color="auto" w:fill="FFFFFF"/>
          </w:tcPr>
          <w:p>
            <w:pPr>
              <w:jc w:val="left"/>
            </w:pPr>
            <w:r/>
            <w:r>
              <w:rPr>
                <w:rFonts w:ascii="Calibri" w:hAnsi="Calibri"/>
                <w:b w:val="0"/>
                <w:i w:val="0"/>
                <w:sz w:val="19"/>
              </w:rPr>
              <w:t>Bid-cover: USDT (T-bill heavy) moves auctions, USDC does not</w:t>
            </w:r>
          </w:p>
        </w:tc>
        <w:tc>
          <w:tcPr>
            <w:tcW w:type="dxa" w:w="1247"/>
            <w:shd w:val="clear" w:color="auto" w:fill="FFFFFF"/>
          </w:tcPr>
          <w:p>
            <w:pPr>
              <w:jc w:val="center"/>
            </w:pPr>
            <w:r/>
            <w:r>
              <w:rPr>
                <w:rFonts w:ascii="Calibri" w:hAnsi="Calibri"/>
                <w:b w:val="0"/>
                <w:i w:val="0"/>
                <w:sz w:val="19"/>
              </w:rPr>
              <w:t>Yes</w:t>
            </w:r>
          </w:p>
        </w:tc>
        <w:tc>
          <w:tcPr>
            <w:tcW w:type="dxa" w:w="3798"/>
            <w:shd w:val="clear" w:color="auto" w:fill="FFFFFF"/>
          </w:tcPr>
          <w:p>
            <w:pPr>
              <w:jc w:val="center"/>
            </w:pPr>
            <w:r/>
            <w:r>
              <w:rPr>
                <w:rFonts w:ascii="Calibri" w:hAnsi="Calibri"/>
                <w:b w:val="0"/>
                <w:i w:val="0"/>
                <w:sz w:val="19"/>
              </w:rPr>
              <w:t>Spread-independent; not affected by the spurious problem</w:t>
            </w:r>
          </w:p>
        </w:tc>
      </w:tr>
    </w:tbl>
    <w:p>
      <w:pPr>
        <w:spacing w:after="120" w:before="0"/>
      </w:pPr>
      <w:r>
        <w:rPr>
          <w:rFonts w:ascii="Calibri" w:hAnsi="Calibri"/>
          <w:b w:val="0"/>
          <w:i w:val="0"/>
          <w:sz w:val="22"/>
        </w:rPr>
        <w:t>The two claims the paper originally led with (β1 privilege amplification and the β4 / 13% threshold) are the weakest once non-stationarity is accounted for. The bid-cover result (USDT vs USDC) is the cleanest because it compares two issuers in the same macro environment, so the shared trend cancels out and the spurious problem does not apply.</w:t>
      </w:r>
    </w:p>
    <w:p>
      <w:pPr>
        <w:spacing w:before="280" w:after="80"/>
      </w:pPr>
      <w:r>
        <w:rPr>
          <w:rFonts w:ascii="Calibri" w:hAnsi="Calibri"/>
          <w:b/>
          <w:i w:val="0"/>
          <w:color w:val="1B3A72"/>
          <w:sz w:val="26"/>
        </w:rPr>
        <w:t>7. Summary</w:t>
      </w:r>
    </w:p>
    <w:p>
      <w:pPr>
        <w:pStyle w:val="ListBullet"/>
        <w:spacing w:after="60"/>
      </w:pPr>
      <w:r>
        <w:rPr>
          <w:rFonts w:ascii="Calibri" w:hAnsi="Calibri"/>
          <w:b w:val="0"/>
          <w:i w:val="0"/>
          <w:sz w:val="21"/>
        </w:rPr>
        <w:t>The code now matches the professor's spec exactly (no θ, no B, L + L×ΔlnS, panel, moving average).</w:t>
      </w:r>
    </w:p>
    <w:p>
      <w:pPr>
        <w:pStyle w:val="ListBullet"/>
        <w:spacing w:after="60"/>
      </w:pPr>
      <w:r>
        <w:rPr>
          <w:rFonts w:ascii="Calibri" w:hAnsi="Calibri"/>
          <w:b w:val="0"/>
          <w:i w:val="0"/>
          <w:sz w:val="21"/>
        </w:rPr>
        <w:t>Under that spec, β1 (privilege) is insignificant and β4 (threshold) is significant only in the time series, not the panel.</w:t>
      </w:r>
    </w:p>
    <w:p>
      <w:pPr>
        <w:pStyle w:val="ListBullet"/>
        <w:spacing w:after="60"/>
      </w:pPr>
      <w:r>
        <w:rPr>
          <w:rFonts w:ascii="Calibri" w:hAnsi="Calibri"/>
          <w:b w:val="0"/>
          <w:i w:val="0"/>
          <w:sz w:val="21"/>
        </w:rPr>
        <w:t>Diagnostics show the level results carry a spurious-regression risk: only β3 (L) and the bid-cover result are robust.</w:t>
      </w:r>
    </w:p>
    <w:p>
      <w:pPr>
        <w:pStyle w:val="ListBullet"/>
        <w:spacing w:after="60"/>
      </w:pPr>
      <w:r>
        <w:rPr>
          <w:rFonts w:ascii="Calibri" w:hAnsi="Calibri"/>
          <w:b w:val="0"/>
          <w:i w:val="0"/>
          <w:sz w:val="21"/>
        </w:rPr>
        <w:t>The threshold q* is not significant (p=0.21) and its CI is wide, so the 13% threshold is not supported.</w:t>
      </w:r>
    </w:p>
    <w:p>
      <w:pPr>
        <w:pStyle w:val="ListBullet"/>
        <w:spacing w:after="60"/>
      </w:pPr>
      <w:r>
        <w:rPr>
          <w:rFonts w:ascii="Calibri" w:hAnsi="Calibri"/>
          <w:b w:val="0"/>
          <w:i w:val="0"/>
          <w:sz w:val="21"/>
        </w:rPr>
        <w:t>Open decisions for the team: (a) whether to keep θ as a robustness column, (b) whether to make the bid-cover result the main evidence, and (c) how to present β1 and the threshold given the spurious-regression risk.</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