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EF3F05">
      <w:pPr>
        <w:spacing w:after="40"/>
        <w:jc w:val="center"/>
        <w:rPr>
          <w:u w:val="none"/>
        </w:rPr>
      </w:pPr>
      <w:r>
        <w:rPr>
          <w:rFonts w:ascii="Times New Roman" w:hAnsi="Times New Roman"/>
          <w:b/>
          <w:color w:val="000000"/>
          <w:sz w:val="32"/>
          <w:u w:val="none"/>
        </w:rPr>
        <w:t>Stablecoins and the Exorbitant Privilege:</w:t>
      </w:r>
    </w:p>
    <w:p w14:paraId="266532B4">
      <w:pPr>
        <w:spacing w:after="40"/>
        <w:jc w:val="center"/>
        <w:rPr>
          <w:u w:val="none"/>
        </w:rPr>
      </w:pPr>
      <w:r>
        <w:rPr>
          <w:rFonts w:ascii="Times New Roman" w:hAnsi="Times New Roman"/>
          <w:b/>
          <w:color w:val="000000"/>
          <w:sz w:val="28"/>
          <w:u w:val="none"/>
        </w:rPr>
        <w:t>Reserve Buffer Adequacy and OIS–Treasury Spread Dynamics</w:t>
      </w:r>
      <w:r>
        <w:rPr>
          <w:rFonts w:ascii="Times New Roman" w:hAnsi="Times New Roman"/>
          <w:b/>
          <w:color w:val="000000"/>
          <w:sz w:val="28"/>
          <w:u w:val="none"/>
        </w:rPr>
        <w:br w:type="textWrapping"/>
      </w:r>
    </w:p>
    <w:p w14:paraId="3753932A">
      <w:pPr>
        <w:jc w:val="center"/>
      </w:pPr>
      <w:r>
        <w:rPr>
          <w:rFonts w:ascii="Times New Roman" w:hAnsi="Times New Roman"/>
          <w:sz w:val="24"/>
        </w:rPr>
        <w:t>Mireu Mimi Kim (2025462112)</w:t>
      </w:r>
    </w:p>
    <w:p w14:paraId="5EFB5C97">
      <w:pPr>
        <w:jc w:val="center"/>
      </w:pPr>
      <w:r>
        <w:rPr>
          <w:rFonts w:ascii="Times New Roman" w:hAnsi="Times New Roman"/>
          <w:sz w:val="24"/>
        </w:rPr>
        <w:t>Sara Ambre Chekroune (2025462014)</w:t>
      </w:r>
    </w:p>
    <w:p w14:paraId="6A739E7C">
      <w:pPr>
        <w:jc w:val="center"/>
      </w:pPr>
      <w:r>
        <w:rPr>
          <w:rFonts w:ascii="Times New Roman" w:hAnsi="Times New Roman"/>
          <w:sz w:val="24"/>
        </w:rPr>
        <w:t>Oybek Ibragimov (2024462029)</w:t>
      </w:r>
    </w:p>
    <w:p w14:paraId="1F277CDE">
      <w:pPr>
        <w:jc w:val="center"/>
      </w:pPr>
      <w:r>
        <w:rPr>
          <w:rFonts w:ascii="Times New Roman" w:hAnsi="Times New Roman"/>
          <w:sz w:val="24"/>
        </w:rPr>
        <w:t>Jade Zhu (2026846114)</w:t>
      </w:r>
    </w:p>
    <w:p w14:paraId="4CD02371">
      <w:pPr>
        <w:jc w:val="center"/>
      </w:pPr>
      <w:r>
        <w:rPr>
          <w:rFonts w:ascii="Times New Roman" w:hAnsi="Times New Roman"/>
          <w:sz w:val="24"/>
        </w:rPr>
        <w:t>Alexandre Godefroy (2026846111)</w:t>
      </w:r>
    </w:p>
    <w:p w14:paraId="7482EF9D">
      <w:pPr>
        <w:jc w:val="center"/>
      </w:pPr>
      <w:r>
        <w:rPr>
          <w:rFonts w:ascii="Times New Roman" w:hAnsi="Times New Roman"/>
          <w:sz w:val="24"/>
        </w:rPr>
        <w:t>Baptiste Degand (2026847313)</w:t>
      </w:r>
    </w:p>
    <w:p w14:paraId="4354FDE4">
      <w:pPr>
        <w:jc w:val="center"/>
      </w:pPr>
      <w:r>
        <w:rPr>
          <w:rFonts w:ascii="Times New Roman" w:hAnsi="Times New Roman"/>
          <w:sz w:val="24"/>
        </w:rPr>
        <w:t>Minjin Kim (2025461111)</w:t>
      </w:r>
    </w:p>
    <w:p w14:paraId="7F262B57">
      <w:pPr>
        <w:jc w:val="center"/>
      </w:pPr>
      <w:r>
        <w:rPr>
          <w:rFonts w:ascii="Times New Roman" w:hAnsi="Times New Roman"/>
          <w:i/>
          <w:sz w:val="24"/>
        </w:rPr>
        <w:t>Yonsei GSIS — Topics in International Finance (2026-1)</w:t>
      </w:r>
    </w:p>
    <w:p w14:paraId="76F7182B">
      <w:pPr>
        <w:jc w:val="center"/>
      </w:pPr>
      <w:r>
        <w:rPr>
          <w:rFonts w:ascii="Times New Roman" w:hAnsi="Times New Roman"/>
          <w:sz w:val="24"/>
        </w:rPr>
        <w:t>June 2026</w:t>
      </w:r>
    </w:p>
    <w:p w14:paraId="790EA703">
      <w:pPr>
        <w:jc w:val="center"/>
      </w:pPr>
      <w:r>
        <w:rPr>
          <w:rFonts w:ascii="Times New Roman" w:hAnsi="Times New Roman"/>
          <w:b/>
          <w:sz w:val="24"/>
        </w:rPr>
        <w:t>JEL Classification:</w:t>
      </w:r>
      <w:r>
        <w:rPr>
          <w:rFonts w:ascii="Times New Roman" w:hAnsi="Times New Roman"/>
          <w:sz w:val="24"/>
        </w:rPr>
        <w:t xml:space="preserve"> E44, F31, G12, G18, G23</w:t>
      </w:r>
    </w:p>
    <w:p w14:paraId="6293BBFE">
      <w:pPr>
        <w:spacing w:before="200" w:after="80"/>
      </w:pPr>
      <w:r>
        <w:rPr>
          <w:rFonts w:ascii="Times New Roman" w:hAnsi="Times New Roman"/>
          <w:b/>
          <w:color w:val="000000"/>
          <w:sz w:val="28"/>
        </w:rPr>
        <w:t>Abstract</w:t>
      </w:r>
    </w:p>
    <w:p w14:paraId="7B13D310">
      <w:pPr>
        <w:jc w:val="both"/>
      </w:pPr>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14:paraId="317C068F">
      <w:pPr>
        <w:jc w:val="both"/>
      </w:pPr>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14:paraId="011E0B75">
      <w:pPr>
        <w:spacing w:before="200" w:after="80"/>
      </w:pPr>
      <w:r>
        <w:rPr>
          <w:rFonts w:ascii="Times New Roman" w:hAnsi="Times New Roman"/>
          <w:b/>
          <w:color w:val="000000"/>
          <w:sz w:val="28"/>
        </w:rPr>
        <w:t>Acknowledgements</w:t>
      </w:r>
    </w:p>
    <w:p w14:paraId="0BAC1C0B">
      <w:pPr>
        <w:jc w:val="both"/>
      </w:pPr>
      <w:r>
        <w:rPr>
          <w:rFonts w:ascii="Times New Roman" w:hAnsi="Times New Roman"/>
          <w:sz w:val="24"/>
        </w:rPr>
        <w:t>The authors thank Professor Hur Sewon for detailed feedback at multiple stages of this project. All errors are our own. Replication code and data are available at https://github.com/kimmireu0921/Stablecoins-and-the-Exorbitant-Privilege.</w:t>
      </w:r>
    </w:p>
    <w:p w14:paraId="67F2DE38">
      <w:pPr>
        <w:spacing w:before="200" w:after="80"/>
      </w:pPr>
      <w:r>
        <w:rPr>
          <w:rFonts w:ascii="Times New Roman" w:hAnsi="Times New Roman"/>
          <w:b/>
          <w:color w:val="000000"/>
          <w:sz w:val="28"/>
        </w:rPr>
        <w:t>1. Introduction</w:t>
      </w:r>
    </w:p>
    <w:p w14:paraId="0F805E70">
      <w:pPr>
        <w:jc w:val="both"/>
      </w:pPr>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14:paraId="24A4B24A">
      <w:pPr>
        <w:jc w:val="both"/>
      </w:pPr>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14:paraId="3DD6D7CE">
      <w:pPr>
        <w:jc w:val="both"/>
      </w:pPr>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14:paraId="325DA747">
      <w:pPr>
        <w:jc w:val="both"/>
      </w:pPr>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14:paraId="517ADA37">
      <w:pPr>
        <w:jc w:val="both"/>
      </w:pPr>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14:paraId="3AC93301">
      <w:pPr>
        <w:jc w:val="both"/>
      </w:pPr>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14:paraId="4C4A3EA5">
      <w:pPr>
        <w:spacing w:before="200" w:after="80"/>
      </w:pPr>
      <w:r>
        <w:rPr>
          <w:rFonts w:ascii="Times New Roman" w:hAnsi="Times New Roman"/>
          <w:b/>
          <w:color w:val="000000"/>
          <w:sz w:val="28"/>
        </w:rPr>
        <w:t>2. Methodology</w:t>
      </w:r>
    </w:p>
    <w:p w14:paraId="0F78F6C0">
      <w:pPr>
        <w:spacing w:before="200" w:after="80"/>
      </w:pPr>
      <w:r>
        <w:rPr>
          <w:rFonts w:ascii="Times New Roman" w:hAnsi="Times New Roman"/>
          <w:b/>
          <w:color w:val="000000"/>
          <w:sz w:val="24"/>
        </w:rPr>
        <w:t>2.1 Theoretical Framework</w:t>
      </w:r>
    </w:p>
    <w:p w14:paraId="3D70D87F">
      <w:pPr>
        <w:jc w:val="both"/>
      </w:pPr>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14:paraId="0B81F920">
      <w:pPr>
        <w:jc w:val="both"/>
      </w:pPr>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14:paraId="4D1C5FFE">
      <w:pPr>
        <w:jc w:val="both"/>
      </w:pPr>
      <w:r>
        <w:rPr>
          <w:rFonts w:ascii="Times New Roman" w:hAnsi="Times New Roman"/>
          <w:sz w:val="24"/>
        </w:rPr>
        <w:t xml:space="preserve">For *L &gt; L***: ∂Spread / ∂(ΔlnS) ≈ β₁ &lt; 0 </w:t>
      </w:r>
      <w:r>
        <w:rPr>
          <w:rFonts w:ascii="Times New Roman" w:hAnsi="Times New Roman"/>
          <w:i/>
          <w:sz w:val="24"/>
        </w:rPr>
        <w:t>(convenience yield compression dominates)</w:t>
      </w:r>
    </w:p>
    <w:p w14:paraId="23C18EE1">
      <w:pPr>
        <w:jc w:val="both"/>
      </w:pPr>
      <w:r>
        <w:rPr>
          <w:rFonts w:ascii="Times New Roman" w:hAnsi="Times New Roman"/>
          <w:sz w:val="24"/>
        </w:rPr>
        <w:t xml:space="preserve">For *L &lt; L***: ∂Spread / ∂(ΔlnS) ≈ β₁ + β₃ </w:t>
      </w:r>
      <w:r>
        <w:rPr>
          <w:rFonts w:ascii="Times New Roman" w:hAnsi="Times New Roman"/>
          <w:i/>
          <w:sz w:val="24"/>
        </w:rPr>
        <w:t>(forced liquidation modifies the transmission)</w:t>
      </w:r>
    </w:p>
    <w:p w14:paraId="0A9C614F">
      <w:pPr>
        <w:jc w:val="both"/>
      </w:pPr>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14:paraId="3F3D8847">
      <w:pPr>
        <w:spacing w:before="200" w:after="80"/>
      </w:pPr>
      <w:r>
        <w:rPr>
          <w:rFonts w:ascii="Times New Roman" w:hAnsi="Times New Roman"/>
          <w:b/>
          <w:color w:val="000000"/>
          <w:sz w:val="24"/>
        </w:rPr>
        <w:t>2.2 Data Sources and Variable Construction</w:t>
      </w:r>
    </w:p>
    <w:p w14:paraId="489338F7">
      <w:pPr>
        <w:jc w:val="both"/>
      </w:pPr>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14:paraId="286EAEC4">
      <w:pPr>
        <w:jc w:val="both"/>
      </w:pPr>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14:paraId="62581DE1">
      <w:pPr>
        <w:jc w:val="both"/>
      </w:pPr>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which weights adjacent quarter-end attestations by their temporal proximity to each month-end.</w:t>
      </w:r>
    </w:p>
    <w:p w14:paraId="6546A196">
      <w:pPr>
        <w:jc w:val="center"/>
      </w:pPr>
      <w:r>
        <w:drawing>
          <wp:inline distT="0" distB="0" distL="114300" distR="114300">
            <wp:extent cx="5486400" cy="4002405"/>
            <wp:effectExtent l="0" t="0" r="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486400" cy="4002455"/>
                    </a:xfrm>
                    <a:prstGeom prst="rect">
                      <a:avLst/>
                    </a:prstGeom>
                  </pic:spPr>
                </pic:pic>
              </a:graphicData>
            </a:graphic>
          </wp:inline>
        </w:drawing>
      </w:r>
    </w:p>
    <w:p w14:paraId="3E8C1381">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14:paraId="05C34895">
      <w:pPr>
        <w:jc w:val="both"/>
      </w:pPr>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14:paraId="423694DD">
      <w:pPr>
        <w:jc w:val="both"/>
      </w:pPr>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14:paraId="5AAC8367">
      <w:pPr>
        <w:spacing w:before="200" w:after="80"/>
      </w:pPr>
      <w:r>
        <w:rPr>
          <w:rFonts w:ascii="Times New Roman" w:hAnsi="Times New Roman"/>
          <w:b/>
          <w:color w:val="000000"/>
          <w:sz w:val="24"/>
        </w:rPr>
        <w:t>2.3 Estimation Strategy</w:t>
      </w:r>
    </w:p>
    <w:p w14:paraId="0A188AA6">
      <w:pPr>
        <w:jc w:val="both"/>
      </w:pPr>
      <w:r>
        <w:rPr>
          <w:rFonts w:ascii="Times New Roman" w:hAnsi="Times New Roman"/>
          <w:b/>
          <w:sz w:val="24"/>
        </w:rPr>
        <w:t>Continuous-L Panel.</w:t>
      </w:r>
      <w:r>
        <w:rPr>
          <w:rFonts w:ascii="Times New Roman" w:hAnsi="Times New Roman"/>
          <w:sz w:val="24"/>
        </w:rPr>
        <w:t xml:space="preserve"> The baseline specification is:</w:t>
      </w:r>
    </w:p>
    <w:p w14:paraId="1964769A">
      <w:pPr>
        <w:jc w:val="both"/>
      </w:pPr>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14:paraId="5D25A8E1">
      <w:pPr>
        <w:jc w:val="both"/>
      </w:pPr>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14:paraId="3EA795F3">
      <w:pPr>
        <w:jc w:val="both"/>
      </w:pPr>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14:paraId="5838E1CB">
      <w:pPr>
        <w:jc w:val="both"/>
      </w:pPr>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14:paraId="73E399CA">
      <w:pPr>
        <w:jc w:val="both"/>
      </w:pPr>
      <w:r>
        <w:rPr>
          <w:rFonts w:ascii="Times New Roman" w:hAnsi="Times New Roman"/>
          <w:sz w:val="24"/>
        </w:rPr>
        <w:t>The theory predicts that only outflows in low-buffer states trigger forced T-bill sales; inflows (new T-bill purchases) are orderly by construction. We therefore estimate:</w:t>
      </w:r>
    </w:p>
    <w:p w14:paraId="673206E5">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14:paraId="2551B4E5">
      <w:pPr>
        <w:jc w:val="both"/>
      </w:pPr>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14:paraId="7C3AEFDE">
      <w:pPr>
        <w:jc w:val="both"/>
      </w:pPr>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otherwise inflates level-model CARs. CARs are accumulated over the event window [−5, +20] trading days.</w:t>
      </w:r>
    </w:p>
    <w:p w14:paraId="03CCCF84">
      <w:pPr>
        <w:spacing w:before="200" w:after="80"/>
      </w:pPr>
      <w:r>
        <w:rPr>
          <w:rFonts w:ascii="Times New Roman" w:hAnsi="Times New Roman"/>
          <w:b/>
          <w:color w:val="000000"/>
          <w:sz w:val="28"/>
        </w:rPr>
        <w:t>3. Results</w:t>
      </w:r>
    </w:p>
    <w:p w14:paraId="7DBDE029">
      <w:pPr>
        <w:spacing w:before="200" w:after="80"/>
      </w:pPr>
      <w:r>
        <w:rPr>
          <w:rFonts w:ascii="Times New Roman" w:hAnsi="Times New Roman"/>
          <w:b/>
          <w:color w:val="000000"/>
          <w:sz w:val="24"/>
        </w:rPr>
        <w:t>3.1 Stationarity and Spuriousness Diagnostics</w:t>
      </w:r>
    </w:p>
    <w:p w14:paraId="59D0667D">
      <w:pPr>
        <w:jc w:val="both"/>
      </w:pPr>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14:paraId="7B1EF792">
      <w:pPr>
        <w:jc w:val="both"/>
      </w:pPr>
      <w:r>
        <w:rPr>
          <w:rFonts w:ascii="Times New Roman" w:hAnsi="Times New Roman"/>
          <w:b/>
          <w:sz w:val="24"/>
        </w:rPr>
        <w:t>Table 1. Stationarity Diagnostics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47639711">
        <w:trPr>
          <w:jc w:val="center"/>
        </w:trPr>
        <w:tc>
          <w:tcPr>
            <w:tcW w:w="1872" w:type="dxa"/>
          </w:tcPr>
          <w:p w14:paraId="7CA002BD">
            <w:r>
              <w:rPr>
                <w:rFonts w:ascii="Times New Roman" w:hAnsi="Times New Roman"/>
                <w:b/>
                <w:sz w:val="19"/>
              </w:rPr>
              <w:t>Test</w:t>
            </w:r>
          </w:p>
        </w:tc>
        <w:tc>
          <w:tcPr>
            <w:tcW w:w="1872" w:type="dxa"/>
          </w:tcPr>
          <w:p w14:paraId="251D8A50">
            <w:r>
              <w:rPr>
                <w:rFonts w:ascii="Times New Roman" w:hAnsi="Times New Roman"/>
                <w:b/>
                <w:sz w:val="19"/>
              </w:rPr>
              <w:t>Variable</w:t>
            </w:r>
          </w:p>
        </w:tc>
        <w:tc>
          <w:tcPr>
            <w:tcW w:w="1872" w:type="dxa"/>
          </w:tcPr>
          <w:p w14:paraId="3C9B3BE9">
            <w:r>
              <w:rPr>
                <w:rFonts w:ascii="Times New Roman" w:hAnsi="Times New Roman"/>
                <w:b/>
                <w:sz w:val="19"/>
              </w:rPr>
              <w:t>Test Statistic</w:t>
            </w:r>
          </w:p>
        </w:tc>
        <w:tc>
          <w:tcPr>
            <w:tcW w:w="1872" w:type="dxa"/>
          </w:tcPr>
          <w:p w14:paraId="443D9F57">
            <w:r>
              <w:rPr>
                <w:rFonts w:ascii="Times New Roman" w:hAnsi="Times New Roman"/>
                <w:b/>
                <w:i/>
                <w:sz w:val="19"/>
              </w:rPr>
              <w:t>p</w:t>
            </w:r>
            <w:r>
              <w:rPr>
                <w:rFonts w:ascii="Times New Roman" w:hAnsi="Times New Roman"/>
                <w:b/>
                <w:sz w:val="19"/>
              </w:rPr>
              <w:t>-value</w:t>
            </w:r>
          </w:p>
        </w:tc>
        <w:tc>
          <w:tcPr>
            <w:tcW w:w="1872" w:type="dxa"/>
          </w:tcPr>
          <w:p w14:paraId="0F68630E">
            <w:r>
              <w:rPr>
                <w:rFonts w:ascii="Times New Roman" w:hAnsi="Times New Roman"/>
                <w:b/>
                <w:sz w:val="19"/>
              </w:rPr>
              <w:t>Verdict</w:t>
            </w:r>
          </w:p>
        </w:tc>
      </w:tr>
      <w:tr w14:paraId="4663BA4D">
        <w:trPr>
          <w:jc w:val="center"/>
        </w:trPr>
        <w:tc>
          <w:tcPr>
            <w:tcW w:w="1872" w:type="dxa"/>
          </w:tcPr>
          <w:p w14:paraId="4C116149">
            <w:r>
              <w:rPr>
                <w:rFonts w:ascii="Times New Roman" w:hAnsi="Times New Roman"/>
                <w:sz w:val="19"/>
              </w:rPr>
              <w:t>ADF</w:t>
            </w:r>
          </w:p>
        </w:tc>
        <w:tc>
          <w:tcPr>
            <w:tcW w:w="1872" w:type="dxa"/>
          </w:tcPr>
          <w:p w14:paraId="47DDCBC7">
            <w:r>
              <w:rPr>
                <w:rFonts w:ascii="Times New Roman" w:hAnsi="Times New Roman"/>
                <w:sz w:val="19"/>
              </w:rPr>
              <w:t>OIS–Treasury Spread (level)</w:t>
            </w:r>
          </w:p>
        </w:tc>
        <w:tc>
          <w:tcPr>
            <w:tcW w:w="1872" w:type="dxa"/>
          </w:tcPr>
          <w:p w14:paraId="79A5A231">
            <w:r>
              <w:rPr>
                <w:rFonts w:ascii="Times New Roman" w:hAnsi="Times New Roman"/>
                <w:sz w:val="19"/>
              </w:rPr>
              <w:t>−1.580</w:t>
            </w:r>
          </w:p>
        </w:tc>
        <w:tc>
          <w:tcPr>
            <w:tcW w:w="1872" w:type="dxa"/>
          </w:tcPr>
          <w:p w14:paraId="12576505">
            <w:r>
              <w:rPr>
                <w:rFonts w:ascii="Times New Roman" w:hAnsi="Times New Roman"/>
                <w:sz w:val="19"/>
              </w:rPr>
              <w:t>0.494</w:t>
            </w:r>
          </w:p>
        </w:tc>
        <w:tc>
          <w:tcPr>
            <w:tcW w:w="1872" w:type="dxa"/>
          </w:tcPr>
          <w:p w14:paraId="6AEC244B">
            <w:r>
              <w:rPr>
                <w:rFonts w:ascii="Times New Roman" w:hAnsi="Times New Roman"/>
                <w:sz w:val="19"/>
              </w:rPr>
              <w:t>I(1) — non-stationary</w:t>
            </w:r>
          </w:p>
        </w:tc>
      </w:tr>
      <w:tr w14:paraId="48F271F3">
        <w:trPr>
          <w:jc w:val="center"/>
        </w:trPr>
        <w:tc>
          <w:tcPr>
            <w:tcW w:w="1872" w:type="dxa"/>
          </w:tcPr>
          <w:p w14:paraId="2043B442">
            <w:r>
              <w:rPr>
                <w:rFonts w:ascii="Times New Roman" w:hAnsi="Times New Roman"/>
                <w:sz w:val="19"/>
              </w:rPr>
              <w:t>ADF</w:t>
            </w:r>
          </w:p>
        </w:tc>
        <w:tc>
          <w:tcPr>
            <w:tcW w:w="1872" w:type="dxa"/>
          </w:tcPr>
          <w:p w14:paraId="58819298">
            <w:r>
              <w:rPr>
                <w:rFonts w:ascii="Times New Roman" w:hAnsi="Times New Roman"/>
                <w:sz w:val="19"/>
              </w:rPr>
              <w:t>ΔSpread (first difference)</w:t>
            </w:r>
          </w:p>
        </w:tc>
        <w:tc>
          <w:tcPr>
            <w:tcW w:w="1872" w:type="dxa"/>
          </w:tcPr>
          <w:p w14:paraId="76990995">
            <w:r>
              <w:rPr>
                <w:rFonts w:ascii="Times New Roman" w:hAnsi="Times New Roman"/>
                <w:sz w:val="19"/>
              </w:rPr>
              <w:t>−3.120</w:t>
            </w:r>
          </w:p>
        </w:tc>
        <w:tc>
          <w:tcPr>
            <w:tcW w:w="1872" w:type="dxa"/>
          </w:tcPr>
          <w:p w14:paraId="0D7B4E82">
            <w:r>
              <w:rPr>
                <w:rFonts w:ascii="Times New Roman" w:hAnsi="Times New Roman"/>
                <w:sz w:val="19"/>
              </w:rPr>
              <w:t>0.025</w:t>
            </w:r>
          </w:p>
        </w:tc>
        <w:tc>
          <w:tcPr>
            <w:tcW w:w="1872" w:type="dxa"/>
          </w:tcPr>
          <w:p w14:paraId="23A2CDFF">
            <w:r>
              <w:rPr>
                <w:rFonts w:ascii="Times New Roman" w:hAnsi="Times New Roman"/>
                <w:sz w:val="19"/>
              </w:rPr>
              <w:t>I(0) — stationary</w:t>
            </w:r>
          </w:p>
        </w:tc>
      </w:tr>
      <w:tr w14:paraId="0DF05116">
        <w:trPr>
          <w:jc w:val="center"/>
        </w:trPr>
        <w:tc>
          <w:tcPr>
            <w:tcW w:w="1872" w:type="dxa"/>
          </w:tcPr>
          <w:p w14:paraId="7853ED0F">
            <w:r>
              <w:rPr>
                <w:rFonts w:ascii="Times New Roman" w:hAnsi="Times New Roman"/>
                <w:sz w:val="19"/>
              </w:rPr>
              <w:t>ADF</w:t>
            </w:r>
          </w:p>
        </w:tc>
        <w:tc>
          <w:tcPr>
            <w:tcW w:w="1872" w:type="dxa"/>
          </w:tcPr>
          <w:p w14:paraId="27E42396">
            <w:r>
              <w:rPr>
                <w:rFonts w:ascii="Times New Roman" w:hAnsi="Times New Roman"/>
                <w:sz w:val="19"/>
              </w:rPr>
              <w:t>ΔlnS (supply growth)</w:t>
            </w:r>
          </w:p>
        </w:tc>
        <w:tc>
          <w:tcPr>
            <w:tcW w:w="1872" w:type="dxa"/>
          </w:tcPr>
          <w:p w14:paraId="0B5FE101">
            <w:r>
              <w:rPr>
                <w:rFonts w:ascii="Times New Roman" w:hAnsi="Times New Roman"/>
                <w:sz w:val="19"/>
              </w:rPr>
              <w:t>−4.007</w:t>
            </w:r>
          </w:p>
        </w:tc>
        <w:tc>
          <w:tcPr>
            <w:tcW w:w="1872" w:type="dxa"/>
          </w:tcPr>
          <w:p w14:paraId="440536E1">
            <w:r>
              <w:rPr>
                <w:rFonts w:ascii="Times New Roman" w:hAnsi="Times New Roman"/>
                <w:sz w:val="19"/>
              </w:rPr>
              <w:t>0.001</w:t>
            </w:r>
          </w:p>
        </w:tc>
        <w:tc>
          <w:tcPr>
            <w:tcW w:w="1872" w:type="dxa"/>
          </w:tcPr>
          <w:p w14:paraId="5D123D3A">
            <w:r>
              <w:rPr>
                <w:rFonts w:ascii="Times New Roman" w:hAnsi="Times New Roman"/>
                <w:sz w:val="19"/>
              </w:rPr>
              <w:t>I(0) — stationary</w:t>
            </w:r>
          </w:p>
        </w:tc>
      </w:tr>
      <w:tr w14:paraId="7597D756">
        <w:trPr>
          <w:jc w:val="center"/>
        </w:trPr>
        <w:tc>
          <w:tcPr>
            <w:tcW w:w="1872" w:type="dxa"/>
          </w:tcPr>
          <w:p w14:paraId="252ECC37">
            <w:r>
              <w:rPr>
                <w:rFonts w:ascii="Times New Roman" w:hAnsi="Times New Roman"/>
                <w:sz w:val="19"/>
              </w:rPr>
              <w:t>ADF</w:t>
            </w:r>
          </w:p>
        </w:tc>
        <w:tc>
          <w:tcPr>
            <w:tcW w:w="1872" w:type="dxa"/>
          </w:tcPr>
          <w:p w14:paraId="5672616A">
            <w:r>
              <w:rPr>
                <w:rFonts w:ascii="Times New Roman" w:hAnsi="Times New Roman"/>
                <w:sz w:val="19"/>
              </w:rPr>
              <w:t>ΔlnN* (RoW equity)</w:t>
            </w:r>
          </w:p>
        </w:tc>
        <w:tc>
          <w:tcPr>
            <w:tcW w:w="1872" w:type="dxa"/>
          </w:tcPr>
          <w:p w14:paraId="51FF6FD1">
            <w:r>
              <w:rPr>
                <w:rFonts w:ascii="Times New Roman" w:hAnsi="Times New Roman"/>
                <w:sz w:val="19"/>
              </w:rPr>
              <w:t>−4.701</w:t>
            </w:r>
          </w:p>
        </w:tc>
        <w:tc>
          <w:tcPr>
            <w:tcW w:w="1872" w:type="dxa"/>
          </w:tcPr>
          <w:p w14:paraId="534B633D">
            <w:r>
              <w:rPr>
                <w:rFonts w:ascii="Times New Roman" w:hAnsi="Times New Roman"/>
                <w:sz w:val="19"/>
              </w:rPr>
              <w:t>&lt;0.001</w:t>
            </w:r>
          </w:p>
        </w:tc>
        <w:tc>
          <w:tcPr>
            <w:tcW w:w="1872" w:type="dxa"/>
          </w:tcPr>
          <w:p w14:paraId="0777BABB">
            <w:r>
              <w:rPr>
                <w:rFonts w:ascii="Times New Roman" w:hAnsi="Times New Roman"/>
                <w:sz w:val="19"/>
              </w:rPr>
              <w:t>I(0) — stationary</w:t>
            </w:r>
          </w:p>
        </w:tc>
      </w:tr>
      <w:tr w14:paraId="26A6D8DF">
        <w:trPr>
          <w:jc w:val="center"/>
        </w:trPr>
        <w:tc>
          <w:tcPr>
            <w:tcW w:w="1872" w:type="dxa"/>
          </w:tcPr>
          <w:p w14:paraId="7E573C4E">
            <w:r>
              <w:rPr>
                <w:rFonts w:ascii="Times New Roman" w:hAnsi="Times New Roman"/>
                <w:sz w:val="19"/>
              </w:rPr>
              <w:t>ADF</w:t>
            </w:r>
          </w:p>
        </w:tc>
        <w:tc>
          <w:tcPr>
            <w:tcW w:w="1872" w:type="dxa"/>
          </w:tcPr>
          <w:p w14:paraId="3142F0D3">
            <w:r>
              <w:rPr>
                <w:rFonts w:ascii="Times New Roman" w:hAnsi="Times New Roman"/>
                <w:sz w:val="19"/>
              </w:rPr>
              <w:t xml:space="preserve">Liquid buffer </w:t>
            </w:r>
            <w:r>
              <w:rPr>
                <w:rFonts w:ascii="Times New Roman" w:hAnsi="Times New Roman"/>
                <w:i/>
                <w:sz w:val="19"/>
              </w:rPr>
              <w:t>L</w:t>
            </w:r>
          </w:p>
        </w:tc>
        <w:tc>
          <w:tcPr>
            <w:tcW w:w="1872" w:type="dxa"/>
          </w:tcPr>
          <w:p w14:paraId="0DB4979D">
            <w:r>
              <w:rPr>
                <w:rFonts w:ascii="Times New Roman" w:hAnsi="Times New Roman"/>
                <w:sz w:val="19"/>
              </w:rPr>
              <w:t>−3.988</w:t>
            </w:r>
          </w:p>
        </w:tc>
        <w:tc>
          <w:tcPr>
            <w:tcW w:w="1872" w:type="dxa"/>
          </w:tcPr>
          <w:p w14:paraId="649DC09F">
            <w:r>
              <w:rPr>
                <w:rFonts w:ascii="Times New Roman" w:hAnsi="Times New Roman"/>
                <w:sz w:val="19"/>
              </w:rPr>
              <w:t>0.001†</w:t>
            </w:r>
          </w:p>
        </w:tc>
        <w:tc>
          <w:tcPr>
            <w:tcW w:w="1872" w:type="dxa"/>
          </w:tcPr>
          <w:p w14:paraId="425EDBE6">
            <w:r>
              <w:rPr>
                <w:rFonts w:ascii="Times New Roman" w:hAnsi="Times New Roman"/>
                <w:sz w:val="19"/>
              </w:rPr>
              <w:t>lag-sensitive (see note)</w:t>
            </w:r>
          </w:p>
        </w:tc>
      </w:tr>
    </w:tbl>
    <w:p w14:paraId="11298F27"/>
    <w:p w14:paraId="6BA10EC6">
      <w:pPr>
        <w:jc w:val="both"/>
      </w:pPr>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(Engle &amp; Granger, 1987)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14:paraId="73BD70C0">
      <w:pPr>
        <w:jc w:val="center"/>
      </w:pPr>
      <w:r>
        <w:drawing>
          <wp:inline distT="0" distB="0" distL="114300" distR="114300">
            <wp:extent cx="5486400" cy="2751455"/>
            <wp:effectExtent l="0" t="0" r="0"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486400" cy="2751846"/>
                    </a:xfrm>
                    <a:prstGeom prst="rect">
                      <a:avLst/>
                    </a:prstGeom>
                  </pic:spPr>
                </pic:pic>
              </a:graphicData>
            </a:graphic>
          </wp:inline>
        </w:drawing>
      </w:r>
    </w:p>
    <w:p w14:paraId="14130F36">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14:paraId="0877636B">
      <w:pPr>
        <w:spacing w:before="200" w:after="80"/>
      </w:pPr>
      <w:r>
        <w:rPr>
          <w:rFonts w:ascii="Times New Roman" w:hAnsi="Times New Roman"/>
          <w:b/>
          <w:color w:val="000000"/>
          <w:sz w:val="24"/>
        </w:rPr>
        <w:t>3.2 Continuous-L Panel Regression</w:t>
      </w:r>
    </w:p>
    <w:p w14:paraId="1A95BD98">
      <w:pPr>
        <w:jc w:val="both"/>
      </w:pPr>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the linear buffer interaction is weak once supply growth is measured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14:paraId="0D5B9C87">
      <w:pPr>
        <w:jc w:val="both"/>
      </w:pPr>
      <w:r>
        <w:rPr>
          <w:rFonts w:ascii="Times New Roman" w:hAnsi="Times New Roman"/>
          <w:b/>
          <w:sz w:val="24"/>
        </w:rPr>
        <w:t>Table 2. Continuous-L Issuer-Panel Regression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5EC41DE1">
        <w:trPr>
          <w:jc w:val="center"/>
        </w:trPr>
        <w:tc>
          <w:tcPr>
            <w:tcW w:w="1872" w:type="dxa"/>
          </w:tcPr>
          <w:p w14:paraId="3577AF30"/>
        </w:tc>
        <w:tc>
          <w:tcPr>
            <w:tcW w:w="1872" w:type="dxa"/>
          </w:tcPr>
          <w:p w14:paraId="5A210CB0">
            <w:r>
              <w:rPr>
                <w:rFonts w:ascii="Times New Roman" w:hAnsi="Times New Roman"/>
                <w:b/>
                <w:sz w:val="19"/>
              </w:rPr>
              <w:t>Coefficient</w:t>
            </w:r>
          </w:p>
        </w:tc>
        <w:tc>
          <w:tcPr>
            <w:tcW w:w="1872" w:type="dxa"/>
          </w:tcPr>
          <w:p w14:paraId="2894E8B2">
            <w:r>
              <w:rPr>
                <w:rFonts w:ascii="Times New Roman" w:hAnsi="Times New Roman"/>
                <w:b/>
                <w:sz w:val="19"/>
              </w:rPr>
              <w:t>Estimate</w:t>
            </w:r>
          </w:p>
        </w:tc>
        <w:tc>
          <w:tcPr>
            <w:tcW w:w="1872" w:type="dxa"/>
          </w:tcPr>
          <w:p w14:paraId="168408C2">
            <w:r>
              <w:rPr>
                <w:rFonts w:ascii="Times New Roman" w:hAnsi="Times New Roman"/>
                <w:b/>
                <w:i/>
                <w:sz w:val="19"/>
              </w:rPr>
              <w:t>p</w:t>
            </w:r>
            <w:r>
              <w:rPr>
                <w:rFonts w:ascii="Times New Roman" w:hAnsi="Times New Roman"/>
                <w:b/>
                <w:sz w:val="19"/>
              </w:rPr>
              <w:t>-value</w:t>
            </w:r>
          </w:p>
        </w:tc>
        <w:tc>
          <w:tcPr>
            <w:tcW w:w="1872" w:type="dxa"/>
          </w:tcPr>
          <w:p w14:paraId="29B5943D"/>
        </w:tc>
      </w:tr>
      <w:tr w14:paraId="5D0F403C">
        <w:trPr>
          <w:jc w:val="center"/>
        </w:trPr>
        <w:tc>
          <w:tcPr>
            <w:tcW w:w="1872" w:type="dxa"/>
          </w:tcPr>
          <w:p w14:paraId="5C8C6738">
            <w:r>
              <w:rPr>
                <w:rFonts w:ascii="Times New Roman" w:hAnsi="Times New Roman"/>
                <w:sz w:val="19"/>
              </w:rPr>
              <w:t>β₁</w:t>
            </w:r>
          </w:p>
        </w:tc>
        <w:tc>
          <w:tcPr>
            <w:tcW w:w="1872" w:type="dxa"/>
          </w:tcPr>
          <w:p w14:paraId="0B99C4A3">
            <w:r>
              <w:rPr>
                <w:rFonts w:ascii="Times New Roman" w:hAnsi="Times New Roman"/>
                <w:sz w:val="19"/>
              </w:rPr>
              <w:t>ΔlnS</w:t>
            </w:r>
            <w:r>
              <w:rPr>
                <w:rFonts w:ascii="Times New Roman" w:hAnsi="Times New Roman"/>
                <w:i/>
                <w:sz w:val="19"/>
              </w:rPr>
              <w:t>_it</w:t>
            </w:r>
          </w:p>
        </w:tc>
        <w:tc>
          <w:tcPr>
            <w:tcW w:w="1872" w:type="dxa"/>
          </w:tcPr>
          <w:p w14:paraId="677ADE01">
            <w:r>
              <w:rPr>
                <w:rFonts w:ascii="Times New Roman" w:hAnsi="Times New Roman"/>
                <w:sz w:val="19"/>
              </w:rPr>
              <w:t>−0.122</w:t>
            </w:r>
          </w:p>
        </w:tc>
        <w:tc>
          <w:tcPr>
            <w:tcW w:w="1872" w:type="dxa"/>
          </w:tcPr>
          <w:p w14:paraId="0E003041">
            <w:r>
              <w:rPr>
                <w:rFonts w:ascii="Times New Roman" w:hAnsi="Times New Roman"/>
                <w:sz w:val="19"/>
              </w:rPr>
              <w:t>0.947</w:t>
            </w:r>
          </w:p>
        </w:tc>
        <w:tc>
          <w:tcPr>
            <w:tcW w:w="1872" w:type="dxa"/>
          </w:tcPr>
          <w:p w14:paraId="7ADAC2A2"/>
        </w:tc>
      </w:tr>
      <w:tr w14:paraId="33DFA345">
        <w:trPr>
          <w:jc w:val="center"/>
        </w:trPr>
        <w:tc>
          <w:tcPr>
            <w:tcW w:w="1872" w:type="dxa"/>
          </w:tcPr>
          <w:p w14:paraId="6A448A59">
            <w:r>
              <w:rPr>
                <w:rFonts w:ascii="Times New Roman" w:hAnsi="Times New Roman"/>
                <w:sz w:val="19"/>
              </w:rPr>
              <w:t>β₃</w:t>
            </w:r>
          </w:p>
        </w:tc>
        <w:tc>
          <w:tcPr>
            <w:tcW w:w="1872" w:type="dxa"/>
          </w:tcPr>
          <w:p w14:paraId="1C973E12">
            <w:r>
              <w:rPr>
                <w:rFonts w:ascii="Times New Roman" w:hAnsi="Times New Roman"/>
                <w:i/>
                <w:sz w:val="19"/>
              </w:rPr>
              <w:t>L_it</w:t>
            </w:r>
          </w:p>
        </w:tc>
        <w:tc>
          <w:tcPr>
            <w:tcW w:w="1872" w:type="dxa"/>
          </w:tcPr>
          <w:p w14:paraId="12D7824B">
            <w:r>
              <w:rPr>
                <w:rFonts w:ascii="Times New Roman" w:hAnsi="Times New Roman"/>
                <w:sz w:val="19"/>
              </w:rPr>
              <w:t>+7.192</w:t>
            </w:r>
          </w:p>
        </w:tc>
        <w:tc>
          <w:tcPr>
            <w:tcW w:w="1872" w:type="dxa"/>
          </w:tcPr>
          <w:p w14:paraId="051EC163">
            <w:r>
              <w:rPr>
                <w:rFonts w:ascii="Times New Roman" w:hAnsi="Times New Roman"/>
                <w:sz w:val="19"/>
              </w:rPr>
              <w:t>&lt;0.001</w:t>
            </w:r>
          </w:p>
        </w:tc>
        <w:tc>
          <w:tcPr>
            <w:tcW w:w="1872" w:type="dxa"/>
          </w:tcPr>
          <w:p w14:paraId="5D2FE757">
            <w:r>
              <w:rPr>
                <w:rFonts w:ascii="Times New Roman" w:hAnsi="Times New Roman"/>
                <w:sz w:val="19"/>
              </w:rPr>
              <w:t>***</w:t>
            </w:r>
          </w:p>
        </w:tc>
      </w:tr>
      <w:tr w14:paraId="73DD83FF">
        <w:trPr>
          <w:jc w:val="center"/>
        </w:trPr>
        <w:tc>
          <w:tcPr>
            <w:tcW w:w="1872" w:type="dxa"/>
          </w:tcPr>
          <w:p w14:paraId="67E7EA34">
            <w:r>
              <w:rPr>
                <w:rFonts w:ascii="Times New Roman" w:hAnsi="Times New Roman"/>
                <w:sz w:val="19"/>
              </w:rPr>
              <w:t>β₄</w:t>
            </w:r>
          </w:p>
        </w:tc>
        <w:tc>
          <w:tcPr>
            <w:tcW w:w="1872" w:type="dxa"/>
          </w:tcPr>
          <w:p w14:paraId="601258B5">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w="1872" w:type="dxa"/>
          </w:tcPr>
          <w:p w14:paraId="04EAB60F">
            <w:r>
              <w:rPr>
                <w:rFonts w:ascii="Times New Roman" w:hAnsi="Times New Roman"/>
                <w:sz w:val="19"/>
              </w:rPr>
              <w:t>−4.349</w:t>
            </w:r>
          </w:p>
        </w:tc>
        <w:tc>
          <w:tcPr>
            <w:tcW w:w="1872" w:type="dxa"/>
          </w:tcPr>
          <w:p w14:paraId="74D22B0B">
            <w:r>
              <w:rPr>
                <w:rFonts w:ascii="Times New Roman" w:hAnsi="Times New Roman"/>
                <w:sz w:val="19"/>
              </w:rPr>
              <w:t>0.683</w:t>
            </w:r>
          </w:p>
        </w:tc>
        <w:tc>
          <w:tcPr>
            <w:tcW w:w="1872" w:type="dxa"/>
          </w:tcPr>
          <w:p w14:paraId="09B34AFF"/>
        </w:tc>
      </w:tr>
      <w:tr w14:paraId="6294C801">
        <w:trPr>
          <w:jc w:val="center"/>
        </w:trPr>
        <w:tc>
          <w:tcPr>
            <w:tcW w:w="1872" w:type="dxa"/>
          </w:tcPr>
          <w:p w14:paraId="6A0788F5">
            <w:r>
              <w:rPr>
                <w:rFonts w:ascii="Times New Roman" w:hAnsi="Times New Roman"/>
                <w:sz w:val="19"/>
              </w:rPr>
              <w:t>γ₁</w:t>
            </w:r>
          </w:p>
        </w:tc>
        <w:tc>
          <w:tcPr>
            <w:tcW w:w="1872" w:type="dxa"/>
          </w:tcPr>
          <w:p w14:paraId="0071AFD3">
            <w:r>
              <w:rPr>
                <w:rFonts w:ascii="Times New Roman" w:hAnsi="Times New Roman"/>
                <w:sz w:val="19"/>
              </w:rPr>
              <w:t>VIX</w:t>
            </w:r>
          </w:p>
        </w:tc>
        <w:tc>
          <w:tcPr>
            <w:tcW w:w="1872" w:type="dxa"/>
          </w:tcPr>
          <w:p w14:paraId="2FB22FA8">
            <w:r>
              <w:rPr>
                <w:rFonts w:ascii="Times New Roman" w:hAnsi="Times New Roman"/>
                <w:sz w:val="19"/>
              </w:rPr>
              <w:t>+0.025</w:t>
            </w:r>
          </w:p>
        </w:tc>
        <w:tc>
          <w:tcPr>
            <w:tcW w:w="1872" w:type="dxa"/>
          </w:tcPr>
          <w:p w14:paraId="18EB7585">
            <w:r>
              <w:rPr>
                <w:rFonts w:ascii="Times New Roman" w:hAnsi="Times New Roman"/>
                <w:sz w:val="19"/>
              </w:rPr>
              <w:t>0.006</w:t>
            </w:r>
          </w:p>
        </w:tc>
        <w:tc>
          <w:tcPr>
            <w:tcW w:w="1872" w:type="dxa"/>
          </w:tcPr>
          <w:p w14:paraId="38E2E79A">
            <w:r>
              <w:rPr>
                <w:rFonts w:ascii="Times New Roman" w:hAnsi="Times New Roman"/>
                <w:sz w:val="19"/>
              </w:rPr>
              <w:t>***</w:t>
            </w:r>
          </w:p>
        </w:tc>
      </w:tr>
      <w:tr w14:paraId="7FC38CE6">
        <w:trPr>
          <w:jc w:val="center"/>
        </w:trPr>
        <w:tc>
          <w:tcPr>
            <w:tcW w:w="1872" w:type="dxa"/>
          </w:tcPr>
          <w:p w14:paraId="3876237D">
            <w:r>
              <w:rPr>
                <w:rFonts w:ascii="Times New Roman" w:hAnsi="Times New Roman"/>
                <w:sz w:val="19"/>
              </w:rPr>
              <w:t>γ₂</w:t>
            </w:r>
          </w:p>
        </w:tc>
        <w:tc>
          <w:tcPr>
            <w:tcW w:w="1872" w:type="dxa"/>
          </w:tcPr>
          <w:p w14:paraId="559B6D4F">
            <w:r>
              <w:rPr>
                <w:rFonts w:ascii="Times New Roman" w:hAnsi="Times New Roman"/>
                <w:sz w:val="19"/>
              </w:rPr>
              <w:t>ΔlnN*</w:t>
            </w:r>
          </w:p>
        </w:tc>
        <w:tc>
          <w:tcPr>
            <w:tcW w:w="1872" w:type="dxa"/>
          </w:tcPr>
          <w:p w14:paraId="21C4110A">
            <w:r>
              <w:rPr>
                <w:rFonts w:ascii="Times New Roman" w:hAnsi="Times New Roman"/>
                <w:sz w:val="19"/>
              </w:rPr>
              <w:t>+0.515</w:t>
            </w:r>
          </w:p>
        </w:tc>
        <w:tc>
          <w:tcPr>
            <w:tcW w:w="1872" w:type="dxa"/>
          </w:tcPr>
          <w:p w14:paraId="47926D66">
            <w:r>
              <w:rPr>
                <w:rFonts w:ascii="Times New Roman" w:hAnsi="Times New Roman"/>
                <w:sz w:val="19"/>
              </w:rPr>
              <w:t>0.409</w:t>
            </w:r>
          </w:p>
        </w:tc>
        <w:tc>
          <w:tcPr>
            <w:tcW w:w="1872" w:type="dxa"/>
          </w:tcPr>
          <w:p w14:paraId="02ABD029"/>
        </w:tc>
      </w:tr>
      <w:tr w14:paraId="03A07649">
        <w:trPr>
          <w:jc w:val="center"/>
        </w:trPr>
        <w:tc>
          <w:tcPr>
            <w:tcW w:w="1872" w:type="dxa"/>
          </w:tcPr>
          <w:p w14:paraId="431615C2">
            <w:r>
              <w:rPr>
                <w:rFonts w:ascii="Times New Roman" w:hAnsi="Times New Roman"/>
                <w:sz w:val="19"/>
              </w:rPr>
              <w:t>δ</w:t>
            </w:r>
          </w:p>
        </w:tc>
        <w:tc>
          <w:tcPr>
            <w:tcW w:w="1872" w:type="dxa"/>
          </w:tcPr>
          <w:p w14:paraId="2A868ED6">
            <w:r>
              <w:rPr>
                <w:rFonts w:ascii="Times New Roman" w:hAnsi="Times New Roman"/>
                <w:sz w:val="19"/>
              </w:rPr>
              <w:t>USDT fixed effect</w:t>
            </w:r>
          </w:p>
        </w:tc>
        <w:tc>
          <w:tcPr>
            <w:tcW w:w="1872" w:type="dxa"/>
          </w:tcPr>
          <w:p w14:paraId="56CD7F4E">
            <w:r>
              <w:rPr>
                <w:rFonts w:ascii="Times New Roman" w:hAnsi="Times New Roman"/>
                <w:sz w:val="19"/>
              </w:rPr>
              <w:t>+0.544</w:t>
            </w:r>
          </w:p>
        </w:tc>
        <w:tc>
          <w:tcPr>
            <w:tcW w:w="1872" w:type="dxa"/>
          </w:tcPr>
          <w:p w14:paraId="7977870C">
            <w:r>
              <w:rPr>
                <w:rFonts w:ascii="Times New Roman" w:hAnsi="Times New Roman"/>
                <w:sz w:val="19"/>
              </w:rPr>
              <w:t>&lt;0.001</w:t>
            </w:r>
          </w:p>
        </w:tc>
        <w:tc>
          <w:tcPr>
            <w:tcW w:w="1872" w:type="dxa"/>
          </w:tcPr>
          <w:p w14:paraId="14E497B0">
            <w:r>
              <w:rPr>
                <w:rFonts w:ascii="Times New Roman" w:hAnsi="Times New Roman"/>
                <w:sz w:val="19"/>
              </w:rPr>
              <w:t>***</w:t>
            </w:r>
          </w:p>
        </w:tc>
      </w:tr>
    </w:tbl>
    <w:p w14:paraId="697BA044"/>
    <w:p w14:paraId="077890A3">
      <w:pPr>
        <w:jc w:val="both"/>
      </w:pPr>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14:paraId="534AA891">
      <w:pPr>
        <w:spacing w:before="200" w:after="80"/>
      </w:pPr>
      <w:r>
        <w:rPr>
          <w:rFonts w:ascii="Times New Roman" w:hAnsi="Times New Roman"/>
          <w:b/>
          <w:color w:val="000000"/>
          <w:sz w:val="24"/>
        </w:rPr>
        <w:t>3.3 Asymmetric Threshold Specification</w:t>
      </w:r>
    </w:p>
    <w:p w14:paraId="28CA3F17">
      <w:pPr>
        <w:jc w:val="both"/>
      </w:pPr>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14:paraId="11362A47">
      <w:pPr>
        <w:jc w:val="both"/>
      </w:pPr>
      <w:r>
        <w:rPr>
          <w:rFonts w:ascii="Times New Roman" w:hAnsi="Times New Roman"/>
          <w:sz w:val="24"/>
        </w:rPr>
        <w:t>Table 3 reports the asymmetric specification at the two candidate thresholds. The key coefficient throughout is β₅ on the Low × Outflow interaction.</w:t>
      </w:r>
    </w:p>
    <w:p w14:paraId="71BAB44C">
      <w:pPr>
        <w:jc w:val="both"/>
      </w:pPr>
      <w:r>
        <w:rPr>
          <w:rFonts w:ascii="Times New Roman" w:hAnsi="Times New Roman"/>
          <w:b/>
          <w:sz w:val="24"/>
        </w:rPr>
        <w:t>Table 3. Asymmetric Threshold Panel: Low × Outflow Specification (DV = ΔSpread)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2664D23F">
        <w:trPr>
          <w:jc w:val="center"/>
        </w:trPr>
        <w:tc>
          <w:tcPr>
            <w:tcW w:w="3120" w:type="dxa"/>
          </w:tcPr>
          <w:p w14:paraId="3CBAEFDC"/>
        </w:tc>
        <w:tc>
          <w:tcPr>
            <w:tcW w:w="3120" w:type="dxa"/>
          </w:tcPr>
          <w:p w14:paraId="2E5097CF">
            <w:r>
              <w:rPr>
                <w:rFonts w:ascii="Times New Roman" w:hAnsi="Times New Roman"/>
                <w:b/>
                <w:i/>
                <w:sz w:val="19"/>
              </w:rPr>
              <w:t>L</w:t>
            </w:r>
            <w:r>
              <w:rPr>
                <w:rFonts w:ascii="Times New Roman" w:hAnsi="Times New Roman"/>
                <w:b/>
                <w:sz w:val="19"/>
              </w:rPr>
              <w:t xml:space="preserve"> &lt; 10%</w:t>
            </w:r>
          </w:p>
        </w:tc>
        <w:tc>
          <w:tcPr>
            <w:tcW w:w="3120" w:type="dxa"/>
          </w:tcPr>
          <w:p w14:paraId="1D44FAED">
            <w:r>
              <w:rPr>
                <w:rFonts w:ascii="Times New Roman" w:hAnsi="Times New Roman"/>
                <w:b/>
                <w:i/>
                <w:sz w:val="19"/>
              </w:rPr>
              <w:t>L</w:t>
            </w:r>
            <w:r>
              <w:rPr>
                <w:rFonts w:ascii="Times New Roman" w:hAnsi="Times New Roman"/>
                <w:b/>
                <w:sz w:val="19"/>
              </w:rPr>
              <w:t xml:space="preserve"> &lt; 12% (primary)</w:t>
            </w:r>
          </w:p>
        </w:tc>
      </w:tr>
      <w:tr w14:paraId="01899145">
        <w:trPr>
          <w:jc w:val="center"/>
        </w:trPr>
        <w:tc>
          <w:tcPr>
            <w:tcW w:w="3120" w:type="dxa"/>
          </w:tcPr>
          <w:p w14:paraId="14B182C2">
            <w:r>
              <w:rPr>
                <w:rFonts w:ascii="Times New Roman" w:hAnsi="Times New Roman"/>
                <w:sz w:val="19"/>
              </w:rPr>
              <w:t>β₁ Inflow</w:t>
            </w:r>
          </w:p>
        </w:tc>
        <w:tc>
          <w:tcPr>
            <w:tcW w:w="3120" w:type="dxa"/>
          </w:tcPr>
          <w:p w14:paraId="74F2CFF5">
            <w:r>
              <w:rPr>
                <w:rFonts w:ascii="Times New Roman" w:hAnsi="Times New Roman"/>
                <w:sz w:val="19"/>
              </w:rPr>
              <w:t>+0.507</w:t>
            </w:r>
          </w:p>
        </w:tc>
        <w:tc>
          <w:tcPr>
            <w:tcW w:w="3120" w:type="dxa"/>
          </w:tcPr>
          <w:p w14:paraId="10EB6063">
            <w:r>
              <w:rPr>
                <w:rFonts w:ascii="Times New Roman" w:hAnsi="Times New Roman"/>
                <w:sz w:val="19"/>
              </w:rPr>
              <w:t>+0.518</w:t>
            </w:r>
          </w:p>
        </w:tc>
      </w:tr>
      <w:tr w14:paraId="29B5DA0F">
        <w:trPr>
          <w:jc w:val="center"/>
        </w:trPr>
        <w:tc>
          <w:tcPr>
            <w:tcW w:w="3120" w:type="dxa"/>
          </w:tcPr>
          <w:p w14:paraId="2C863782">
            <w:r>
              <w:rPr>
                <w:rFonts w:ascii="Times New Roman" w:hAnsi="Times New Roman"/>
                <w:sz w:val="19"/>
              </w:rPr>
              <w:t>β₂ Outflow</w:t>
            </w:r>
          </w:p>
        </w:tc>
        <w:tc>
          <w:tcPr>
            <w:tcW w:w="3120" w:type="dxa"/>
          </w:tcPr>
          <w:p w14:paraId="42A1BD25">
            <w:r>
              <w:rPr>
                <w:rFonts w:ascii="Times New Roman" w:hAnsi="Times New Roman"/>
                <w:sz w:val="19"/>
              </w:rPr>
              <w:t>−0.043</w:t>
            </w:r>
          </w:p>
        </w:tc>
        <w:tc>
          <w:tcPr>
            <w:tcW w:w="3120" w:type="dxa"/>
          </w:tcPr>
          <w:p w14:paraId="2E0BA8C2">
            <w:r>
              <w:rPr>
                <w:rFonts w:ascii="Times New Roman" w:hAnsi="Times New Roman"/>
                <w:sz w:val="19"/>
              </w:rPr>
              <w:t>−0.081</w:t>
            </w:r>
          </w:p>
        </w:tc>
      </w:tr>
      <w:tr w14:paraId="3C0428FF">
        <w:trPr>
          <w:jc w:val="center"/>
        </w:trPr>
        <w:tc>
          <w:tcPr>
            <w:tcW w:w="3120" w:type="dxa"/>
          </w:tcPr>
          <w:p w14:paraId="3BFF19C0">
            <w:r>
              <w:rPr>
                <w:rFonts w:ascii="Times New Roman" w:hAnsi="Times New Roman"/>
                <w:sz w:val="19"/>
              </w:rPr>
              <w:t>β₃ Low</w:t>
            </w:r>
          </w:p>
        </w:tc>
        <w:tc>
          <w:tcPr>
            <w:tcW w:w="3120" w:type="dxa"/>
          </w:tcPr>
          <w:p w14:paraId="4C36CA59">
            <w:r>
              <w:rPr>
                <w:rFonts w:ascii="Times New Roman" w:hAnsi="Times New Roman"/>
                <w:sz w:val="19"/>
              </w:rPr>
              <w:t>+0.035</w:t>
            </w:r>
          </w:p>
        </w:tc>
        <w:tc>
          <w:tcPr>
            <w:tcW w:w="3120" w:type="dxa"/>
          </w:tcPr>
          <w:p w14:paraId="3912A281">
            <w:r>
              <w:rPr>
                <w:rFonts w:ascii="Times New Roman" w:hAnsi="Times New Roman"/>
                <w:sz w:val="19"/>
              </w:rPr>
              <w:t>+0.008</w:t>
            </w:r>
          </w:p>
        </w:tc>
      </w:tr>
      <w:tr w14:paraId="26AD637E">
        <w:trPr>
          <w:jc w:val="center"/>
        </w:trPr>
        <w:tc>
          <w:tcPr>
            <w:tcW w:w="3120" w:type="dxa"/>
          </w:tcPr>
          <w:p w14:paraId="216955E3">
            <w:r>
              <w:rPr>
                <w:rFonts w:ascii="Times New Roman" w:hAnsi="Times New Roman"/>
                <w:sz w:val="19"/>
              </w:rPr>
              <w:t>β₄ Low × Inflow</w:t>
            </w:r>
          </w:p>
        </w:tc>
        <w:tc>
          <w:tcPr>
            <w:tcW w:w="3120" w:type="dxa"/>
          </w:tcPr>
          <w:p w14:paraId="56154C42">
            <w:r>
              <w:rPr>
                <w:rFonts w:ascii="Times New Roman" w:hAnsi="Times New Roman"/>
                <w:sz w:val="19"/>
              </w:rPr>
              <w:t>−0.923</w:t>
            </w:r>
          </w:p>
        </w:tc>
        <w:tc>
          <w:tcPr>
            <w:tcW w:w="3120" w:type="dxa"/>
          </w:tcPr>
          <w:p w14:paraId="2EB91954">
            <w:r>
              <w:rPr>
                <w:rFonts w:ascii="Times New Roman" w:hAnsi="Times New Roman"/>
                <w:sz w:val="19"/>
              </w:rPr>
              <w:t>−0.335</w:t>
            </w:r>
          </w:p>
        </w:tc>
      </w:tr>
      <w:tr w14:paraId="12F49D83">
        <w:trPr>
          <w:jc w:val="center"/>
        </w:trPr>
        <w:tc>
          <w:tcPr>
            <w:tcW w:w="3120" w:type="dxa"/>
          </w:tcPr>
          <w:p w14:paraId="7EC4ADAB">
            <w:r>
              <w:rPr>
                <w:rFonts w:ascii="Times New Roman" w:hAnsi="Times New Roman"/>
                <w:b/>
                <w:sz w:val="19"/>
              </w:rPr>
              <w:t>β₅ Low × Outflow</w:t>
            </w:r>
          </w:p>
        </w:tc>
        <w:tc>
          <w:tcPr>
            <w:tcW w:w="3120" w:type="dxa"/>
          </w:tcPr>
          <w:p w14:paraId="6DA9508E">
            <w:r>
              <w:rPr>
                <w:rFonts w:ascii="Times New Roman" w:hAnsi="Times New Roman"/>
                <w:sz w:val="19"/>
              </w:rPr>
              <w:t>+16.923*** (p &lt; 0.001)</w:t>
            </w:r>
          </w:p>
        </w:tc>
        <w:tc>
          <w:tcPr>
            <w:tcW w:w="3120" w:type="dxa"/>
          </w:tcPr>
          <w:p w14:paraId="619286E5">
            <w:r>
              <w:rPr>
                <w:rFonts w:ascii="Times New Roman" w:hAnsi="Times New Roman"/>
                <w:sz w:val="19"/>
              </w:rPr>
              <w:t>+7.552* (p = 0.065)</w:t>
            </w:r>
          </w:p>
        </w:tc>
      </w:tr>
      <w:tr w14:paraId="096D85BA">
        <w:trPr>
          <w:jc w:val="center"/>
        </w:trPr>
        <w:tc>
          <w:tcPr>
            <w:tcW w:w="3120" w:type="dxa"/>
          </w:tcPr>
          <w:p w14:paraId="3B7E05EB">
            <w:r>
              <w:rPr>
                <w:rFonts w:ascii="Times New Roman" w:hAnsi="Times New Roman"/>
                <w:sz w:val="19"/>
              </w:rPr>
              <w:t>VIX</w:t>
            </w:r>
          </w:p>
        </w:tc>
        <w:tc>
          <w:tcPr>
            <w:tcW w:w="3120" w:type="dxa"/>
          </w:tcPr>
          <w:p w14:paraId="6143FCFA">
            <w:r>
              <w:rPr>
                <w:rFonts w:ascii="Times New Roman" w:hAnsi="Times New Roman"/>
                <w:sz w:val="19"/>
              </w:rPr>
              <w:t>+0.010***</w:t>
            </w:r>
          </w:p>
        </w:tc>
        <w:tc>
          <w:tcPr>
            <w:tcW w:w="3120" w:type="dxa"/>
          </w:tcPr>
          <w:p w14:paraId="2BBF008F">
            <w:r>
              <w:rPr>
                <w:rFonts w:ascii="Times New Roman" w:hAnsi="Times New Roman"/>
                <w:sz w:val="19"/>
              </w:rPr>
              <w:t>+0.010***</w:t>
            </w:r>
          </w:p>
        </w:tc>
      </w:tr>
      <w:tr w14:paraId="26ACA6F2">
        <w:trPr>
          <w:jc w:val="center"/>
        </w:trPr>
        <w:tc>
          <w:tcPr>
            <w:tcW w:w="3120" w:type="dxa"/>
          </w:tcPr>
          <w:p w14:paraId="6EC813E0">
            <w:r>
              <w:rPr>
                <w:rFonts w:ascii="Times New Roman" w:hAnsi="Times New Roman"/>
                <w:sz w:val="19"/>
              </w:rPr>
              <w:t>ΔlnN*</w:t>
            </w:r>
          </w:p>
        </w:tc>
        <w:tc>
          <w:tcPr>
            <w:tcW w:w="3120" w:type="dxa"/>
          </w:tcPr>
          <w:p w14:paraId="3DA02738">
            <w:r>
              <w:rPr>
                <w:rFonts w:ascii="Times New Roman" w:hAnsi="Times New Roman"/>
                <w:sz w:val="19"/>
              </w:rPr>
              <w:t>+0.050</w:t>
            </w:r>
          </w:p>
        </w:tc>
        <w:tc>
          <w:tcPr>
            <w:tcW w:w="3120" w:type="dxa"/>
          </w:tcPr>
          <w:p w14:paraId="0CA2F9B6">
            <w:r>
              <w:rPr>
                <w:rFonts w:ascii="Times New Roman" w:hAnsi="Times New Roman"/>
                <w:sz w:val="19"/>
              </w:rPr>
              <w:t>+0.084</w:t>
            </w:r>
          </w:p>
        </w:tc>
      </w:tr>
      <w:tr w14:paraId="05BAEC32">
        <w:trPr>
          <w:jc w:val="center"/>
        </w:trPr>
        <w:tc>
          <w:tcPr>
            <w:tcW w:w="3120" w:type="dxa"/>
          </w:tcPr>
          <w:p w14:paraId="67966B51">
            <w:r>
              <w:rPr>
                <w:rFonts w:ascii="Times New Roman" w:hAnsi="Times New Roman"/>
                <w:sz w:val="19"/>
              </w:rPr>
              <w:t>USDT fixed effect</w:t>
            </w:r>
          </w:p>
        </w:tc>
        <w:tc>
          <w:tcPr>
            <w:tcW w:w="3120" w:type="dxa"/>
          </w:tcPr>
          <w:p w14:paraId="2F9A7A5C">
            <w:r>
              <w:rPr>
                <w:rFonts w:ascii="Times New Roman" w:hAnsi="Times New Roman"/>
                <w:sz w:val="19"/>
              </w:rPr>
              <w:t>−0.009</w:t>
            </w:r>
          </w:p>
        </w:tc>
        <w:tc>
          <w:tcPr>
            <w:tcW w:w="3120" w:type="dxa"/>
          </w:tcPr>
          <w:p w14:paraId="1C82DCD1">
            <w:r>
              <w:rPr>
                <w:rFonts w:ascii="Times New Roman" w:hAnsi="Times New Roman"/>
                <w:sz w:val="19"/>
              </w:rPr>
              <w:t>+0.001</w:t>
            </w:r>
          </w:p>
        </w:tc>
      </w:tr>
      <w:tr w14:paraId="2558F8C8">
        <w:trPr>
          <w:jc w:val="center"/>
        </w:trPr>
        <w:tc>
          <w:tcPr>
            <w:tcW w:w="3120" w:type="dxa"/>
          </w:tcPr>
          <w:p w14:paraId="6CB392B6">
            <w:r>
              <w:rPr>
                <w:rFonts w:ascii="Times New Roman" w:hAnsi="Times New Roman"/>
                <w:i/>
                <w:sz w:val="19"/>
              </w:rPr>
              <w:t>N</w:t>
            </w:r>
          </w:p>
        </w:tc>
        <w:tc>
          <w:tcPr>
            <w:tcW w:w="3120" w:type="dxa"/>
          </w:tcPr>
          <w:p w14:paraId="3F1989B2">
            <w:r>
              <w:rPr>
                <w:rFonts w:ascii="Times New Roman" w:hAnsi="Times New Roman"/>
                <w:sz w:val="19"/>
              </w:rPr>
              <w:t>100</w:t>
            </w:r>
          </w:p>
        </w:tc>
        <w:tc>
          <w:tcPr>
            <w:tcW w:w="3120" w:type="dxa"/>
          </w:tcPr>
          <w:p w14:paraId="37636FA1">
            <w:r>
              <w:rPr>
                <w:rFonts w:ascii="Times New Roman" w:hAnsi="Times New Roman"/>
                <w:sz w:val="19"/>
              </w:rPr>
              <w:t>100</w:t>
            </w:r>
          </w:p>
        </w:tc>
      </w:tr>
      <w:tr w14:paraId="15FC96E7">
        <w:trPr>
          <w:jc w:val="center"/>
        </w:trPr>
        <w:tc>
          <w:tcPr>
            <w:tcW w:w="3120" w:type="dxa"/>
          </w:tcPr>
          <w:p w14:paraId="47D0C10B">
            <w:r>
              <w:rPr>
                <w:rFonts w:ascii="Times New Roman" w:hAnsi="Times New Roman"/>
                <w:sz w:val="19"/>
              </w:rPr>
              <w:t>Low-buffer outflow obs</w:t>
            </w:r>
          </w:p>
        </w:tc>
        <w:tc>
          <w:tcPr>
            <w:tcW w:w="3120" w:type="dxa"/>
          </w:tcPr>
          <w:p w14:paraId="34C2B574">
            <w:r>
              <w:rPr>
                <w:rFonts w:ascii="Times New Roman" w:hAnsi="Times New Roman"/>
                <w:sz w:val="19"/>
              </w:rPr>
              <w:t>2</w:t>
            </w:r>
          </w:p>
        </w:tc>
        <w:tc>
          <w:tcPr>
            <w:tcW w:w="3120" w:type="dxa"/>
          </w:tcPr>
          <w:p w14:paraId="0370494B">
            <w:r>
              <w:rPr>
                <w:rFonts w:ascii="Times New Roman" w:hAnsi="Times New Roman"/>
                <w:sz w:val="19"/>
              </w:rPr>
              <w:t>6</w:t>
            </w:r>
          </w:p>
        </w:tc>
      </w:tr>
      <w:tr w14:paraId="31368E61">
        <w:trPr>
          <w:jc w:val="center"/>
        </w:trPr>
        <w:tc>
          <w:tcPr>
            <w:tcW w:w="3120" w:type="dxa"/>
          </w:tcPr>
          <w:p w14:paraId="4E91BA42">
            <w:r>
              <w:rPr>
                <w:rFonts w:ascii="Times New Roman" w:hAnsi="Times New Roman"/>
                <w:i/>
                <w:sz w:val="19"/>
              </w:rPr>
              <w:t>R</w:t>
            </w:r>
            <w:r>
              <w:rPr>
                <w:rFonts w:ascii="Times New Roman" w:hAnsi="Times New Roman"/>
                <w:sz w:val="19"/>
              </w:rPr>
              <w:t>²</w:t>
            </w:r>
          </w:p>
        </w:tc>
        <w:tc>
          <w:tcPr>
            <w:tcW w:w="3120" w:type="dxa"/>
          </w:tcPr>
          <w:p w14:paraId="78EDEB5F">
            <w:r>
              <w:rPr>
                <w:rFonts w:ascii="Times New Roman" w:hAnsi="Times New Roman"/>
                <w:sz w:val="19"/>
              </w:rPr>
              <w:t>0.141</w:t>
            </w:r>
          </w:p>
        </w:tc>
        <w:tc>
          <w:tcPr>
            <w:tcW w:w="3120" w:type="dxa"/>
          </w:tcPr>
          <w:p w14:paraId="624A3197">
            <w:r>
              <w:rPr>
                <w:rFonts w:ascii="Times New Roman" w:hAnsi="Times New Roman"/>
                <w:sz w:val="19"/>
              </w:rPr>
              <w:t>0.119</w:t>
            </w:r>
          </w:p>
        </w:tc>
      </w:tr>
    </w:tbl>
    <w:p w14:paraId="74281E64"/>
    <w:p w14:paraId="7E312A5B">
      <w:pPr>
        <w:jc w:val="both"/>
      </w:pPr>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14:paraId="675E6123">
      <w:pPr>
        <w:jc w:val="both"/>
      </w:pPr>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14:paraId="26035101">
      <w:pPr>
        <w:jc w:val="both"/>
      </w:pPr>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14:paraId="5B3C0B37">
      <w:pPr>
        <w:jc w:val="both"/>
      </w:pPr>
      <w:r>
        <w:rPr>
          <w:rFonts w:ascii="Times New Roman" w:hAnsi="Times New Roman"/>
          <w:sz w:val="24"/>
        </w:rPr>
        <w:t>The inflow coefficients β₁ and β₄ are uniformly insignificant across both thresholds. Supply increases, which require issuers to purchase T-bills, do not generate significant spread effects regardless of the buffer level. This asymmetry is what the forced-sale theory predicts: orderly T-bill purchases compress spreads smoothly, while forced T-bill sales in depleted-buffer states generate pressure on the spread.</w:t>
      </w:r>
    </w:p>
    <w:p w14:paraId="4C8F9776">
      <w:pPr>
        <w:jc w:val="both"/>
      </w:pPr>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14:paraId="614BED6D">
      <w:pPr>
        <w:jc w:val="center"/>
      </w:pPr>
      <w:r>
        <w:drawing>
          <wp:inline distT="0" distB="0" distL="114300" distR="114300">
            <wp:extent cx="5486400" cy="3919220"/>
            <wp:effectExtent l="0" t="0" r="0"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86400" cy="3919616"/>
                    </a:xfrm>
                    <a:prstGeom prst="rect">
                      <a:avLst/>
                    </a:prstGeom>
                  </pic:spPr>
                </pic:pic>
              </a:graphicData>
            </a:graphic>
          </wp:inline>
        </w:drawing>
      </w:r>
    </w:p>
    <w:p w14:paraId="0D5B10C4">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14:paraId="33822AB7">
      <w:pPr>
        <w:spacing w:before="200" w:after="80"/>
      </w:pPr>
      <w:r>
        <w:rPr>
          <w:rFonts w:ascii="Times New Roman" w:hAnsi="Times New Roman"/>
          <w:b/>
          <w:color w:val="000000"/>
          <w:sz w:val="24"/>
        </w:rPr>
        <w:t>3.4 Issuer-Specific Event Study</w:t>
      </w:r>
    </w:p>
    <w:p w14:paraId="059D4D02">
      <w:pPr>
        <w:jc w:val="both"/>
      </w:pPr>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14:paraId="006F9F62">
      <w:pPr>
        <w:jc w:val="both"/>
      </w:pPr>
      <w:r>
        <w:rPr>
          <w:rFonts w:ascii="Times New Roman" w:hAnsi="Times New Roman"/>
          <w:b/>
          <w:sz w:val="24"/>
        </w:rPr>
        <w:t>Table 4. Issuer-Specific Event Study: CARs[−5, +20]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7"/>
        <w:gridCol w:w="1337"/>
        <w:gridCol w:w="1337"/>
        <w:gridCol w:w="1337"/>
        <w:gridCol w:w="1337"/>
        <w:gridCol w:w="1337"/>
        <w:gridCol w:w="1337"/>
      </w:tblGrid>
      <w:tr w14:paraId="5EE493DE">
        <w:trPr>
          <w:jc w:val="center"/>
        </w:trPr>
        <w:tc>
          <w:tcPr>
            <w:tcW w:w="1337" w:type="dxa"/>
          </w:tcPr>
          <w:p w14:paraId="67422202">
            <w:r>
              <w:rPr>
                <w:rFonts w:ascii="Times New Roman" w:hAnsi="Times New Roman"/>
                <w:b/>
                <w:sz w:val="19"/>
              </w:rPr>
              <w:t>Event</w:t>
            </w:r>
          </w:p>
        </w:tc>
        <w:tc>
          <w:tcPr>
            <w:tcW w:w="1337" w:type="dxa"/>
          </w:tcPr>
          <w:p w14:paraId="64827351">
            <w:r>
              <w:rPr>
                <w:rFonts w:ascii="Times New Roman" w:hAnsi="Times New Roman"/>
                <w:b/>
                <w:sz w:val="19"/>
              </w:rPr>
              <w:t>Date</w:t>
            </w:r>
          </w:p>
        </w:tc>
        <w:tc>
          <w:tcPr>
            <w:tcW w:w="1337" w:type="dxa"/>
          </w:tcPr>
          <w:p w14:paraId="77A054D7">
            <w:r>
              <w:rPr>
                <w:rFonts w:ascii="Times New Roman" w:hAnsi="Times New Roman"/>
                <w:b/>
                <w:sz w:val="19"/>
              </w:rPr>
              <w:t>Issuer Cause</w:t>
            </w:r>
          </w:p>
        </w:tc>
        <w:tc>
          <w:tcPr>
            <w:tcW w:w="1337" w:type="dxa"/>
          </w:tcPr>
          <w:p w14:paraId="107BC42F">
            <w:r>
              <w:rPr>
                <w:rFonts w:ascii="Times New Roman" w:hAnsi="Times New Roman"/>
                <w:b/>
                <w:sz w:val="19"/>
              </w:rPr>
              <w:t>USDT Buffer</w:t>
            </w:r>
          </w:p>
        </w:tc>
        <w:tc>
          <w:tcPr>
            <w:tcW w:w="1337" w:type="dxa"/>
          </w:tcPr>
          <w:p w14:paraId="3817EFD1">
            <w:r>
              <w:rPr>
                <w:rFonts w:ascii="Times New Roman" w:hAnsi="Times New Roman"/>
                <w:b/>
                <w:sz w:val="19"/>
              </w:rPr>
              <w:t>CAR (bps)</w:t>
            </w:r>
          </w:p>
        </w:tc>
        <w:tc>
          <w:tcPr>
            <w:tcW w:w="1337" w:type="dxa"/>
          </w:tcPr>
          <w:p w14:paraId="7AC19B55">
            <w:r>
              <w:rPr>
                <w:rFonts w:ascii="Times New Roman" w:hAnsi="Times New Roman"/>
                <w:b/>
                <w:i/>
                <w:sz w:val="19"/>
              </w:rPr>
              <w:t>t</w:t>
            </w:r>
            <w:r>
              <w:rPr>
                <w:rFonts w:ascii="Times New Roman" w:hAnsi="Times New Roman"/>
                <w:b/>
                <w:sz w:val="19"/>
              </w:rPr>
              <w:t>-stat</w:t>
            </w:r>
          </w:p>
        </w:tc>
        <w:tc>
          <w:tcPr>
            <w:tcW w:w="1337" w:type="dxa"/>
          </w:tcPr>
          <w:p w14:paraId="38D3B4E8">
            <w:r>
              <w:rPr>
                <w:rFonts w:ascii="Times New Roman" w:hAnsi="Times New Roman"/>
                <w:b/>
                <w:i/>
                <w:sz w:val="19"/>
              </w:rPr>
              <w:t>p</w:t>
            </w:r>
            <w:r>
              <w:rPr>
                <w:rFonts w:ascii="Times New Roman" w:hAnsi="Times New Roman"/>
                <w:b/>
                <w:sz w:val="19"/>
              </w:rPr>
              <w:t>-value</w:t>
            </w:r>
          </w:p>
        </w:tc>
      </w:tr>
      <w:tr w14:paraId="1908C978">
        <w:trPr>
          <w:jc w:val="center"/>
        </w:trPr>
        <w:tc>
          <w:tcPr>
            <w:tcW w:w="1337" w:type="dxa"/>
          </w:tcPr>
          <w:p w14:paraId="4CBBCEDB">
            <w:r>
              <w:rPr>
                <w:rFonts w:ascii="Times New Roman" w:hAnsi="Times New Roman"/>
                <w:sz w:val="19"/>
              </w:rPr>
              <w:t>USDT Partial Depeg</w:t>
            </w:r>
          </w:p>
        </w:tc>
        <w:tc>
          <w:tcPr>
            <w:tcW w:w="1337" w:type="dxa"/>
          </w:tcPr>
          <w:p w14:paraId="571ED1F7">
            <w:r>
              <w:rPr>
                <w:rFonts w:ascii="Times New Roman" w:hAnsi="Times New Roman"/>
                <w:sz w:val="19"/>
              </w:rPr>
              <w:t>2022-05-12</w:t>
            </w:r>
          </w:p>
        </w:tc>
        <w:tc>
          <w:tcPr>
            <w:tcW w:w="1337" w:type="dxa"/>
          </w:tcPr>
          <w:p w14:paraId="2F207744">
            <w:r>
              <w:rPr>
                <w:rFonts w:ascii="Times New Roman" w:hAnsi="Times New Roman"/>
                <w:sz w:val="19"/>
              </w:rPr>
              <w:t>$10bn+ redemptions broke the USDT peg to $0.945; market concerned about Tether's backing</w:t>
            </w:r>
          </w:p>
        </w:tc>
        <w:tc>
          <w:tcPr>
            <w:tcW w:w="1337" w:type="dxa"/>
          </w:tcPr>
          <w:p w14:paraId="4C214A82">
            <w:r>
              <w:rPr>
                <w:rFonts w:ascii="Times New Roman" w:hAnsi="Times New Roman"/>
                <w:sz w:val="19"/>
              </w:rPr>
              <w:t>~16%</w:t>
            </w:r>
          </w:p>
        </w:tc>
        <w:tc>
          <w:tcPr>
            <w:tcW w:w="1337" w:type="dxa"/>
          </w:tcPr>
          <w:p w14:paraId="41FD5D2A">
            <w:r>
              <w:rPr>
                <w:rFonts w:ascii="Times New Roman" w:hAnsi="Times New Roman"/>
                <w:sz w:val="19"/>
              </w:rPr>
              <w:t>−4.3</w:t>
            </w:r>
          </w:p>
        </w:tc>
        <w:tc>
          <w:tcPr>
            <w:tcW w:w="1337" w:type="dxa"/>
          </w:tcPr>
          <w:p w14:paraId="3977A1AC">
            <w:r>
              <w:rPr>
                <w:rFonts w:ascii="Times New Roman" w:hAnsi="Times New Roman"/>
                <w:sz w:val="19"/>
              </w:rPr>
              <w:t>−0.31</w:t>
            </w:r>
          </w:p>
        </w:tc>
        <w:tc>
          <w:tcPr>
            <w:tcW w:w="1337" w:type="dxa"/>
          </w:tcPr>
          <w:p w14:paraId="0A5F6B3B">
            <w:r>
              <w:rPr>
                <w:rFonts w:ascii="Times New Roman" w:hAnsi="Times New Roman"/>
                <w:sz w:val="19"/>
              </w:rPr>
              <w:t>0.759</w:t>
            </w:r>
          </w:p>
        </w:tc>
      </w:tr>
      <w:tr w14:paraId="082404CA">
        <w:trPr>
          <w:jc w:val="center"/>
        </w:trPr>
        <w:tc>
          <w:tcPr>
            <w:tcW w:w="1337" w:type="dxa"/>
          </w:tcPr>
          <w:p w14:paraId="62140E9B">
            <w:r>
              <w:rPr>
                <w:rFonts w:ascii="Times New Roman" w:hAnsi="Times New Roman"/>
                <w:sz w:val="19"/>
              </w:rPr>
              <w:t>USDT FTX-Era Stress</w:t>
            </w:r>
          </w:p>
        </w:tc>
        <w:tc>
          <w:tcPr>
            <w:tcW w:w="1337" w:type="dxa"/>
          </w:tcPr>
          <w:p w14:paraId="5E3C2438">
            <w:r>
              <w:rPr>
                <w:rFonts w:ascii="Times New Roman" w:hAnsi="Times New Roman"/>
                <w:sz w:val="19"/>
              </w:rPr>
              <w:t>2022-11-09</w:t>
            </w:r>
          </w:p>
        </w:tc>
        <w:tc>
          <w:tcPr>
            <w:tcW w:w="1337" w:type="dxa"/>
          </w:tcPr>
          <w:p w14:paraId="7AB7CC13">
            <w:r>
              <w:rPr>
                <w:rFonts w:ascii="Times New Roman" w:hAnsi="Times New Roman"/>
                <w:sz w:val="19"/>
              </w:rPr>
              <w:t>FTX collapse raised concerns about Tether's exposure to Alameda Research; USDT hit $0.997</w:t>
            </w:r>
          </w:p>
        </w:tc>
        <w:tc>
          <w:tcPr>
            <w:tcW w:w="1337" w:type="dxa"/>
          </w:tcPr>
          <w:p w14:paraId="2647FC3D">
            <w:r>
              <w:rPr>
                <w:rFonts w:ascii="Times New Roman" w:hAnsi="Times New Roman"/>
                <w:sz w:val="19"/>
              </w:rPr>
              <w:t>~19%</w:t>
            </w:r>
          </w:p>
        </w:tc>
        <w:tc>
          <w:tcPr>
            <w:tcW w:w="1337" w:type="dxa"/>
          </w:tcPr>
          <w:p w14:paraId="396D0974">
            <w:r>
              <w:rPr>
                <w:rFonts w:ascii="Times New Roman" w:hAnsi="Times New Roman"/>
                <w:sz w:val="19"/>
              </w:rPr>
              <w:t>−2.1</w:t>
            </w:r>
          </w:p>
        </w:tc>
        <w:tc>
          <w:tcPr>
            <w:tcW w:w="1337" w:type="dxa"/>
          </w:tcPr>
          <w:p w14:paraId="490E6A9D">
            <w:r>
              <w:rPr>
                <w:rFonts w:ascii="Times New Roman" w:hAnsi="Times New Roman"/>
                <w:sz w:val="19"/>
              </w:rPr>
              <w:t>−0.18</w:t>
            </w:r>
          </w:p>
        </w:tc>
        <w:tc>
          <w:tcPr>
            <w:tcW w:w="1337" w:type="dxa"/>
          </w:tcPr>
          <w:p w14:paraId="005265A6">
            <w:r>
              <w:rPr>
                <w:rFonts w:ascii="Times New Roman" w:hAnsi="Times New Roman"/>
                <w:sz w:val="19"/>
              </w:rPr>
              <w:t>0.858</w:t>
            </w:r>
          </w:p>
        </w:tc>
      </w:tr>
    </w:tbl>
    <w:p w14:paraId="5679A0BA"/>
    <w:p w14:paraId="48DCBAA7">
      <w:pPr>
        <w:jc w:val="both"/>
      </w:pPr>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14:paraId="19954683">
      <w:pPr>
        <w:jc w:val="center"/>
      </w:pPr>
      <w:r>
        <w:drawing>
          <wp:inline distT="0" distB="0" distL="114300" distR="114300">
            <wp:extent cx="5486400" cy="2745105"/>
            <wp:effectExtent l="0" t="0" r="0" b="234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86400" cy="2745255"/>
                    </a:xfrm>
                    <a:prstGeom prst="rect">
                      <a:avLst/>
                    </a:prstGeom>
                  </pic:spPr>
                </pic:pic>
              </a:graphicData>
            </a:graphic>
          </wp:inline>
        </w:drawing>
      </w:r>
    </w:p>
    <w:p w14:paraId="0A9C447A">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14:paraId="62061B37">
      <w:pPr>
        <w:jc w:val="both"/>
      </w:pPr>
      <w:r>
        <w:rPr>
          <w:rFonts w:ascii="Times New Roman" w:hAnsi="Times New Roman"/>
          <w:sz w:val="24"/>
        </w:rPr>
        <w:t>Both events occurred when USDT held buffers well above the 4% threshold, and in both cases the spread response is statistically indistinguishable from zero. This is consistent with the theory: the fragility channel requires a depleted buffer to activate. The event study cannot test the sub-4% buffer case because no major stress episode has occurred during the 2025–2026 low-buffer period. It therefore serves as a qualitative illustration of the mechanism under high-buffer conditions, not as independent evidence of the threshold effect.</w:t>
      </w:r>
    </w:p>
    <w:p w14:paraId="5D0CCCBB">
      <w:pPr>
        <w:spacing w:before="200" w:after="80"/>
      </w:pPr>
      <w:r>
        <w:rPr>
          <w:rFonts w:ascii="Times New Roman" w:hAnsi="Times New Roman"/>
          <w:b/>
          <w:color w:val="000000"/>
          <w:sz w:val="28"/>
        </w:rPr>
        <w:t>4. Conclusion</w:t>
      </w:r>
    </w:p>
    <w:p w14:paraId="0B432133">
      <w:pPr>
        <w:jc w:val="both"/>
      </w:pPr>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14:paraId="314B4DE2">
      <w:pPr>
        <w:jc w:val="both"/>
      </w:pPr>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14:paraId="34C0D9FA">
      <w:pPr>
        <w:jc w:val="both"/>
      </w:pPr>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14:paraId="11557CE5">
      <w:pPr>
        <w:jc w:val="both"/>
      </w:pPr>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14:paraId="232E0F2D">
      <w:pPr>
        <w:spacing w:before="200" w:after="80"/>
        <w:rPr>
          <w:rFonts w:ascii="Times New Roman" w:hAnsi="Times New Roman"/>
          <w:b/>
          <w:color w:val="000000"/>
          <w:sz w:val="28"/>
        </w:rPr>
      </w:pPr>
    </w:p>
    <w:p w14:paraId="25E015DD">
      <w:pPr>
        <w:spacing w:before="200" w:after="80"/>
      </w:pPr>
      <w:r>
        <w:rPr>
          <w:rFonts w:ascii="Times New Roman" w:hAnsi="Times New Roman"/>
          <w:b/>
          <w:color w:val="000000"/>
          <w:sz w:val="28"/>
        </w:rPr>
        <w:t>References</w:t>
      </w:r>
    </w:p>
    <w:p w14:paraId="7983E7A2">
      <w:pPr>
        <w:jc w:val="both"/>
      </w:pPr>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14:paraId="3E7039CB">
      <w:pPr>
        <w:jc w:val="both"/>
      </w:pPr>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14:paraId="5C256A06">
      <w:pPr>
        <w:jc w:val="both"/>
      </w:pPr>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14:paraId="2AF4230F">
      <w:pPr>
        <w:jc w:val="both"/>
      </w:pPr>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14:paraId="756928FF">
      <w:pPr>
        <w:jc w:val="both"/>
      </w:pPr>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14:paraId="08B85137">
      <w:pPr>
        <w:jc w:val="both"/>
      </w:pPr>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14:paraId="3B61D666">
      <w:pPr>
        <w:jc w:val="both"/>
      </w:pPr>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14:paraId="0290F6A1">
      <w:pPr>
        <w:jc w:val="both"/>
      </w:pPr>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14:paraId="7A9D19D5">
      <w:pPr>
        <w:jc w:val="both"/>
      </w:pPr>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14:paraId="1B4EF5C4">
      <w:pPr>
        <w:jc w:val="both"/>
      </w:pPr>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14:paraId="45107D12">
      <w:pPr>
        <w:jc w:val="both"/>
      </w:pPr>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14:paraId="43CC233B">
      <w:pPr>
        <w:jc w:val="both"/>
      </w:pPr>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14:paraId="2DB29992">
      <w:pPr>
        <w:jc w:val="both"/>
      </w:pPr>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14:paraId="13FC4D18">
      <w:pPr>
        <w:jc w:val="both"/>
      </w:pPr>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14:paraId="7C9ACA5A">
      <w:pPr>
        <w:jc w:val="both"/>
      </w:pPr>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14:paraId="29ABCA90">
      <w:pPr>
        <w:spacing w:before="200" w:after="80"/>
        <w:rPr>
          <w:rFonts w:ascii="Times New Roman" w:hAnsi="Times New Roman"/>
          <w:b/>
          <w:color w:val="000000"/>
          <w:sz w:val="28"/>
        </w:rPr>
      </w:pPr>
    </w:p>
    <w:p w14:paraId="0B876913">
      <w:pPr>
        <w:spacing w:before="200" w:after="80"/>
        <w:rPr>
          <w:rFonts w:ascii="Times New Roman" w:hAnsi="Times New Roman"/>
          <w:b/>
          <w:color w:val="000000"/>
          <w:sz w:val="28"/>
        </w:rPr>
      </w:pPr>
    </w:p>
    <w:p w14:paraId="1B9480C5">
      <w:pPr>
        <w:spacing w:before="200" w:after="80"/>
        <w:rPr>
          <w:rFonts w:ascii="Times New Roman" w:hAnsi="Times New Roman"/>
          <w:b/>
          <w:color w:val="000000"/>
          <w:sz w:val="28"/>
        </w:rPr>
      </w:pPr>
    </w:p>
    <w:p w14:paraId="1BCC9B32">
      <w:pPr>
        <w:spacing w:before="200" w:after="80"/>
        <w:rPr>
          <w:rFonts w:ascii="Times New Roman" w:hAnsi="Times New Roman"/>
          <w:b/>
          <w:color w:val="000000"/>
          <w:sz w:val="28"/>
        </w:rPr>
      </w:pPr>
    </w:p>
    <w:p w14:paraId="3C70E3A8">
      <w:pPr>
        <w:spacing w:before="200" w:after="80"/>
      </w:pPr>
      <w:bookmarkStart w:id="0" w:name="_GoBack"/>
      <w:bookmarkEnd w:id="0"/>
      <w:r>
        <w:rPr>
          <w:rFonts w:ascii="Times New Roman" w:hAnsi="Times New Roman"/>
          <w:b/>
          <w:color w:val="000000"/>
          <w:sz w:val="28"/>
        </w:rPr>
        <w:t>Appendix</w:t>
      </w:r>
    </w:p>
    <w:p w14:paraId="438C56AC">
      <w:pPr>
        <w:spacing w:before="200" w:after="80"/>
      </w:pPr>
      <w:r>
        <w:rPr>
          <w:rFonts w:ascii="Times New Roman" w:hAnsi="Times New Roman"/>
          <w:b/>
          <w:color w:val="000000"/>
          <w:sz w:val="24"/>
        </w:rPr>
        <w:t>A.1 Verified USDT Liquid Buffer Values</w:t>
      </w:r>
    </w:p>
    <w:p w14:paraId="7F446A45">
      <w:pPr>
        <w:jc w:val="both"/>
      </w:pPr>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0A7792E1">
        <w:trPr>
          <w:jc w:val="center"/>
        </w:trPr>
        <w:tc>
          <w:tcPr>
            <w:tcW w:w="2340" w:type="dxa"/>
          </w:tcPr>
          <w:p w14:paraId="04457EC5">
            <w:r>
              <w:rPr>
                <w:rFonts w:ascii="Times New Roman" w:hAnsi="Times New Roman"/>
                <w:b/>
                <w:sz w:val="19"/>
              </w:rPr>
              <w:t>Date</w:t>
            </w:r>
          </w:p>
        </w:tc>
        <w:tc>
          <w:tcPr>
            <w:tcW w:w="2340" w:type="dxa"/>
          </w:tcPr>
          <w:p w14:paraId="07625524">
            <w:r>
              <w:rPr>
                <w:rFonts w:ascii="Times New Roman" w:hAnsi="Times New Roman"/>
                <w:b/>
                <w:sz w:val="19"/>
              </w:rPr>
              <w:t>Cash</w:t>
            </w:r>
          </w:p>
        </w:tc>
        <w:tc>
          <w:tcPr>
            <w:tcW w:w="2340" w:type="dxa"/>
          </w:tcPr>
          <w:p w14:paraId="221A6A8F">
            <w:r>
              <w:rPr>
                <w:rFonts w:ascii="Times New Roman" w:hAnsi="Times New Roman"/>
                <w:b/>
                <w:sz w:val="19"/>
              </w:rPr>
              <w:t>Liquid Component</w:t>
            </w:r>
          </w:p>
        </w:tc>
        <w:tc>
          <w:tcPr>
            <w:tcW w:w="2340" w:type="dxa"/>
          </w:tcPr>
          <w:p w14:paraId="4CC0D26D">
            <w:r>
              <w:rPr>
                <w:rFonts w:ascii="Times New Roman" w:hAnsi="Times New Roman"/>
                <w:b/>
                <w:i/>
                <w:sz w:val="19"/>
              </w:rPr>
              <w:t>L</w:t>
            </w:r>
            <w:r>
              <w:rPr>
                <w:rFonts w:ascii="Times New Roman" w:hAnsi="Times New Roman"/>
                <w:b/>
                <w:sz w:val="19"/>
              </w:rPr>
              <w:t xml:space="preserve"> (%)</w:t>
            </w:r>
          </w:p>
        </w:tc>
      </w:tr>
      <w:tr w14:paraId="7B6C19DA">
        <w:trPr>
          <w:jc w:val="center"/>
        </w:trPr>
        <w:tc>
          <w:tcPr>
            <w:tcW w:w="2340" w:type="dxa"/>
          </w:tcPr>
          <w:p w14:paraId="3C6A6898">
            <w:r>
              <w:rPr>
                <w:rFonts w:ascii="Times New Roman" w:hAnsi="Times New Roman"/>
                <w:sz w:val="19"/>
              </w:rPr>
              <w:t>2024-03-31</w:t>
            </w:r>
          </w:p>
        </w:tc>
        <w:tc>
          <w:tcPr>
            <w:tcW w:w="2340" w:type="dxa"/>
          </w:tcPr>
          <w:p w14:paraId="4EDCCB52">
            <w:r>
              <w:rPr>
                <w:rFonts w:ascii="Times New Roman" w:hAnsi="Times New Roman"/>
                <w:sz w:val="19"/>
              </w:rPr>
              <w:t>$100.3M</w:t>
            </w:r>
          </w:p>
        </w:tc>
        <w:tc>
          <w:tcPr>
            <w:tcW w:w="2340" w:type="dxa"/>
          </w:tcPr>
          <w:p w14:paraId="4DAF827C">
            <w:r>
              <w:rPr>
                <w:rFonts w:ascii="Times New Roman" w:hAnsi="Times New Roman"/>
                <w:sz w:val="19"/>
              </w:rPr>
              <w:t>$6.28bn MMF</w:t>
            </w:r>
          </w:p>
        </w:tc>
        <w:tc>
          <w:tcPr>
            <w:tcW w:w="2340" w:type="dxa"/>
          </w:tcPr>
          <w:p w14:paraId="6A571580">
            <w:r>
              <w:rPr>
                <w:rFonts w:ascii="Times New Roman" w:hAnsi="Times New Roman"/>
                <w:sz w:val="19"/>
              </w:rPr>
              <w:t>6.1%</w:t>
            </w:r>
          </w:p>
        </w:tc>
      </w:tr>
      <w:tr w14:paraId="60831F00">
        <w:trPr>
          <w:jc w:val="center"/>
        </w:trPr>
        <w:tc>
          <w:tcPr>
            <w:tcW w:w="2340" w:type="dxa"/>
          </w:tcPr>
          <w:p w14:paraId="788BBDD9">
            <w:r>
              <w:rPr>
                <w:rFonts w:ascii="Times New Roman" w:hAnsi="Times New Roman"/>
                <w:sz w:val="19"/>
              </w:rPr>
              <w:t>2024-06-30</w:t>
            </w:r>
          </w:p>
        </w:tc>
        <w:tc>
          <w:tcPr>
            <w:tcW w:w="2340" w:type="dxa"/>
          </w:tcPr>
          <w:p w14:paraId="359F19DA">
            <w:r>
              <w:rPr>
                <w:rFonts w:ascii="Times New Roman" w:hAnsi="Times New Roman"/>
                <w:sz w:val="19"/>
              </w:rPr>
              <w:t>$109.9M</w:t>
            </w:r>
          </w:p>
        </w:tc>
        <w:tc>
          <w:tcPr>
            <w:tcW w:w="2340" w:type="dxa"/>
          </w:tcPr>
          <w:p w14:paraId="0FB33013">
            <w:r>
              <w:rPr>
                <w:rFonts w:ascii="Times New Roman" w:hAnsi="Times New Roman"/>
                <w:sz w:val="19"/>
              </w:rPr>
              <w:t>$6.36bn MMF</w:t>
            </w:r>
          </w:p>
        </w:tc>
        <w:tc>
          <w:tcPr>
            <w:tcW w:w="2340" w:type="dxa"/>
          </w:tcPr>
          <w:p w14:paraId="40EE4B7A">
            <w:r>
              <w:rPr>
                <w:rFonts w:ascii="Times New Roman" w:hAnsi="Times New Roman"/>
                <w:sz w:val="19"/>
              </w:rPr>
              <w:t>5.7%</w:t>
            </w:r>
          </w:p>
        </w:tc>
      </w:tr>
      <w:tr w14:paraId="2DDF12B7">
        <w:trPr>
          <w:jc w:val="center"/>
        </w:trPr>
        <w:tc>
          <w:tcPr>
            <w:tcW w:w="2340" w:type="dxa"/>
          </w:tcPr>
          <w:p w14:paraId="0DB06214">
            <w:r>
              <w:rPr>
                <w:rFonts w:ascii="Times New Roman" w:hAnsi="Times New Roman"/>
                <w:sz w:val="19"/>
              </w:rPr>
              <w:t>2024-12-31</w:t>
            </w:r>
          </w:p>
        </w:tc>
        <w:tc>
          <w:tcPr>
            <w:tcW w:w="2340" w:type="dxa"/>
          </w:tcPr>
          <w:p w14:paraId="4801D7E8">
            <w:r>
              <w:rPr>
                <w:rFonts w:ascii="Times New Roman" w:hAnsi="Times New Roman"/>
                <w:sz w:val="19"/>
              </w:rPr>
              <w:t>$108.8M</w:t>
            </w:r>
          </w:p>
        </w:tc>
        <w:tc>
          <w:tcPr>
            <w:tcW w:w="2340" w:type="dxa"/>
          </w:tcPr>
          <w:p w14:paraId="6530FCDD">
            <w:r>
              <w:rPr>
                <w:rFonts w:ascii="Times New Roman" w:hAnsi="Times New Roman"/>
                <w:sz w:val="19"/>
              </w:rPr>
              <w:t>$6.51bn MMF</w:t>
            </w:r>
          </w:p>
        </w:tc>
        <w:tc>
          <w:tcPr>
            <w:tcW w:w="2340" w:type="dxa"/>
          </w:tcPr>
          <w:p w14:paraId="7ED5FC92">
            <w:r>
              <w:rPr>
                <w:rFonts w:ascii="Times New Roman" w:hAnsi="Times New Roman"/>
                <w:sz w:val="19"/>
              </w:rPr>
              <w:t>4.8%</w:t>
            </w:r>
          </w:p>
        </w:tc>
      </w:tr>
      <w:tr w14:paraId="020001F8">
        <w:trPr>
          <w:jc w:val="center"/>
        </w:trPr>
        <w:tc>
          <w:tcPr>
            <w:tcW w:w="2340" w:type="dxa"/>
          </w:tcPr>
          <w:p w14:paraId="092C3F10">
            <w:r>
              <w:rPr>
                <w:rFonts w:ascii="Times New Roman" w:hAnsi="Times New Roman"/>
                <w:sz w:val="19"/>
              </w:rPr>
              <w:t>2025-03-31</w:t>
            </w:r>
          </w:p>
        </w:tc>
        <w:tc>
          <w:tcPr>
            <w:tcW w:w="2340" w:type="dxa"/>
          </w:tcPr>
          <w:p w14:paraId="4294DF75">
            <w:r>
              <w:rPr>
                <w:rFonts w:ascii="Times New Roman" w:hAnsi="Times New Roman"/>
                <w:sz w:val="19"/>
              </w:rPr>
              <w:t>$64.3M</w:t>
            </w:r>
          </w:p>
        </w:tc>
        <w:tc>
          <w:tcPr>
            <w:tcW w:w="2340" w:type="dxa"/>
          </w:tcPr>
          <w:p w14:paraId="70FC7A79">
            <w:r>
              <w:rPr>
                <w:rFonts w:ascii="Times New Roman" w:hAnsi="Times New Roman"/>
                <w:sz w:val="19"/>
              </w:rPr>
              <w:t>$6.29bn MMF</w:t>
            </w:r>
          </w:p>
        </w:tc>
        <w:tc>
          <w:tcPr>
            <w:tcW w:w="2340" w:type="dxa"/>
          </w:tcPr>
          <w:p w14:paraId="1E009A7C">
            <w:r>
              <w:rPr>
                <w:rFonts w:ascii="Times New Roman" w:hAnsi="Times New Roman"/>
                <w:sz w:val="19"/>
              </w:rPr>
              <w:t>4.4%</w:t>
            </w:r>
          </w:p>
        </w:tc>
      </w:tr>
      <w:tr w14:paraId="5DF9160E">
        <w:trPr>
          <w:jc w:val="center"/>
        </w:trPr>
        <w:tc>
          <w:tcPr>
            <w:tcW w:w="2340" w:type="dxa"/>
          </w:tcPr>
          <w:p w14:paraId="728D6434">
            <w:r>
              <w:rPr>
                <w:rFonts w:ascii="Times New Roman" w:hAnsi="Times New Roman"/>
                <w:sz w:val="19"/>
              </w:rPr>
              <w:t>2025-06-30</w:t>
            </w:r>
          </w:p>
        </w:tc>
        <w:tc>
          <w:tcPr>
            <w:tcW w:w="2340" w:type="dxa"/>
          </w:tcPr>
          <w:p w14:paraId="18C2143C">
            <w:r>
              <w:rPr>
                <w:rFonts w:ascii="Times New Roman" w:hAnsi="Times New Roman"/>
                <w:sz w:val="19"/>
              </w:rPr>
              <w:t>$32.4M</w:t>
            </w:r>
          </w:p>
        </w:tc>
        <w:tc>
          <w:tcPr>
            <w:tcW w:w="2340" w:type="dxa"/>
          </w:tcPr>
          <w:p w14:paraId="56DF88C6">
            <w:r>
              <w:rPr>
                <w:rFonts w:ascii="Times New Roman" w:hAnsi="Times New Roman"/>
                <w:sz w:val="19"/>
              </w:rPr>
              <w:t>$6.35bn MMF</w:t>
            </w:r>
          </w:p>
        </w:tc>
        <w:tc>
          <w:tcPr>
            <w:tcW w:w="2340" w:type="dxa"/>
          </w:tcPr>
          <w:p w14:paraId="0B2AEEB5">
            <w:r>
              <w:rPr>
                <w:rFonts w:ascii="Times New Roman" w:hAnsi="Times New Roman"/>
                <w:sz w:val="19"/>
              </w:rPr>
              <w:t>4.1%</w:t>
            </w:r>
          </w:p>
        </w:tc>
      </w:tr>
      <w:tr w14:paraId="18412103">
        <w:trPr>
          <w:jc w:val="center"/>
        </w:trPr>
        <w:tc>
          <w:tcPr>
            <w:tcW w:w="2340" w:type="dxa"/>
          </w:tcPr>
          <w:p w14:paraId="090B8942">
            <w:r>
              <w:rPr>
                <w:rFonts w:ascii="Times New Roman" w:hAnsi="Times New Roman"/>
                <w:sz w:val="19"/>
              </w:rPr>
              <w:t>2025-09-30</w:t>
            </w:r>
          </w:p>
        </w:tc>
        <w:tc>
          <w:tcPr>
            <w:tcW w:w="2340" w:type="dxa"/>
          </w:tcPr>
          <w:p w14:paraId="4C1F9DDE">
            <w:r>
              <w:rPr>
                <w:rFonts w:ascii="Times New Roman" w:hAnsi="Times New Roman"/>
                <w:sz w:val="19"/>
              </w:rPr>
              <w:t>$30.1M</w:t>
            </w:r>
          </w:p>
        </w:tc>
        <w:tc>
          <w:tcPr>
            <w:tcW w:w="2340" w:type="dxa"/>
          </w:tcPr>
          <w:p w14:paraId="223D57FB">
            <w:r>
              <w:rPr>
                <w:rFonts w:ascii="Times New Roman" w:hAnsi="Times New Roman"/>
                <w:sz w:val="19"/>
              </w:rPr>
              <w:t>$6.41bn MMF</w:t>
            </w:r>
          </w:p>
        </w:tc>
        <w:tc>
          <w:tcPr>
            <w:tcW w:w="2340" w:type="dxa"/>
          </w:tcPr>
          <w:p w14:paraId="1463C053">
            <w:r>
              <w:rPr>
                <w:rFonts w:ascii="Times New Roman" w:hAnsi="Times New Roman"/>
                <w:sz w:val="19"/>
              </w:rPr>
              <w:t>3.7%</w:t>
            </w:r>
          </w:p>
        </w:tc>
      </w:tr>
      <w:tr w14:paraId="465D0B1A">
        <w:trPr>
          <w:jc w:val="center"/>
        </w:trPr>
        <w:tc>
          <w:tcPr>
            <w:tcW w:w="2340" w:type="dxa"/>
          </w:tcPr>
          <w:p w14:paraId="213553DF">
            <w:r>
              <w:rPr>
                <w:rFonts w:ascii="Times New Roman" w:hAnsi="Times New Roman"/>
                <w:sz w:val="19"/>
              </w:rPr>
              <w:t>2025-12-31</w:t>
            </w:r>
          </w:p>
        </w:tc>
        <w:tc>
          <w:tcPr>
            <w:tcW w:w="2340" w:type="dxa"/>
          </w:tcPr>
          <w:p w14:paraId="00B0E7C1">
            <w:r>
              <w:rPr>
                <w:rFonts w:ascii="Times New Roman" w:hAnsi="Times New Roman"/>
                <w:sz w:val="19"/>
              </w:rPr>
              <w:t>$34.0M</w:t>
            </w:r>
          </w:p>
        </w:tc>
        <w:tc>
          <w:tcPr>
            <w:tcW w:w="2340" w:type="dxa"/>
          </w:tcPr>
          <w:p w14:paraId="7E32DA3D">
            <w:r>
              <w:rPr>
                <w:rFonts w:ascii="Times New Roman" w:hAnsi="Times New Roman"/>
                <w:sz w:val="19"/>
              </w:rPr>
              <w:t>$5.55bn Term Repo</w:t>
            </w:r>
          </w:p>
        </w:tc>
        <w:tc>
          <w:tcPr>
            <w:tcW w:w="2340" w:type="dxa"/>
          </w:tcPr>
          <w:p w14:paraId="00A1F20B">
            <w:r>
              <w:rPr>
                <w:rFonts w:ascii="Times New Roman" w:hAnsi="Times New Roman"/>
                <w:sz w:val="19"/>
              </w:rPr>
              <w:t>3.0%</w:t>
            </w:r>
          </w:p>
        </w:tc>
      </w:tr>
      <w:tr w14:paraId="158FDEFA">
        <w:trPr>
          <w:jc w:val="center"/>
        </w:trPr>
        <w:tc>
          <w:tcPr>
            <w:tcW w:w="2340" w:type="dxa"/>
          </w:tcPr>
          <w:p w14:paraId="2CAFE4F9">
            <w:r>
              <w:rPr>
                <w:rFonts w:ascii="Times New Roman" w:hAnsi="Times New Roman"/>
                <w:sz w:val="19"/>
              </w:rPr>
              <w:t>2026-03-31</w:t>
            </w:r>
          </w:p>
        </w:tc>
        <w:tc>
          <w:tcPr>
            <w:tcW w:w="2340" w:type="dxa"/>
          </w:tcPr>
          <w:p w14:paraId="4B11E828">
            <w:r>
              <w:rPr>
                <w:rFonts w:ascii="Times New Roman" w:hAnsi="Times New Roman"/>
                <w:sz w:val="19"/>
              </w:rPr>
              <w:t>$107.0M</w:t>
            </w:r>
          </w:p>
        </w:tc>
        <w:tc>
          <w:tcPr>
            <w:tcW w:w="2340" w:type="dxa"/>
          </w:tcPr>
          <w:p w14:paraId="5B3ADC1E">
            <w:r>
              <w:rPr>
                <w:rFonts w:ascii="Times New Roman" w:hAnsi="Times New Roman"/>
                <w:sz w:val="19"/>
              </w:rPr>
              <w:t>$4.75bn Term Repo</w:t>
            </w:r>
          </w:p>
        </w:tc>
        <w:tc>
          <w:tcPr>
            <w:tcW w:w="2340" w:type="dxa"/>
          </w:tcPr>
          <w:p w14:paraId="75507601">
            <w:r>
              <w:rPr>
                <w:rFonts w:ascii="Times New Roman" w:hAnsi="Times New Roman"/>
                <w:sz w:val="19"/>
              </w:rPr>
              <w:t>2.6%</w:t>
            </w:r>
          </w:p>
        </w:tc>
      </w:tr>
    </w:tbl>
    <w:p w14:paraId="222C47E3"/>
    <w:p w14:paraId="44133AB5">
      <w:pPr>
        <w:spacing w:before="200" w:after="80"/>
      </w:pPr>
      <w:r>
        <w:rPr>
          <w:rFonts w:ascii="Times New Roman" w:hAnsi="Times New Roman"/>
          <w:b/>
          <w:color w:val="000000"/>
          <w:sz w:val="24"/>
        </w:rPr>
        <w:t>A.2 Full Stationarity and Cointegration Test Output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4BC861FD">
        <w:trPr>
          <w:jc w:val="center"/>
        </w:trPr>
        <w:tc>
          <w:tcPr>
            <w:tcW w:w="1872" w:type="dxa"/>
          </w:tcPr>
          <w:p w14:paraId="339D07C5">
            <w:r>
              <w:rPr>
                <w:rFonts w:ascii="Times New Roman" w:hAnsi="Times New Roman"/>
                <w:b/>
                <w:sz w:val="19"/>
              </w:rPr>
              <w:t>Test</w:t>
            </w:r>
          </w:p>
        </w:tc>
        <w:tc>
          <w:tcPr>
            <w:tcW w:w="1872" w:type="dxa"/>
          </w:tcPr>
          <w:p w14:paraId="198A1B6D">
            <w:r>
              <w:rPr>
                <w:rFonts w:ascii="Times New Roman" w:hAnsi="Times New Roman"/>
                <w:b/>
                <w:sz w:val="19"/>
              </w:rPr>
              <w:t>Variable</w:t>
            </w:r>
          </w:p>
        </w:tc>
        <w:tc>
          <w:tcPr>
            <w:tcW w:w="1872" w:type="dxa"/>
          </w:tcPr>
          <w:p w14:paraId="22E0E8B6">
            <w:r>
              <w:rPr>
                <w:rFonts w:ascii="Times New Roman" w:hAnsi="Times New Roman"/>
                <w:b/>
                <w:sz w:val="19"/>
              </w:rPr>
              <w:t>Lags (AIC)</w:t>
            </w:r>
          </w:p>
        </w:tc>
        <w:tc>
          <w:tcPr>
            <w:tcW w:w="1872" w:type="dxa"/>
          </w:tcPr>
          <w:p w14:paraId="51971BEA">
            <w:r>
              <w:rPr>
                <w:rFonts w:ascii="Times New Roman" w:hAnsi="Times New Roman"/>
                <w:b/>
                <w:sz w:val="19"/>
              </w:rPr>
              <w:t>Statistic</w:t>
            </w:r>
          </w:p>
        </w:tc>
        <w:tc>
          <w:tcPr>
            <w:tcW w:w="1872" w:type="dxa"/>
          </w:tcPr>
          <w:p w14:paraId="258A2FCC">
            <w:r>
              <w:rPr>
                <w:rFonts w:ascii="Times New Roman" w:hAnsi="Times New Roman"/>
                <w:b/>
                <w:i/>
                <w:sz w:val="19"/>
              </w:rPr>
              <w:t>p</w:t>
            </w:r>
            <w:r>
              <w:rPr>
                <w:rFonts w:ascii="Times New Roman" w:hAnsi="Times New Roman"/>
                <w:b/>
                <w:sz w:val="19"/>
              </w:rPr>
              <w:t>-value</w:t>
            </w:r>
          </w:p>
        </w:tc>
      </w:tr>
      <w:tr w14:paraId="620563B4">
        <w:trPr>
          <w:jc w:val="center"/>
        </w:trPr>
        <w:tc>
          <w:tcPr>
            <w:tcW w:w="1872" w:type="dxa"/>
          </w:tcPr>
          <w:p w14:paraId="5B2CB2C0">
            <w:r>
              <w:rPr>
                <w:rFonts w:ascii="Times New Roman" w:hAnsi="Times New Roman"/>
                <w:sz w:val="19"/>
              </w:rPr>
              <w:t>ADF</w:t>
            </w:r>
          </w:p>
        </w:tc>
        <w:tc>
          <w:tcPr>
            <w:tcW w:w="1872" w:type="dxa"/>
          </w:tcPr>
          <w:p w14:paraId="315A810D">
            <w:r>
              <w:rPr>
                <w:rFonts w:ascii="Times New Roman" w:hAnsi="Times New Roman"/>
                <w:sz w:val="19"/>
              </w:rPr>
              <w:t>OIS–Treasury Spread (level)</w:t>
            </w:r>
          </w:p>
        </w:tc>
        <w:tc>
          <w:tcPr>
            <w:tcW w:w="1872" w:type="dxa"/>
          </w:tcPr>
          <w:p w14:paraId="55246D70">
            <w:r>
              <w:rPr>
                <w:rFonts w:ascii="Times New Roman" w:hAnsi="Times New Roman"/>
                <w:sz w:val="19"/>
              </w:rPr>
              <w:t>4</w:t>
            </w:r>
          </w:p>
        </w:tc>
        <w:tc>
          <w:tcPr>
            <w:tcW w:w="1872" w:type="dxa"/>
          </w:tcPr>
          <w:p w14:paraId="200E6074">
            <w:r>
              <w:rPr>
                <w:rFonts w:ascii="Times New Roman" w:hAnsi="Times New Roman"/>
                <w:sz w:val="19"/>
              </w:rPr>
              <w:t>−1.580</w:t>
            </w:r>
          </w:p>
        </w:tc>
        <w:tc>
          <w:tcPr>
            <w:tcW w:w="1872" w:type="dxa"/>
          </w:tcPr>
          <w:p w14:paraId="18126F5F">
            <w:r>
              <w:rPr>
                <w:rFonts w:ascii="Times New Roman" w:hAnsi="Times New Roman"/>
                <w:sz w:val="19"/>
              </w:rPr>
              <w:t>0.494</w:t>
            </w:r>
          </w:p>
        </w:tc>
      </w:tr>
      <w:tr w14:paraId="5D954167">
        <w:trPr>
          <w:jc w:val="center"/>
        </w:trPr>
        <w:tc>
          <w:tcPr>
            <w:tcW w:w="1872" w:type="dxa"/>
          </w:tcPr>
          <w:p w14:paraId="7CFCB974">
            <w:r>
              <w:rPr>
                <w:rFonts w:ascii="Times New Roman" w:hAnsi="Times New Roman"/>
                <w:sz w:val="19"/>
              </w:rPr>
              <w:t>ADF</w:t>
            </w:r>
          </w:p>
        </w:tc>
        <w:tc>
          <w:tcPr>
            <w:tcW w:w="1872" w:type="dxa"/>
          </w:tcPr>
          <w:p w14:paraId="2892CA07">
            <w:r>
              <w:rPr>
                <w:rFonts w:ascii="Times New Roman" w:hAnsi="Times New Roman"/>
                <w:sz w:val="19"/>
              </w:rPr>
              <w:t>ΔSpread (first difference)</w:t>
            </w:r>
          </w:p>
        </w:tc>
        <w:tc>
          <w:tcPr>
            <w:tcW w:w="1872" w:type="dxa"/>
          </w:tcPr>
          <w:p w14:paraId="4C1F6AC4">
            <w:r>
              <w:rPr>
                <w:rFonts w:ascii="Times New Roman" w:hAnsi="Times New Roman"/>
                <w:sz w:val="19"/>
              </w:rPr>
              <w:t>3</w:t>
            </w:r>
          </w:p>
        </w:tc>
        <w:tc>
          <w:tcPr>
            <w:tcW w:w="1872" w:type="dxa"/>
          </w:tcPr>
          <w:p w14:paraId="2E591EA5">
            <w:r>
              <w:rPr>
                <w:rFonts w:ascii="Times New Roman" w:hAnsi="Times New Roman"/>
                <w:sz w:val="19"/>
              </w:rPr>
              <w:t>−3.120</w:t>
            </w:r>
          </w:p>
        </w:tc>
        <w:tc>
          <w:tcPr>
            <w:tcW w:w="1872" w:type="dxa"/>
          </w:tcPr>
          <w:p w14:paraId="5D5F990A">
            <w:r>
              <w:rPr>
                <w:rFonts w:ascii="Times New Roman" w:hAnsi="Times New Roman"/>
                <w:sz w:val="19"/>
              </w:rPr>
              <w:t>0.025</w:t>
            </w:r>
          </w:p>
        </w:tc>
      </w:tr>
      <w:tr w14:paraId="75CB3C46">
        <w:trPr>
          <w:jc w:val="center"/>
        </w:trPr>
        <w:tc>
          <w:tcPr>
            <w:tcW w:w="1872" w:type="dxa"/>
          </w:tcPr>
          <w:p w14:paraId="6682B98B">
            <w:r>
              <w:rPr>
                <w:rFonts w:ascii="Times New Roman" w:hAnsi="Times New Roman"/>
                <w:sz w:val="19"/>
              </w:rPr>
              <w:t>ADF</w:t>
            </w:r>
          </w:p>
        </w:tc>
        <w:tc>
          <w:tcPr>
            <w:tcW w:w="1872" w:type="dxa"/>
          </w:tcPr>
          <w:p w14:paraId="504B3B6D">
            <w:r>
              <w:rPr>
                <w:rFonts w:ascii="Times New Roman" w:hAnsi="Times New Roman"/>
                <w:sz w:val="19"/>
              </w:rPr>
              <w:t>ΔlnS</w:t>
            </w:r>
          </w:p>
        </w:tc>
        <w:tc>
          <w:tcPr>
            <w:tcW w:w="1872" w:type="dxa"/>
          </w:tcPr>
          <w:p w14:paraId="57680184">
            <w:r>
              <w:rPr>
                <w:rFonts w:ascii="Times New Roman" w:hAnsi="Times New Roman"/>
                <w:sz w:val="19"/>
              </w:rPr>
              <w:t>0</w:t>
            </w:r>
          </w:p>
        </w:tc>
        <w:tc>
          <w:tcPr>
            <w:tcW w:w="1872" w:type="dxa"/>
          </w:tcPr>
          <w:p w14:paraId="375D1015">
            <w:r>
              <w:rPr>
                <w:rFonts w:ascii="Times New Roman" w:hAnsi="Times New Roman"/>
                <w:sz w:val="19"/>
              </w:rPr>
              <w:t>−4.007</w:t>
            </w:r>
          </w:p>
        </w:tc>
        <w:tc>
          <w:tcPr>
            <w:tcW w:w="1872" w:type="dxa"/>
          </w:tcPr>
          <w:p w14:paraId="60B09ADB">
            <w:r>
              <w:rPr>
                <w:rFonts w:ascii="Times New Roman" w:hAnsi="Times New Roman"/>
                <w:sz w:val="19"/>
              </w:rPr>
              <w:t>0.001</w:t>
            </w:r>
          </w:p>
        </w:tc>
      </w:tr>
      <w:tr w14:paraId="70A2BE3E">
        <w:trPr>
          <w:jc w:val="center"/>
        </w:trPr>
        <w:tc>
          <w:tcPr>
            <w:tcW w:w="1872" w:type="dxa"/>
          </w:tcPr>
          <w:p w14:paraId="043DC12F">
            <w:r>
              <w:rPr>
                <w:rFonts w:ascii="Times New Roman" w:hAnsi="Times New Roman"/>
                <w:sz w:val="19"/>
              </w:rPr>
              <w:t>ADF</w:t>
            </w:r>
          </w:p>
        </w:tc>
        <w:tc>
          <w:tcPr>
            <w:tcW w:w="1872" w:type="dxa"/>
          </w:tcPr>
          <w:p w14:paraId="0B50CE9B">
            <w:r>
              <w:rPr>
                <w:rFonts w:ascii="Times New Roman" w:hAnsi="Times New Roman"/>
                <w:i/>
                <w:sz w:val="19"/>
              </w:rPr>
              <w:t>L</w:t>
            </w:r>
            <w:r>
              <w:rPr>
                <w:rFonts w:ascii="Times New Roman" w:hAnsi="Times New Roman"/>
                <w:sz w:val="19"/>
              </w:rPr>
              <w:t xml:space="preserve"> (liquid buffer)</w:t>
            </w:r>
          </w:p>
        </w:tc>
        <w:tc>
          <w:tcPr>
            <w:tcW w:w="1872" w:type="dxa"/>
          </w:tcPr>
          <w:p w14:paraId="5D8B2565">
            <w:r>
              <w:rPr>
                <w:rFonts w:ascii="Times New Roman" w:hAnsi="Times New Roman"/>
                <w:sz w:val="19"/>
              </w:rPr>
              <w:t>11</w:t>
            </w:r>
          </w:p>
        </w:tc>
        <w:tc>
          <w:tcPr>
            <w:tcW w:w="1872" w:type="dxa"/>
          </w:tcPr>
          <w:p w14:paraId="76BD99D3">
            <w:r>
              <w:rPr>
                <w:rFonts w:ascii="Times New Roman" w:hAnsi="Times New Roman"/>
                <w:sz w:val="19"/>
              </w:rPr>
              <w:t>−3.988</w:t>
            </w:r>
          </w:p>
        </w:tc>
        <w:tc>
          <w:tcPr>
            <w:tcW w:w="1872" w:type="dxa"/>
          </w:tcPr>
          <w:p w14:paraId="076DC3E5">
            <w:r>
              <w:rPr>
                <w:rFonts w:ascii="Times New Roman" w:hAnsi="Times New Roman"/>
                <w:sz w:val="19"/>
              </w:rPr>
              <w:t>0.001</w:t>
            </w:r>
          </w:p>
        </w:tc>
      </w:tr>
      <w:tr w14:paraId="150FD520">
        <w:trPr>
          <w:jc w:val="center"/>
        </w:trPr>
        <w:tc>
          <w:tcPr>
            <w:tcW w:w="1872" w:type="dxa"/>
          </w:tcPr>
          <w:p w14:paraId="71F0E12B">
            <w:r>
              <w:rPr>
                <w:rFonts w:ascii="Times New Roman" w:hAnsi="Times New Roman"/>
                <w:sz w:val="19"/>
              </w:rPr>
              <w:t>ADF</w:t>
            </w:r>
          </w:p>
        </w:tc>
        <w:tc>
          <w:tcPr>
            <w:tcW w:w="1872" w:type="dxa"/>
          </w:tcPr>
          <w:p w14:paraId="59794CAE">
            <w:r>
              <w:rPr>
                <w:rFonts w:ascii="Times New Roman" w:hAnsi="Times New Roman"/>
                <w:sz w:val="19"/>
              </w:rPr>
              <w:t>VIX</w:t>
            </w:r>
          </w:p>
        </w:tc>
        <w:tc>
          <w:tcPr>
            <w:tcW w:w="1872" w:type="dxa"/>
          </w:tcPr>
          <w:p w14:paraId="6F07965C">
            <w:r>
              <w:rPr>
                <w:rFonts w:ascii="Times New Roman" w:hAnsi="Times New Roman"/>
                <w:sz w:val="19"/>
              </w:rPr>
              <w:t>0</w:t>
            </w:r>
          </w:p>
        </w:tc>
        <w:tc>
          <w:tcPr>
            <w:tcW w:w="1872" w:type="dxa"/>
          </w:tcPr>
          <w:p w14:paraId="35276E52">
            <w:r>
              <w:rPr>
                <w:rFonts w:ascii="Times New Roman" w:hAnsi="Times New Roman"/>
                <w:sz w:val="19"/>
              </w:rPr>
              <w:t>−2.618</w:t>
            </w:r>
          </w:p>
        </w:tc>
        <w:tc>
          <w:tcPr>
            <w:tcW w:w="1872" w:type="dxa"/>
          </w:tcPr>
          <w:p w14:paraId="739B3889">
            <w:r>
              <w:rPr>
                <w:rFonts w:ascii="Times New Roman" w:hAnsi="Times New Roman"/>
                <w:sz w:val="19"/>
              </w:rPr>
              <w:t>0.089</w:t>
            </w:r>
          </w:p>
        </w:tc>
      </w:tr>
      <w:tr w14:paraId="3EE69AD8">
        <w:trPr>
          <w:jc w:val="center"/>
        </w:trPr>
        <w:tc>
          <w:tcPr>
            <w:tcW w:w="1872" w:type="dxa"/>
          </w:tcPr>
          <w:p w14:paraId="29ED4B85">
            <w:r>
              <w:rPr>
                <w:rFonts w:ascii="Times New Roman" w:hAnsi="Times New Roman"/>
                <w:sz w:val="19"/>
              </w:rPr>
              <w:t>ADF</w:t>
            </w:r>
          </w:p>
        </w:tc>
        <w:tc>
          <w:tcPr>
            <w:tcW w:w="1872" w:type="dxa"/>
          </w:tcPr>
          <w:p w14:paraId="5B07E88E">
            <w:r>
              <w:rPr>
                <w:rFonts w:ascii="Times New Roman" w:hAnsi="Times New Roman"/>
                <w:sz w:val="19"/>
              </w:rPr>
              <w:t>ΔlnN*</w:t>
            </w:r>
          </w:p>
        </w:tc>
        <w:tc>
          <w:tcPr>
            <w:tcW w:w="1872" w:type="dxa"/>
          </w:tcPr>
          <w:p w14:paraId="685CCBB6">
            <w:r>
              <w:rPr>
                <w:rFonts w:ascii="Times New Roman" w:hAnsi="Times New Roman"/>
                <w:sz w:val="19"/>
              </w:rPr>
              <w:t>3</w:t>
            </w:r>
          </w:p>
        </w:tc>
        <w:tc>
          <w:tcPr>
            <w:tcW w:w="1872" w:type="dxa"/>
          </w:tcPr>
          <w:p w14:paraId="4A937F86">
            <w:r>
              <w:rPr>
                <w:rFonts w:ascii="Times New Roman" w:hAnsi="Times New Roman"/>
                <w:sz w:val="19"/>
              </w:rPr>
              <w:t>−4.701</w:t>
            </w:r>
          </w:p>
        </w:tc>
        <w:tc>
          <w:tcPr>
            <w:tcW w:w="1872" w:type="dxa"/>
          </w:tcPr>
          <w:p w14:paraId="37BDB990">
            <w:r>
              <w:rPr>
                <w:rFonts w:ascii="Times New Roman" w:hAnsi="Times New Roman"/>
                <w:sz w:val="19"/>
              </w:rPr>
              <w:t>&lt;0.001</w:t>
            </w:r>
          </w:p>
        </w:tc>
      </w:tr>
      <w:tr w14:paraId="1D29C20C">
        <w:trPr>
          <w:jc w:val="center"/>
        </w:trPr>
        <w:tc>
          <w:tcPr>
            <w:tcW w:w="1872" w:type="dxa"/>
          </w:tcPr>
          <w:p w14:paraId="653886CD">
            <w:r>
              <w:rPr>
                <w:rFonts w:ascii="Times New Roman" w:hAnsi="Times New Roman"/>
                <w:sz w:val="19"/>
              </w:rPr>
              <w:t>Engle-Granger</w:t>
            </w:r>
          </w:p>
        </w:tc>
        <w:tc>
          <w:tcPr>
            <w:tcW w:w="1872" w:type="dxa"/>
          </w:tcPr>
          <w:p w14:paraId="5264EB49">
            <w:r>
              <w:rPr>
                <w:rFonts w:ascii="Times New Roman" w:hAnsi="Times New Roman"/>
                <w:sz w:val="19"/>
              </w:rPr>
              <w:t>Spread ~ ΔlnS residual</w:t>
            </w:r>
          </w:p>
        </w:tc>
        <w:tc>
          <w:tcPr>
            <w:tcW w:w="1872" w:type="dxa"/>
          </w:tcPr>
          <w:p w14:paraId="52FA0B53">
            <w:r>
              <w:rPr>
                <w:rFonts w:ascii="Times New Roman" w:hAnsi="Times New Roman"/>
                <w:sz w:val="19"/>
              </w:rPr>
              <w:t>—</w:t>
            </w:r>
          </w:p>
        </w:tc>
        <w:tc>
          <w:tcPr>
            <w:tcW w:w="1872" w:type="dxa"/>
          </w:tcPr>
          <w:p w14:paraId="47480C29">
            <w:r>
              <w:rPr>
                <w:rFonts w:ascii="Times New Roman" w:hAnsi="Times New Roman"/>
                <w:sz w:val="19"/>
              </w:rPr>
              <w:t>−2.888</w:t>
            </w:r>
          </w:p>
        </w:tc>
        <w:tc>
          <w:tcPr>
            <w:tcW w:w="1872" w:type="dxa"/>
          </w:tcPr>
          <w:p w14:paraId="5CA61BFC">
            <w:r>
              <w:rPr>
                <w:rFonts w:ascii="Times New Roman" w:hAnsi="Times New Roman"/>
                <w:sz w:val="19"/>
              </w:rPr>
              <w:t>0.139</w:t>
            </w:r>
          </w:p>
        </w:tc>
      </w:tr>
      <w:tr w14:paraId="756A47BC">
        <w:trPr>
          <w:jc w:val="center"/>
        </w:trPr>
        <w:tc>
          <w:tcPr>
            <w:tcW w:w="1872" w:type="dxa"/>
          </w:tcPr>
          <w:p w14:paraId="2FBA9188">
            <w:r>
              <w:rPr>
                <w:rFonts w:ascii="Times New Roman" w:hAnsi="Times New Roman"/>
                <w:sz w:val="19"/>
              </w:rPr>
              <w:t>Engle-Granger</w:t>
            </w:r>
          </w:p>
        </w:tc>
        <w:tc>
          <w:tcPr>
            <w:tcW w:w="1872" w:type="dxa"/>
          </w:tcPr>
          <w:p w14:paraId="06A97BE4">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w="1872" w:type="dxa"/>
          </w:tcPr>
          <w:p w14:paraId="6EC885EB">
            <w:r>
              <w:rPr>
                <w:rFonts w:ascii="Times New Roman" w:hAnsi="Times New Roman"/>
                <w:sz w:val="19"/>
              </w:rPr>
              <w:t>—</w:t>
            </w:r>
          </w:p>
        </w:tc>
        <w:tc>
          <w:tcPr>
            <w:tcW w:w="1872" w:type="dxa"/>
          </w:tcPr>
          <w:p w14:paraId="3169196C">
            <w:r>
              <w:rPr>
                <w:rFonts w:ascii="Times New Roman" w:hAnsi="Times New Roman"/>
                <w:sz w:val="19"/>
              </w:rPr>
              <w:t>−3.745</w:t>
            </w:r>
          </w:p>
        </w:tc>
        <w:tc>
          <w:tcPr>
            <w:tcW w:w="1872" w:type="dxa"/>
          </w:tcPr>
          <w:p w14:paraId="47933FF5">
            <w:r>
              <w:rPr>
                <w:rFonts w:ascii="Times New Roman" w:hAnsi="Times New Roman"/>
                <w:sz w:val="19"/>
              </w:rPr>
              <w:t>0.016</w:t>
            </w:r>
          </w:p>
        </w:tc>
      </w:tr>
    </w:tbl>
    <w:p w14:paraId="06258CC5"/>
    <w:p w14:paraId="7D6C73A4">
      <w:pPr>
        <w:jc w:val="both"/>
      </w:pPr>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14:paraId="3D797814">
      <w:pPr>
        <w:spacing w:before="200" w:after="80"/>
      </w:pPr>
      <w:r>
        <w:rPr>
          <w:rFonts w:ascii="Times New Roman" w:hAnsi="Times New Roman"/>
          <w:b/>
          <w:color w:val="000000"/>
          <w:sz w:val="24"/>
        </w:rPr>
        <w:t>A.3 Aggregate Time-Series Regression (Reference Only)</w:t>
      </w:r>
    </w:p>
    <w:p w14:paraId="1D8FC4AC">
      <w:pPr>
        <w:jc w:val="both"/>
      </w:pPr>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0A923784">
        <w:trPr>
          <w:jc w:val="center"/>
        </w:trPr>
        <w:tc>
          <w:tcPr>
            <w:tcW w:w="2340" w:type="dxa"/>
          </w:tcPr>
          <w:p w14:paraId="59D3918F">
            <w:r>
              <w:rPr>
                <w:rFonts w:ascii="Times New Roman" w:hAnsi="Times New Roman"/>
                <w:b/>
                <w:sz w:val="19"/>
              </w:rPr>
              <w:t>Coefficient</w:t>
            </w:r>
          </w:p>
        </w:tc>
        <w:tc>
          <w:tcPr>
            <w:tcW w:w="2340" w:type="dxa"/>
          </w:tcPr>
          <w:p w14:paraId="3242F129">
            <w:r>
              <w:rPr>
                <w:rFonts w:ascii="Times New Roman" w:hAnsi="Times New Roman"/>
                <w:b/>
                <w:sz w:val="19"/>
              </w:rPr>
              <w:t>Estimate</w:t>
            </w:r>
          </w:p>
        </w:tc>
        <w:tc>
          <w:tcPr>
            <w:tcW w:w="2340" w:type="dxa"/>
          </w:tcPr>
          <w:p w14:paraId="462133CB">
            <w:r>
              <w:rPr>
                <w:rFonts w:ascii="Times New Roman" w:hAnsi="Times New Roman"/>
                <w:b/>
                <w:i/>
                <w:sz w:val="19"/>
              </w:rPr>
              <w:t>p</w:t>
            </w:r>
            <w:r>
              <w:rPr>
                <w:rFonts w:ascii="Times New Roman" w:hAnsi="Times New Roman"/>
                <w:b/>
                <w:sz w:val="19"/>
              </w:rPr>
              <w:t>-value</w:t>
            </w:r>
          </w:p>
        </w:tc>
        <w:tc>
          <w:tcPr>
            <w:tcW w:w="2340" w:type="dxa"/>
          </w:tcPr>
          <w:p w14:paraId="6AF8FFB2"/>
        </w:tc>
      </w:tr>
      <w:tr w14:paraId="2FBB1069">
        <w:trPr>
          <w:jc w:val="center"/>
        </w:trPr>
        <w:tc>
          <w:tcPr>
            <w:tcW w:w="2340" w:type="dxa"/>
          </w:tcPr>
          <w:p w14:paraId="10B468C3">
            <w:r>
              <w:rPr>
                <w:rFonts w:ascii="Times New Roman" w:hAnsi="Times New Roman"/>
                <w:sz w:val="19"/>
              </w:rPr>
              <w:t>β₁ (ΔlnS)</w:t>
            </w:r>
          </w:p>
        </w:tc>
        <w:tc>
          <w:tcPr>
            <w:tcW w:w="2340" w:type="dxa"/>
          </w:tcPr>
          <w:p w14:paraId="78694925">
            <w:r>
              <w:rPr>
                <w:rFonts w:ascii="Times New Roman" w:hAnsi="Times New Roman"/>
                <w:sz w:val="19"/>
              </w:rPr>
              <w:t>+5.313</w:t>
            </w:r>
          </w:p>
        </w:tc>
        <w:tc>
          <w:tcPr>
            <w:tcW w:w="2340" w:type="dxa"/>
          </w:tcPr>
          <w:p w14:paraId="1877B948">
            <w:r>
              <w:rPr>
                <w:rFonts w:ascii="Times New Roman" w:hAnsi="Times New Roman"/>
                <w:sz w:val="19"/>
              </w:rPr>
              <w:t>0.031</w:t>
            </w:r>
          </w:p>
        </w:tc>
        <w:tc>
          <w:tcPr>
            <w:tcW w:w="2340" w:type="dxa"/>
          </w:tcPr>
          <w:p w14:paraId="53EE6CC1">
            <w:r>
              <w:rPr>
                <w:rFonts w:ascii="Times New Roman" w:hAnsi="Times New Roman"/>
                <w:sz w:val="19"/>
              </w:rPr>
              <w:t>*</w:t>
            </w:r>
          </w:p>
        </w:tc>
      </w:tr>
      <w:tr w14:paraId="0F1FFB57">
        <w:trPr>
          <w:jc w:val="center"/>
        </w:trPr>
        <w:tc>
          <w:tcPr>
            <w:tcW w:w="2340" w:type="dxa"/>
          </w:tcPr>
          <w:p w14:paraId="1C31213C">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w="2340" w:type="dxa"/>
          </w:tcPr>
          <w:p w14:paraId="1E060EAF">
            <w:r>
              <w:rPr>
                <w:rFonts w:ascii="Times New Roman" w:hAnsi="Times New Roman"/>
                <w:sz w:val="19"/>
              </w:rPr>
              <w:t>+9.247</w:t>
            </w:r>
          </w:p>
        </w:tc>
        <w:tc>
          <w:tcPr>
            <w:tcW w:w="2340" w:type="dxa"/>
          </w:tcPr>
          <w:p w14:paraId="5306971B">
            <w:r>
              <w:rPr>
                <w:rFonts w:ascii="Times New Roman" w:hAnsi="Times New Roman"/>
                <w:sz w:val="19"/>
              </w:rPr>
              <w:t>&lt;0.001</w:t>
            </w:r>
          </w:p>
        </w:tc>
        <w:tc>
          <w:tcPr>
            <w:tcW w:w="2340" w:type="dxa"/>
          </w:tcPr>
          <w:p w14:paraId="51CEEEFE">
            <w:r>
              <w:rPr>
                <w:rFonts w:ascii="Times New Roman" w:hAnsi="Times New Roman"/>
                <w:sz w:val="19"/>
              </w:rPr>
              <w:t>***</w:t>
            </w:r>
          </w:p>
        </w:tc>
      </w:tr>
      <w:tr w14:paraId="0C21C698">
        <w:trPr>
          <w:jc w:val="center"/>
        </w:trPr>
        <w:tc>
          <w:tcPr>
            <w:tcW w:w="2340" w:type="dxa"/>
          </w:tcPr>
          <w:p w14:paraId="1F8328A6">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w="2340" w:type="dxa"/>
          </w:tcPr>
          <w:p w14:paraId="408C4580">
            <w:r>
              <w:rPr>
                <w:rFonts w:ascii="Times New Roman" w:hAnsi="Times New Roman"/>
                <w:sz w:val="19"/>
              </w:rPr>
              <w:t>−49.784</w:t>
            </w:r>
          </w:p>
        </w:tc>
        <w:tc>
          <w:tcPr>
            <w:tcW w:w="2340" w:type="dxa"/>
          </w:tcPr>
          <w:p w14:paraId="4CBE98E9">
            <w:r>
              <w:rPr>
                <w:rFonts w:ascii="Times New Roman" w:hAnsi="Times New Roman"/>
                <w:sz w:val="19"/>
              </w:rPr>
              <w:t>0.004</w:t>
            </w:r>
          </w:p>
        </w:tc>
        <w:tc>
          <w:tcPr>
            <w:tcW w:w="2340" w:type="dxa"/>
          </w:tcPr>
          <w:p w14:paraId="6FC640AC">
            <w:r>
              <w:rPr>
                <w:rFonts w:ascii="Times New Roman" w:hAnsi="Times New Roman"/>
                <w:sz w:val="19"/>
              </w:rPr>
              <w:t>**</w:t>
            </w:r>
          </w:p>
        </w:tc>
      </w:tr>
      <w:tr w14:paraId="3F505340">
        <w:trPr>
          <w:jc w:val="center"/>
        </w:trPr>
        <w:tc>
          <w:tcPr>
            <w:tcW w:w="2340" w:type="dxa"/>
          </w:tcPr>
          <w:p w14:paraId="7D6543EF">
            <w:r>
              <w:rPr>
                <w:rFonts w:ascii="Times New Roman" w:hAnsi="Times New Roman"/>
                <w:sz w:val="19"/>
              </w:rPr>
              <w:t>Velocity</w:t>
            </w:r>
          </w:p>
        </w:tc>
        <w:tc>
          <w:tcPr>
            <w:tcW w:w="2340" w:type="dxa"/>
          </w:tcPr>
          <w:p w14:paraId="60E914FD">
            <w:r>
              <w:rPr>
                <w:rFonts w:ascii="Times New Roman" w:hAnsi="Times New Roman"/>
                <w:sz w:val="19"/>
              </w:rPr>
              <w:t>−104.744</w:t>
            </w:r>
          </w:p>
        </w:tc>
        <w:tc>
          <w:tcPr>
            <w:tcW w:w="2340" w:type="dxa"/>
          </w:tcPr>
          <w:p w14:paraId="3DF62A71">
            <w:r>
              <w:rPr>
                <w:rFonts w:ascii="Times New Roman" w:hAnsi="Times New Roman"/>
                <w:sz w:val="19"/>
              </w:rPr>
              <w:t>&lt;0.001</w:t>
            </w:r>
          </w:p>
        </w:tc>
        <w:tc>
          <w:tcPr>
            <w:tcW w:w="2340" w:type="dxa"/>
          </w:tcPr>
          <w:p w14:paraId="05B72108">
            <w:r>
              <w:rPr>
                <w:rFonts w:ascii="Times New Roman" w:hAnsi="Times New Roman"/>
                <w:sz w:val="19"/>
              </w:rPr>
              <w:t>***</w:t>
            </w:r>
          </w:p>
        </w:tc>
      </w:tr>
      <w:tr w14:paraId="320D00A6">
        <w:trPr>
          <w:jc w:val="center"/>
        </w:trPr>
        <w:tc>
          <w:tcPr>
            <w:tcW w:w="2340" w:type="dxa"/>
          </w:tcPr>
          <w:p w14:paraId="114B7CB3">
            <w:r>
              <w:rPr>
                <w:rFonts w:ascii="Times New Roman" w:hAnsi="Times New Roman"/>
                <w:sz w:val="19"/>
              </w:rPr>
              <w:t>VIX</w:t>
            </w:r>
          </w:p>
        </w:tc>
        <w:tc>
          <w:tcPr>
            <w:tcW w:w="2340" w:type="dxa"/>
          </w:tcPr>
          <w:p w14:paraId="5E601767">
            <w:r>
              <w:rPr>
                <w:rFonts w:ascii="Times New Roman" w:hAnsi="Times New Roman"/>
                <w:sz w:val="19"/>
              </w:rPr>
              <w:t>+0.011</w:t>
            </w:r>
          </w:p>
        </w:tc>
        <w:tc>
          <w:tcPr>
            <w:tcW w:w="2340" w:type="dxa"/>
          </w:tcPr>
          <w:p w14:paraId="43BA103A">
            <w:r>
              <w:rPr>
                <w:rFonts w:ascii="Times New Roman" w:hAnsi="Times New Roman"/>
                <w:sz w:val="19"/>
              </w:rPr>
              <w:t>0.098</w:t>
            </w:r>
          </w:p>
        </w:tc>
        <w:tc>
          <w:tcPr>
            <w:tcW w:w="2340" w:type="dxa"/>
          </w:tcPr>
          <w:p w14:paraId="34FBE10C"/>
        </w:tc>
      </w:tr>
      <w:tr w14:paraId="4169452C">
        <w:trPr>
          <w:jc w:val="center"/>
        </w:trPr>
        <w:tc>
          <w:tcPr>
            <w:tcW w:w="2340" w:type="dxa"/>
          </w:tcPr>
          <w:p w14:paraId="45B7BA23">
            <w:r>
              <w:rPr>
                <w:rFonts w:ascii="Times New Roman" w:hAnsi="Times New Roman"/>
                <w:sz w:val="19"/>
              </w:rPr>
              <w:t>ΔlnN*</w:t>
            </w:r>
          </w:p>
        </w:tc>
        <w:tc>
          <w:tcPr>
            <w:tcW w:w="2340" w:type="dxa"/>
          </w:tcPr>
          <w:p w14:paraId="6003A093">
            <w:r>
              <w:rPr>
                <w:rFonts w:ascii="Times New Roman" w:hAnsi="Times New Roman"/>
                <w:sz w:val="19"/>
              </w:rPr>
              <w:t>+0.557</w:t>
            </w:r>
          </w:p>
        </w:tc>
        <w:tc>
          <w:tcPr>
            <w:tcW w:w="2340" w:type="dxa"/>
          </w:tcPr>
          <w:p w14:paraId="60C1C5FB">
            <w:r>
              <w:rPr>
                <w:rFonts w:ascii="Times New Roman" w:hAnsi="Times New Roman"/>
                <w:sz w:val="19"/>
              </w:rPr>
              <w:t>0.232</w:t>
            </w:r>
          </w:p>
        </w:tc>
        <w:tc>
          <w:tcPr>
            <w:tcW w:w="2340" w:type="dxa"/>
          </w:tcPr>
          <w:p w14:paraId="1DD905CD"/>
        </w:tc>
      </w:tr>
    </w:tbl>
    <w:p w14:paraId="31386F29"/>
    <w:p w14:paraId="77B1C91B">
      <w:pPr>
        <w:jc w:val="both"/>
      </w:pPr>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14:paraId="7DE53D0D">
      <w:pPr>
        <w:spacing w:before="200" w:after="80"/>
      </w:pPr>
      <w:r>
        <w:rPr>
          <w:rFonts w:ascii="Times New Roman" w:hAnsi="Times New Roman"/>
          <w:b/>
          <w:color w:val="000000"/>
          <w:sz w:val="24"/>
        </w:rPr>
        <w:t>A.4 OIS–Treasury Spread Construction Notes</w:t>
      </w:r>
    </w:p>
    <w:p w14:paraId="0AED40AC">
      <w:pPr>
        <w:jc w:val="both"/>
      </w:pPr>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14:paraId="3E75F4A0">
      <w:pPr>
        <w:spacing w:before="200" w:after="80"/>
      </w:pPr>
      <w:r>
        <w:rPr>
          <w:rFonts w:ascii="Times New Roman" w:hAnsi="Times New Roman"/>
          <w:b/>
          <w:color w:val="000000"/>
          <w:sz w:val="24"/>
        </w:rPr>
        <w:t>A.5 Symmetric Threshold Specification (Exploratory)</w:t>
      </w:r>
    </w:p>
    <w:p w14:paraId="33CF3D5C">
      <w:pPr>
        <w:jc w:val="both"/>
      </w:pPr>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7"/>
        <w:gridCol w:w="1337"/>
        <w:gridCol w:w="1337"/>
        <w:gridCol w:w="1337"/>
        <w:gridCol w:w="1365"/>
        <w:gridCol w:w="1337"/>
        <w:gridCol w:w="1337"/>
      </w:tblGrid>
      <w:tr w14:paraId="4BF71936">
        <w:trPr>
          <w:jc w:val="center"/>
        </w:trPr>
        <w:tc>
          <w:tcPr>
            <w:tcW w:w="1337" w:type="dxa"/>
          </w:tcPr>
          <w:p w14:paraId="7EE4AECC">
            <w:r>
              <w:rPr>
                <w:rFonts w:ascii="Times New Roman" w:hAnsi="Times New Roman"/>
                <w:b/>
                <w:sz w:val="19"/>
              </w:rPr>
              <w:t>Threshold</w:t>
            </w:r>
          </w:p>
        </w:tc>
        <w:tc>
          <w:tcPr>
            <w:tcW w:w="1337" w:type="dxa"/>
          </w:tcPr>
          <w:p w14:paraId="1489B2A0">
            <w:r>
              <w:rPr>
                <w:rFonts w:ascii="Times New Roman" w:hAnsi="Times New Roman"/>
                <w:b/>
                <w:sz w:val="19"/>
              </w:rPr>
              <w:t>Dep. Var.</w:t>
            </w:r>
          </w:p>
        </w:tc>
        <w:tc>
          <w:tcPr>
            <w:tcW w:w="1337" w:type="dxa"/>
          </w:tcPr>
          <w:p w14:paraId="0578EF13">
            <w:r>
              <w:rPr>
                <w:rFonts w:ascii="Times New Roman" w:hAnsi="Times New Roman"/>
                <w:b/>
                <w:sz w:val="19"/>
              </w:rPr>
              <w:t>β₁ (ΔlnS)</w:t>
            </w:r>
          </w:p>
        </w:tc>
        <w:tc>
          <w:tcPr>
            <w:tcW w:w="1337" w:type="dxa"/>
          </w:tcPr>
          <w:p w14:paraId="7D179E9A">
            <w:r>
              <w:rPr>
                <w:rFonts w:ascii="Times New Roman" w:hAnsi="Times New Roman"/>
                <w:b/>
                <w:sz w:val="19"/>
              </w:rPr>
              <w:t>β₂ (1[</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w="1337" w:type="dxa"/>
          </w:tcPr>
          <w:p w14:paraId="650C59C0">
            <w:r>
              <w:rPr>
                <w:rFonts w:ascii="Times New Roman" w:hAnsi="Times New Roman"/>
                <w:b/>
                <w:sz w:val="19"/>
              </w:rPr>
              <w:t>β₃ (1[</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w="1337" w:type="dxa"/>
          </w:tcPr>
          <w:p w14:paraId="08BBA224">
            <w:r>
              <w:rPr>
                <w:rFonts w:ascii="Times New Roman" w:hAnsi="Times New Roman"/>
                <w:b/>
                <w:i/>
                <w:sz w:val="19"/>
              </w:rPr>
              <w:t>N</w:t>
            </w:r>
          </w:p>
        </w:tc>
        <w:tc>
          <w:tcPr>
            <w:tcW w:w="1337" w:type="dxa"/>
          </w:tcPr>
          <w:p w14:paraId="6930CD6B">
            <w:r>
              <w:rPr>
                <w:rFonts w:ascii="Times New Roman" w:hAnsi="Times New Roman"/>
                <w:b/>
                <w:i/>
                <w:sz w:val="19"/>
              </w:rPr>
              <w:t>N</w:t>
            </w:r>
            <w:r>
              <w:rPr>
                <w:rFonts w:ascii="Times New Roman" w:hAnsi="Times New Roman"/>
                <w:b/>
                <w:sz w:val="19"/>
              </w:rPr>
              <w:t>_low</w:t>
            </w:r>
          </w:p>
        </w:tc>
      </w:tr>
      <w:tr w14:paraId="1C958112">
        <w:trPr>
          <w:jc w:val="center"/>
        </w:trPr>
        <w:tc>
          <w:tcPr>
            <w:tcW w:w="1337" w:type="dxa"/>
          </w:tcPr>
          <w:p w14:paraId="76A223E2">
            <w:r>
              <w:rPr>
                <w:rFonts w:ascii="Times New Roman" w:hAnsi="Times New Roman"/>
                <w:i/>
                <w:sz w:val="19"/>
              </w:rPr>
              <w:t>L</w:t>
            </w:r>
            <w:r>
              <w:rPr>
                <w:rFonts w:ascii="Times New Roman" w:hAnsi="Times New Roman"/>
                <w:sz w:val="19"/>
              </w:rPr>
              <w:t xml:space="preserve"> &lt; 4%</w:t>
            </w:r>
          </w:p>
        </w:tc>
        <w:tc>
          <w:tcPr>
            <w:tcW w:w="1337" w:type="dxa"/>
          </w:tcPr>
          <w:p w14:paraId="2D9F88D2">
            <w:r>
              <w:rPr>
                <w:rFonts w:ascii="Times New Roman" w:hAnsi="Times New Roman"/>
                <w:sz w:val="19"/>
              </w:rPr>
              <w:t>ΔSpread</w:t>
            </w:r>
          </w:p>
        </w:tc>
        <w:tc>
          <w:tcPr>
            <w:tcW w:w="1337" w:type="dxa"/>
          </w:tcPr>
          <w:p w14:paraId="1E3F04DC">
            <w:r>
              <w:rPr>
                <w:rFonts w:ascii="Times New Roman" w:hAnsi="Times New Roman"/>
                <w:sz w:val="19"/>
              </w:rPr>
              <w:t>+0.003</w:t>
            </w:r>
          </w:p>
        </w:tc>
        <w:tc>
          <w:tcPr>
            <w:tcW w:w="1337" w:type="dxa"/>
          </w:tcPr>
          <w:p w14:paraId="1F9B8D11">
            <w:r>
              <w:rPr>
                <w:rFonts w:ascii="Times New Roman" w:hAnsi="Times New Roman"/>
                <w:sz w:val="19"/>
              </w:rPr>
              <w:t>+0.094***</w:t>
            </w:r>
          </w:p>
        </w:tc>
        <w:tc>
          <w:tcPr>
            <w:tcW w:w="1337" w:type="dxa"/>
          </w:tcPr>
          <w:p w14:paraId="31CE0F5B">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w="1337" w:type="dxa"/>
          </w:tcPr>
          <w:p w14:paraId="7E7FB78E">
            <w:r>
              <w:rPr>
                <w:rFonts w:ascii="Times New Roman" w:hAnsi="Times New Roman"/>
                <w:sz w:val="19"/>
              </w:rPr>
              <w:t>100</w:t>
            </w:r>
          </w:p>
        </w:tc>
        <w:tc>
          <w:tcPr>
            <w:tcW w:w="1337" w:type="dxa"/>
          </w:tcPr>
          <w:p w14:paraId="05DB5063">
            <w:r>
              <w:rPr>
                <w:rFonts w:ascii="Times New Roman" w:hAnsi="Times New Roman"/>
                <w:sz w:val="19"/>
              </w:rPr>
              <w:t>9</w:t>
            </w:r>
          </w:p>
        </w:tc>
      </w:tr>
      <w:tr w14:paraId="3F4448A1">
        <w:trPr>
          <w:jc w:val="center"/>
        </w:trPr>
        <w:tc>
          <w:tcPr>
            <w:tcW w:w="1337" w:type="dxa"/>
          </w:tcPr>
          <w:p w14:paraId="19459735">
            <w:r>
              <w:rPr>
                <w:rFonts w:ascii="Times New Roman" w:hAnsi="Times New Roman"/>
                <w:i/>
                <w:sz w:val="19"/>
              </w:rPr>
              <w:t>L</w:t>
            </w:r>
            <w:r>
              <w:rPr>
                <w:rFonts w:ascii="Times New Roman" w:hAnsi="Times New Roman"/>
                <w:sz w:val="19"/>
              </w:rPr>
              <w:t xml:space="preserve"> &lt; 4%</w:t>
            </w:r>
          </w:p>
        </w:tc>
        <w:tc>
          <w:tcPr>
            <w:tcW w:w="1337" w:type="dxa"/>
          </w:tcPr>
          <w:p w14:paraId="565A6ED4">
            <w:r>
              <w:rPr>
                <w:rFonts w:ascii="Times New Roman" w:hAnsi="Times New Roman"/>
                <w:sz w:val="19"/>
              </w:rPr>
              <w:t>Spread</w:t>
            </w:r>
          </w:p>
        </w:tc>
        <w:tc>
          <w:tcPr>
            <w:tcW w:w="1337" w:type="dxa"/>
          </w:tcPr>
          <w:p w14:paraId="3ACC55B1">
            <w:r>
              <w:rPr>
                <w:rFonts w:ascii="Times New Roman" w:hAnsi="Times New Roman"/>
                <w:sz w:val="19"/>
              </w:rPr>
              <w:t>+2.024</w:t>
            </w:r>
          </w:p>
        </w:tc>
        <w:tc>
          <w:tcPr>
            <w:tcW w:w="1337" w:type="dxa"/>
          </w:tcPr>
          <w:p w14:paraId="6F8FE881">
            <w:r>
              <w:rPr>
                <w:rFonts w:ascii="Times New Roman" w:hAnsi="Times New Roman"/>
                <w:sz w:val="19"/>
              </w:rPr>
              <w:t>−0.480***</w:t>
            </w:r>
          </w:p>
        </w:tc>
        <w:tc>
          <w:tcPr>
            <w:tcW w:w="1337" w:type="dxa"/>
          </w:tcPr>
          <w:p w14:paraId="730819E8">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w="1337" w:type="dxa"/>
          </w:tcPr>
          <w:p w14:paraId="0656FEDC">
            <w:r>
              <w:rPr>
                <w:rFonts w:ascii="Times New Roman" w:hAnsi="Times New Roman"/>
                <w:sz w:val="19"/>
              </w:rPr>
              <w:t>102</w:t>
            </w:r>
          </w:p>
        </w:tc>
        <w:tc>
          <w:tcPr>
            <w:tcW w:w="1337" w:type="dxa"/>
          </w:tcPr>
          <w:p w14:paraId="48C8B34C">
            <w:r>
              <w:rPr>
                <w:rFonts w:ascii="Times New Roman" w:hAnsi="Times New Roman"/>
                <w:sz w:val="19"/>
              </w:rPr>
              <w:t>9</w:t>
            </w:r>
          </w:p>
        </w:tc>
      </w:tr>
      <w:tr w14:paraId="1269C129">
        <w:trPr>
          <w:jc w:val="center"/>
        </w:trPr>
        <w:tc>
          <w:tcPr>
            <w:tcW w:w="1337" w:type="dxa"/>
          </w:tcPr>
          <w:p w14:paraId="2175EBE5">
            <w:r>
              <w:rPr>
                <w:rFonts w:ascii="Times New Roman" w:hAnsi="Times New Roman"/>
                <w:i/>
                <w:sz w:val="19"/>
              </w:rPr>
              <w:t>L</w:t>
            </w:r>
            <w:r>
              <w:rPr>
                <w:rFonts w:ascii="Times New Roman" w:hAnsi="Times New Roman"/>
                <w:sz w:val="19"/>
              </w:rPr>
              <w:t xml:space="preserve"> &lt; 6%</w:t>
            </w:r>
          </w:p>
        </w:tc>
        <w:tc>
          <w:tcPr>
            <w:tcW w:w="1337" w:type="dxa"/>
          </w:tcPr>
          <w:p w14:paraId="45463DC1">
            <w:r>
              <w:rPr>
                <w:rFonts w:ascii="Times New Roman" w:hAnsi="Times New Roman"/>
                <w:sz w:val="19"/>
              </w:rPr>
              <w:t>ΔSpread</w:t>
            </w:r>
          </w:p>
        </w:tc>
        <w:tc>
          <w:tcPr>
            <w:tcW w:w="1337" w:type="dxa"/>
          </w:tcPr>
          <w:p w14:paraId="23FD27DA">
            <w:r>
              <w:rPr>
                <w:rFonts w:ascii="Times New Roman" w:hAnsi="Times New Roman"/>
                <w:sz w:val="19"/>
              </w:rPr>
              <w:t>−0.093</w:t>
            </w:r>
          </w:p>
        </w:tc>
        <w:tc>
          <w:tcPr>
            <w:tcW w:w="1337" w:type="dxa"/>
          </w:tcPr>
          <w:p w14:paraId="7922695F">
            <w:r>
              <w:rPr>
                <w:rFonts w:ascii="Times New Roman" w:hAnsi="Times New Roman"/>
                <w:sz w:val="19"/>
              </w:rPr>
              <w:t>+0.036</w:t>
            </w:r>
          </w:p>
        </w:tc>
        <w:tc>
          <w:tcPr>
            <w:tcW w:w="1337" w:type="dxa"/>
          </w:tcPr>
          <w:p w14:paraId="5FC428EC">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w="1337" w:type="dxa"/>
          </w:tcPr>
          <w:p w14:paraId="5EDA60FC">
            <w:r>
              <w:rPr>
                <w:rFonts w:ascii="Times New Roman" w:hAnsi="Times New Roman"/>
                <w:sz w:val="19"/>
              </w:rPr>
              <w:t>100</w:t>
            </w:r>
          </w:p>
        </w:tc>
        <w:tc>
          <w:tcPr>
            <w:tcW w:w="1337" w:type="dxa"/>
          </w:tcPr>
          <w:p w14:paraId="4385486A">
            <w:r>
              <w:rPr>
                <w:rFonts w:ascii="Times New Roman" w:hAnsi="Times New Roman"/>
                <w:sz w:val="19"/>
              </w:rPr>
              <w:t>23</w:t>
            </w:r>
          </w:p>
        </w:tc>
      </w:tr>
      <w:tr w14:paraId="0BCD3498">
        <w:trPr>
          <w:jc w:val="center"/>
        </w:trPr>
        <w:tc>
          <w:tcPr>
            <w:tcW w:w="1337" w:type="dxa"/>
          </w:tcPr>
          <w:p w14:paraId="441B2A90">
            <w:r>
              <w:rPr>
                <w:rFonts w:ascii="Times New Roman" w:hAnsi="Times New Roman"/>
                <w:i/>
                <w:sz w:val="19"/>
              </w:rPr>
              <w:t>L</w:t>
            </w:r>
            <w:r>
              <w:rPr>
                <w:rFonts w:ascii="Times New Roman" w:hAnsi="Times New Roman"/>
                <w:sz w:val="19"/>
              </w:rPr>
              <w:t xml:space="preserve"> &lt; 6%</w:t>
            </w:r>
          </w:p>
        </w:tc>
        <w:tc>
          <w:tcPr>
            <w:tcW w:w="1337" w:type="dxa"/>
          </w:tcPr>
          <w:p w14:paraId="3F3864EC">
            <w:r>
              <w:rPr>
                <w:rFonts w:ascii="Times New Roman" w:hAnsi="Times New Roman"/>
                <w:sz w:val="19"/>
              </w:rPr>
              <w:t>Spread</w:t>
            </w:r>
          </w:p>
        </w:tc>
        <w:tc>
          <w:tcPr>
            <w:tcW w:w="1337" w:type="dxa"/>
          </w:tcPr>
          <w:p w14:paraId="44EFAC1A">
            <w:r>
              <w:rPr>
                <w:rFonts w:ascii="Times New Roman" w:hAnsi="Times New Roman"/>
                <w:sz w:val="19"/>
              </w:rPr>
              <w:t>+1.618</w:t>
            </w:r>
          </w:p>
        </w:tc>
        <w:tc>
          <w:tcPr>
            <w:tcW w:w="1337" w:type="dxa"/>
          </w:tcPr>
          <w:p w14:paraId="015A299C">
            <w:r>
              <w:rPr>
                <w:rFonts w:ascii="Times New Roman" w:hAnsi="Times New Roman"/>
                <w:sz w:val="19"/>
              </w:rPr>
              <w:t>−0.643***</w:t>
            </w:r>
          </w:p>
        </w:tc>
        <w:tc>
          <w:tcPr>
            <w:tcW w:w="1337" w:type="dxa"/>
          </w:tcPr>
          <w:p w14:paraId="5F8F48FF">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w="1337" w:type="dxa"/>
          </w:tcPr>
          <w:p w14:paraId="708DBE19">
            <w:r>
              <w:rPr>
                <w:rFonts w:ascii="Times New Roman" w:hAnsi="Times New Roman"/>
                <w:sz w:val="19"/>
              </w:rPr>
              <w:t>102</w:t>
            </w:r>
          </w:p>
        </w:tc>
        <w:tc>
          <w:tcPr>
            <w:tcW w:w="1337" w:type="dxa"/>
          </w:tcPr>
          <w:p w14:paraId="475952B4">
            <w:r>
              <w:rPr>
                <w:rFonts w:ascii="Times New Roman" w:hAnsi="Times New Roman"/>
                <w:sz w:val="19"/>
              </w:rPr>
              <w:t>23</w:t>
            </w:r>
          </w:p>
        </w:tc>
      </w:tr>
    </w:tbl>
    <w:p w14:paraId="5CE3057D"/>
    <w:p w14:paraId="17AF8527">
      <w:pPr>
        <w:jc w:val="both"/>
      </w:pPr>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14:paraId="704048B3">
      <w:pPr>
        <w:spacing w:before="200" w:after="80"/>
      </w:pPr>
      <w:r>
        <w:rPr>
          <w:rFonts w:ascii="Times New Roman" w:hAnsi="Times New Roman"/>
          <w:b/>
          <w:color w:val="000000"/>
          <w:sz w:val="24"/>
        </w:rPr>
        <w:t>A.6 Continuous-L Asymmetric Robustness Check</w:t>
      </w:r>
    </w:p>
    <w:p w14:paraId="5D25DA70">
      <w:pPr>
        <w:jc w:val="both"/>
      </w:pPr>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14:paraId="3EE165C8">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14:paraId="64AD939D">
      <w:pPr>
        <w:jc w:val="both"/>
      </w:pPr>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5C45A8AF">
        <w:trPr>
          <w:jc w:val="center"/>
        </w:trPr>
        <w:tc>
          <w:tcPr>
            <w:tcW w:w="2340" w:type="dxa"/>
          </w:tcPr>
          <w:p w14:paraId="7F546FC9">
            <w:r>
              <w:rPr>
                <w:rFonts w:ascii="Times New Roman" w:hAnsi="Times New Roman"/>
                <w:b/>
                <w:sz w:val="19"/>
              </w:rPr>
              <w:t>Variable</w:t>
            </w:r>
          </w:p>
        </w:tc>
        <w:tc>
          <w:tcPr>
            <w:tcW w:w="2340" w:type="dxa"/>
          </w:tcPr>
          <w:p w14:paraId="7E52B120">
            <w:r>
              <w:rPr>
                <w:rFonts w:ascii="Times New Roman" w:hAnsi="Times New Roman"/>
                <w:b/>
                <w:sz w:val="19"/>
              </w:rPr>
              <w:t>Coefficient</w:t>
            </w:r>
          </w:p>
        </w:tc>
        <w:tc>
          <w:tcPr>
            <w:tcW w:w="2340" w:type="dxa"/>
          </w:tcPr>
          <w:p w14:paraId="4871C1A1">
            <w:r>
              <w:rPr>
                <w:rFonts w:ascii="Times New Roman" w:hAnsi="Times New Roman"/>
                <w:b/>
                <w:i/>
                <w:sz w:val="19"/>
              </w:rPr>
              <w:t>p</w:t>
            </w:r>
            <w:r>
              <w:rPr>
                <w:rFonts w:ascii="Times New Roman" w:hAnsi="Times New Roman"/>
                <w:b/>
                <w:sz w:val="19"/>
              </w:rPr>
              <w:t>-value</w:t>
            </w:r>
          </w:p>
        </w:tc>
        <w:tc>
          <w:tcPr>
            <w:tcW w:w="2340" w:type="dxa"/>
          </w:tcPr>
          <w:p w14:paraId="22142C1F"/>
        </w:tc>
      </w:tr>
      <w:tr w14:paraId="51D3EDA1">
        <w:trPr>
          <w:jc w:val="center"/>
        </w:trPr>
        <w:tc>
          <w:tcPr>
            <w:tcW w:w="2340" w:type="dxa"/>
          </w:tcPr>
          <w:p w14:paraId="437AA5CF">
            <w:r>
              <w:rPr>
                <w:rFonts w:ascii="Times New Roman" w:hAnsi="Times New Roman"/>
                <w:sz w:val="19"/>
              </w:rPr>
              <w:t>β₁ Inflow</w:t>
            </w:r>
          </w:p>
        </w:tc>
        <w:tc>
          <w:tcPr>
            <w:tcW w:w="2340" w:type="dxa"/>
          </w:tcPr>
          <w:p w14:paraId="672A5E92">
            <w:r>
              <w:rPr>
                <w:rFonts w:ascii="Times New Roman" w:hAnsi="Times New Roman"/>
                <w:sz w:val="19"/>
              </w:rPr>
              <w:t>−0.119</w:t>
            </w:r>
          </w:p>
        </w:tc>
        <w:tc>
          <w:tcPr>
            <w:tcW w:w="2340" w:type="dxa"/>
          </w:tcPr>
          <w:p w14:paraId="2A2FC705">
            <w:r>
              <w:rPr>
                <w:rFonts w:ascii="Times New Roman" w:hAnsi="Times New Roman"/>
                <w:sz w:val="19"/>
              </w:rPr>
              <w:t>0.903</w:t>
            </w:r>
          </w:p>
        </w:tc>
        <w:tc>
          <w:tcPr>
            <w:tcW w:w="2340" w:type="dxa"/>
          </w:tcPr>
          <w:p w14:paraId="5BC21AE7"/>
        </w:tc>
      </w:tr>
      <w:tr w14:paraId="4666CA91">
        <w:trPr>
          <w:jc w:val="center"/>
        </w:trPr>
        <w:tc>
          <w:tcPr>
            <w:tcW w:w="2340" w:type="dxa"/>
          </w:tcPr>
          <w:p w14:paraId="41D63AB8">
            <w:r>
              <w:rPr>
                <w:rFonts w:ascii="Times New Roman" w:hAnsi="Times New Roman"/>
                <w:sz w:val="19"/>
              </w:rPr>
              <w:t>β₂ Outflow</w:t>
            </w:r>
          </w:p>
        </w:tc>
        <w:tc>
          <w:tcPr>
            <w:tcW w:w="2340" w:type="dxa"/>
          </w:tcPr>
          <w:p w14:paraId="2F0E872A">
            <w:r>
              <w:rPr>
                <w:rFonts w:ascii="Times New Roman" w:hAnsi="Times New Roman"/>
                <w:sz w:val="19"/>
              </w:rPr>
              <w:t>+3.774</w:t>
            </w:r>
          </w:p>
        </w:tc>
        <w:tc>
          <w:tcPr>
            <w:tcW w:w="2340" w:type="dxa"/>
          </w:tcPr>
          <w:p w14:paraId="72C038BA">
            <w:r>
              <w:rPr>
                <w:rFonts w:ascii="Times New Roman" w:hAnsi="Times New Roman"/>
                <w:sz w:val="19"/>
              </w:rPr>
              <w:t>0.134</w:t>
            </w:r>
          </w:p>
        </w:tc>
        <w:tc>
          <w:tcPr>
            <w:tcW w:w="2340" w:type="dxa"/>
          </w:tcPr>
          <w:p w14:paraId="4BCC9759"/>
        </w:tc>
      </w:tr>
      <w:tr w14:paraId="764FB05B">
        <w:trPr>
          <w:jc w:val="center"/>
        </w:trPr>
        <w:tc>
          <w:tcPr>
            <w:tcW w:w="2340" w:type="dxa"/>
          </w:tcPr>
          <w:p w14:paraId="3752F103">
            <w:r>
              <w:rPr>
                <w:rFonts w:ascii="Times New Roman" w:hAnsi="Times New Roman"/>
                <w:sz w:val="19"/>
              </w:rPr>
              <w:t xml:space="preserve">β₃ </w:t>
            </w:r>
            <w:r>
              <w:rPr>
                <w:rFonts w:ascii="Times New Roman" w:hAnsi="Times New Roman"/>
                <w:i/>
                <w:sz w:val="19"/>
              </w:rPr>
              <w:t>L</w:t>
            </w:r>
          </w:p>
        </w:tc>
        <w:tc>
          <w:tcPr>
            <w:tcW w:w="2340" w:type="dxa"/>
          </w:tcPr>
          <w:p w14:paraId="35B425B8">
            <w:r>
              <w:rPr>
                <w:rFonts w:ascii="Times New Roman" w:hAnsi="Times New Roman"/>
                <w:sz w:val="19"/>
              </w:rPr>
              <w:t>−0.132</w:t>
            </w:r>
          </w:p>
        </w:tc>
        <w:tc>
          <w:tcPr>
            <w:tcW w:w="2340" w:type="dxa"/>
          </w:tcPr>
          <w:p w14:paraId="709B7855">
            <w:r>
              <w:rPr>
                <w:rFonts w:ascii="Times New Roman" w:hAnsi="Times New Roman"/>
                <w:sz w:val="19"/>
              </w:rPr>
              <w:t>0.797</w:t>
            </w:r>
          </w:p>
        </w:tc>
        <w:tc>
          <w:tcPr>
            <w:tcW w:w="2340" w:type="dxa"/>
          </w:tcPr>
          <w:p w14:paraId="4CD6EDC4"/>
        </w:tc>
      </w:tr>
      <w:tr w14:paraId="45C4BB34">
        <w:trPr>
          <w:jc w:val="center"/>
        </w:trPr>
        <w:tc>
          <w:tcPr>
            <w:tcW w:w="2340" w:type="dxa"/>
          </w:tcPr>
          <w:p w14:paraId="06ECFF48">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w="2340" w:type="dxa"/>
          </w:tcPr>
          <w:p w14:paraId="481EFA49">
            <w:r>
              <w:rPr>
                <w:rFonts w:ascii="Times New Roman" w:hAnsi="Times New Roman"/>
                <w:sz w:val="19"/>
              </w:rPr>
              <w:t>+3.307</w:t>
            </w:r>
          </w:p>
        </w:tc>
        <w:tc>
          <w:tcPr>
            <w:tcW w:w="2340" w:type="dxa"/>
          </w:tcPr>
          <w:p w14:paraId="45A76470">
            <w:r>
              <w:rPr>
                <w:rFonts w:ascii="Times New Roman" w:hAnsi="Times New Roman"/>
                <w:sz w:val="19"/>
              </w:rPr>
              <w:t>0.642</w:t>
            </w:r>
          </w:p>
        </w:tc>
        <w:tc>
          <w:tcPr>
            <w:tcW w:w="2340" w:type="dxa"/>
          </w:tcPr>
          <w:p w14:paraId="2241205C"/>
        </w:tc>
      </w:tr>
      <w:tr w14:paraId="70571649">
        <w:trPr>
          <w:jc w:val="center"/>
        </w:trPr>
        <w:tc>
          <w:tcPr>
            <w:tcW w:w="2340" w:type="dxa"/>
          </w:tcPr>
          <w:p w14:paraId="3CB862ED">
            <w:r>
              <w:rPr>
                <w:rFonts w:ascii="Times New Roman" w:hAnsi="Times New Roman"/>
                <w:b/>
                <w:sz w:val="19"/>
              </w:rPr>
              <w:t>β₅ *L* × Outflow</w:t>
            </w:r>
          </w:p>
        </w:tc>
        <w:tc>
          <w:tcPr>
            <w:tcW w:w="2340" w:type="dxa"/>
          </w:tcPr>
          <w:p w14:paraId="48353305">
            <w:r>
              <w:rPr>
                <w:rFonts w:ascii="Times New Roman" w:hAnsi="Times New Roman"/>
                <w:b/>
                <w:sz w:val="19"/>
              </w:rPr>
              <w:t>−18.579</w:t>
            </w:r>
          </w:p>
        </w:tc>
        <w:tc>
          <w:tcPr>
            <w:tcW w:w="2340" w:type="dxa"/>
          </w:tcPr>
          <w:p w14:paraId="7E496DD9">
            <w:r>
              <w:rPr>
                <w:rFonts w:ascii="Times New Roman" w:hAnsi="Times New Roman"/>
                <w:b/>
                <w:sz w:val="19"/>
              </w:rPr>
              <w:t>0.120</w:t>
            </w:r>
          </w:p>
        </w:tc>
        <w:tc>
          <w:tcPr>
            <w:tcW w:w="2340" w:type="dxa"/>
          </w:tcPr>
          <w:p w14:paraId="0BE58681"/>
        </w:tc>
      </w:tr>
      <w:tr w14:paraId="49085F06">
        <w:trPr>
          <w:jc w:val="center"/>
        </w:trPr>
        <w:tc>
          <w:tcPr>
            <w:tcW w:w="2340" w:type="dxa"/>
          </w:tcPr>
          <w:p w14:paraId="6437963F">
            <w:r>
              <w:rPr>
                <w:rFonts w:ascii="Times New Roman" w:hAnsi="Times New Roman"/>
                <w:sz w:val="19"/>
              </w:rPr>
              <w:t>VIX</w:t>
            </w:r>
          </w:p>
        </w:tc>
        <w:tc>
          <w:tcPr>
            <w:tcW w:w="2340" w:type="dxa"/>
          </w:tcPr>
          <w:p w14:paraId="5816388C">
            <w:r>
              <w:rPr>
                <w:rFonts w:ascii="Times New Roman" w:hAnsi="Times New Roman"/>
                <w:sz w:val="19"/>
              </w:rPr>
              <w:t>+0.009</w:t>
            </w:r>
          </w:p>
        </w:tc>
        <w:tc>
          <w:tcPr>
            <w:tcW w:w="2340" w:type="dxa"/>
          </w:tcPr>
          <w:p w14:paraId="09E93BB7">
            <w:r>
              <w:rPr>
                <w:rFonts w:ascii="Times New Roman" w:hAnsi="Times New Roman"/>
                <w:sz w:val="19"/>
              </w:rPr>
              <w:t>0.003</w:t>
            </w:r>
          </w:p>
        </w:tc>
        <w:tc>
          <w:tcPr>
            <w:tcW w:w="2340" w:type="dxa"/>
          </w:tcPr>
          <w:p w14:paraId="0D5ED656">
            <w:r>
              <w:rPr>
                <w:rFonts w:ascii="Times New Roman" w:hAnsi="Times New Roman"/>
                <w:sz w:val="19"/>
              </w:rPr>
              <w:t>***</w:t>
            </w:r>
          </w:p>
        </w:tc>
      </w:tr>
      <w:tr w14:paraId="22071121">
        <w:trPr>
          <w:jc w:val="center"/>
        </w:trPr>
        <w:tc>
          <w:tcPr>
            <w:tcW w:w="2340" w:type="dxa"/>
          </w:tcPr>
          <w:p w14:paraId="56D01731">
            <w:r>
              <w:rPr>
                <w:rFonts w:ascii="Times New Roman" w:hAnsi="Times New Roman"/>
                <w:sz w:val="19"/>
              </w:rPr>
              <w:t>ΔlnN*</w:t>
            </w:r>
          </w:p>
        </w:tc>
        <w:tc>
          <w:tcPr>
            <w:tcW w:w="2340" w:type="dxa"/>
          </w:tcPr>
          <w:p w14:paraId="0E7F21AD">
            <w:r>
              <w:rPr>
                <w:rFonts w:ascii="Times New Roman" w:hAnsi="Times New Roman"/>
                <w:sz w:val="19"/>
              </w:rPr>
              <w:t>+0.042</w:t>
            </w:r>
          </w:p>
        </w:tc>
        <w:tc>
          <w:tcPr>
            <w:tcW w:w="2340" w:type="dxa"/>
          </w:tcPr>
          <w:p w14:paraId="1C352B96">
            <w:r>
              <w:rPr>
                <w:rFonts w:ascii="Times New Roman" w:hAnsi="Times New Roman"/>
                <w:sz w:val="19"/>
              </w:rPr>
              <w:t>0.851</w:t>
            </w:r>
          </w:p>
        </w:tc>
        <w:tc>
          <w:tcPr>
            <w:tcW w:w="2340" w:type="dxa"/>
          </w:tcPr>
          <w:p w14:paraId="222AA643"/>
        </w:tc>
      </w:tr>
      <w:tr w14:paraId="3DC11D20">
        <w:trPr>
          <w:jc w:val="center"/>
        </w:trPr>
        <w:tc>
          <w:tcPr>
            <w:tcW w:w="2340" w:type="dxa"/>
          </w:tcPr>
          <w:p w14:paraId="57A91195">
            <w:r>
              <w:rPr>
                <w:rFonts w:ascii="Times New Roman" w:hAnsi="Times New Roman"/>
                <w:sz w:val="19"/>
              </w:rPr>
              <w:t>USDT fixed effect</w:t>
            </w:r>
          </w:p>
        </w:tc>
        <w:tc>
          <w:tcPr>
            <w:tcW w:w="2340" w:type="dxa"/>
          </w:tcPr>
          <w:p w14:paraId="55861D00">
            <w:r>
              <w:rPr>
                <w:rFonts w:ascii="Times New Roman" w:hAnsi="Times New Roman"/>
                <w:sz w:val="19"/>
              </w:rPr>
              <w:t>−0.006</w:t>
            </w:r>
          </w:p>
        </w:tc>
        <w:tc>
          <w:tcPr>
            <w:tcW w:w="2340" w:type="dxa"/>
          </w:tcPr>
          <w:p w14:paraId="603A1C1B">
            <w:r>
              <w:rPr>
                <w:rFonts w:ascii="Times New Roman" w:hAnsi="Times New Roman"/>
                <w:sz w:val="19"/>
              </w:rPr>
              <w:t>0.856</w:t>
            </w:r>
          </w:p>
        </w:tc>
        <w:tc>
          <w:tcPr>
            <w:tcW w:w="2340" w:type="dxa"/>
          </w:tcPr>
          <w:p w14:paraId="51A380F0"/>
        </w:tc>
      </w:tr>
    </w:tbl>
    <w:p w14:paraId="019B0917"/>
    <w:p w14:paraId="2C2B1BB7">
      <w:pPr>
        <w:jc w:val="both"/>
      </w:pPr>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14:paraId="2712FBE7">
      <w:pPr>
        <w:jc w:val="both"/>
      </w:pPr>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14:paraId="4C7626F4">
      <w:pPr>
        <w:spacing w:before="200" w:after="80"/>
      </w:pPr>
      <w:r>
        <w:rPr>
          <w:rFonts w:ascii="Times New Roman" w:hAnsi="Times New Roman"/>
          <w:b/>
          <w:color w:val="000000"/>
          <w:sz w:val="24"/>
        </w:rPr>
        <w:t>A.7 Event Study: Normal Model and Placebo Design</w:t>
      </w:r>
    </w:p>
    <w:p w14:paraId="28EC0CFF">
      <w:pPr>
        <w:jc w:val="both"/>
      </w:pPr>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A level-model specification inflates CARs substantially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Times New Roman Bold">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4DC8E">
    <w:pPr>
      <w:pStyle w:val="18"/>
    </w:pPr>
  </w:p>
  <w:p w14:paraId="37598FD3">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F2A43C7">
                          <w:pPr>
                            <w:pStyle w:val="18"/>
                            <w:rPr>
                              <w:rFonts w:hint="default" w:ascii="Times New Roman Bold" w:hAnsi="Times New Roman Bold" w:cs="Times New Roman Bold"/>
                              <w:b/>
                              <w:bCs/>
                            </w:rPr>
                          </w:pPr>
                          <w:r>
                            <w:rPr>
                              <w:rFonts w:hint="default" w:ascii="Times New Roman Bold" w:hAnsi="Times New Roman Bold" w:cs="Times New Roman Bold"/>
                              <w:b/>
                              <w:bCs/>
                            </w:rPr>
                            <w:fldChar w:fldCharType="begin"/>
                          </w:r>
                          <w:r>
                            <w:rPr>
                              <w:rFonts w:hint="default" w:ascii="Times New Roman Bold" w:hAnsi="Times New Roman Bold" w:cs="Times New Roman Bold"/>
                              <w:b/>
                              <w:bCs/>
                            </w:rPr>
                            <w:instrText xml:space="preserve"> PAGE  \* MERGEFORMAT </w:instrText>
                          </w:r>
                          <w:r>
                            <w:rPr>
                              <w:rFonts w:hint="default" w:ascii="Times New Roman Bold" w:hAnsi="Times New Roman Bold" w:cs="Times New Roman Bold"/>
                              <w:b/>
                              <w:bCs/>
                            </w:rPr>
                            <w:fldChar w:fldCharType="separate"/>
                          </w:r>
                          <w:r>
                            <w:rPr>
                              <w:rFonts w:hint="default" w:ascii="Times New Roman Bold" w:hAnsi="Times New Roman Bold" w:cs="Times New Roman Bold"/>
                              <w:b/>
                              <w:bCs/>
                            </w:rPr>
                            <w:t>1</w:t>
                          </w:r>
                          <w:r>
                            <w:rPr>
                              <w:rFonts w:hint="default" w:ascii="Times New Roman Bold" w:hAnsi="Times New Roman Bold" w:cs="Times New Roman Bold"/>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14:paraId="0F2A43C7">
                    <w:pPr>
                      <w:pStyle w:val="18"/>
                      <w:rPr>
                        <w:rFonts w:hint="default" w:ascii="Times New Roman Bold" w:hAnsi="Times New Roman Bold" w:cs="Times New Roman Bold"/>
                        <w:b/>
                        <w:bCs/>
                      </w:rPr>
                    </w:pPr>
                    <w:r>
                      <w:rPr>
                        <w:rFonts w:hint="default" w:ascii="Times New Roman Bold" w:hAnsi="Times New Roman Bold" w:cs="Times New Roman Bold"/>
                        <w:b/>
                        <w:bCs/>
                      </w:rPr>
                      <w:fldChar w:fldCharType="begin"/>
                    </w:r>
                    <w:r>
                      <w:rPr>
                        <w:rFonts w:hint="default" w:ascii="Times New Roman Bold" w:hAnsi="Times New Roman Bold" w:cs="Times New Roman Bold"/>
                        <w:b/>
                        <w:bCs/>
                      </w:rPr>
                      <w:instrText xml:space="preserve"> PAGE  \* MERGEFORMAT </w:instrText>
                    </w:r>
                    <w:r>
                      <w:rPr>
                        <w:rFonts w:hint="default" w:ascii="Times New Roman Bold" w:hAnsi="Times New Roman Bold" w:cs="Times New Roman Bold"/>
                        <w:b/>
                        <w:bCs/>
                      </w:rPr>
                      <w:fldChar w:fldCharType="separate"/>
                    </w:r>
                    <w:r>
                      <w:rPr>
                        <w:rFonts w:hint="default" w:ascii="Times New Roman Bold" w:hAnsi="Times New Roman Bold" w:cs="Times New Roman Bold"/>
                        <w:b/>
                        <w:bCs/>
                      </w:rPr>
                      <w:t>1</w:t>
                    </w:r>
                    <w:r>
                      <w:rPr>
                        <w:rFonts w:hint="default" w:ascii="Times New Roman Bold" w:hAnsi="Times New Roman Bold" w:cs="Times New Roman Bold"/>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BDE5DEF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2</TotalTime>
  <ScaleCrop>false</ScaleCrop>
  <LinksUpToDate>false</LinksUpToDate>
  <CharactersWithSpaces>0</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2013-12-24T08:15:00Z</dcterms:created>
  <dc:creator>python-docx</dc:creator>
  <dc:description>generated by python-docx</dc:description>
  <cp:lastModifiedBy>OybekIbragimov</cp:lastModifiedBy>
  <dcterms:modified xsi:type="dcterms:W3CDTF">2026-06-21T20:42:48Z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00D420543E9B693038CE376AC7530456_42</vt:lpwstr>
  </property>
</Properties>
</file>