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val="0"/>
          <w:sz w:val="24"/>
        </w:rPr>
        <w:t>Jade Zhu (2026846114)</w:t>
      </w:r>
    </w:p>
    <w:p>
      <w:pPr>
        <w:spacing w:after="60"/>
        <w:jc w:val="center"/>
      </w:pPr>
      <w:r>
        <w:rPr>
          <w:rFonts w:ascii="Times New Roman" w:hAnsi="Times New Roman"/>
          <w:b w:val="0"/>
          <w:i w:val="0"/>
          <w:sz w:val="24"/>
        </w:rPr>
        <w:t>Alexandre Godefroy (2026846111)</w:t>
      </w:r>
    </w:p>
    <w:p>
      <w:pPr>
        <w:spacing w:after="60"/>
        <w:jc w:val="center"/>
      </w:pPr>
      <w:r>
        <w:rPr>
          <w:rFonts w:ascii="Times New Roman" w:hAnsi="Times New Roman"/>
          <w:b w:val="0"/>
          <w:i w:val="0"/>
          <w:sz w:val="24"/>
        </w:rPr>
        <w:t>Baptiste Degand (2026847313)</w:t>
      </w:r>
    </w:p>
    <w:p>
      <w:pPr>
        <w:spacing w:after="60"/>
        <w:jc w:val="center"/>
      </w:pPr>
      <w:r>
        <w:rPr>
          <w:rFonts w:ascii="Times New Roman" w:hAnsi="Times New Roman"/>
          <w:b w:val="0"/>
          <w:i w:val="0"/>
          <w:sz w:val="24"/>
        </w:rPr>
        <w:t>Minjin Kim (2025461111)</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June 2026</w:t>
      </w:r>
    </w:p>
    <w:p>
      <w:pPr>
        <w:spacing w:after="120"/>
        <w:jc w:val="center"/>
      </w:pPr>
      <w:r>
        <w:rPr>
          <w:rFonts w:ascii="Times New Roman" w:hAnsi="Times New Roman"/>
          <w:b/>
          <w:i w:val="0"/>
          <w:sz w:val="22"/>
        </w:rPr>
        <w:t xml:space="preserve">JEL Classification: </w:t>
      </w:r>
      <w:r>
        <w:rPr>
          <w:rFonts w:ascii="Times New Roman" w:hAnsi="Times New Roman"/>
          <w:b w:val="0"/>
          <w:i w:val="0"/>
          <w:sz w:val="22"/>
        </w:rPr>
        <w:t>E44, F31, G12, G18, G23</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−6.02, p = 0.006),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0.260, 90% CI: [3.2%, 14.5%]), below which supply growth compresses spreads more strongly (β_ΔlnS = −6.97 vs. +1.26 above). Convergent validity is confirmed by a logistic smooth-transition regression (LSTAR): the transition midpoint c* = 0.1310 is virtually identical to Hansen's q* = 0.1301, and the near-discrete sharpness parameter (γ* = 1,976)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redemption velocity (7-day rolling standard deviation of daily supply 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−6.02 (p = 0.006),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0.1310), which independently locates the same tipping point. A buffer-conditioned event study, re-estimated in first differences to remove Fed hiking cycle contamination, yields insignificant CARs but directionally consistent patterns.</w:t>
      </w:r>
    </w:p>
    <w:p>
      <w:pPr>
        <w:spacing w:before="80" w:after="80"/>
        <w:ind w:left="567" w:right="567"/>
      </w:pPr>
      <w:r>
        <w:rPr>
          <w:rFonts w:ascii="Times New Roman" w:hAnsi="Times New Roman"/>
          <w:b/>
          <w:i w:val="0"/>
          <w:sz w:val="22"/>
        </w:rPr>
        <w:t xml:space="preserve">H1 (Privilege Amplification): </w:t>
      </w:r>
      <w:r>
        <w:rPr>
          <w:rFonts w:ascii="Times New Roman" w:hAnsi="Times New Roman"/>
          <w:b w:val="0"/>
          <w:i w:val="0"/>
          <w:sz w:val="22"/>
        </w:rPr>
        <w:t>Stablecoin supply growth compresses OIS–Treasury spreads in normal times (β₁ &lt; 0).</w:t>
      </w:r>
    </w:p>
    <w:p>
      <w:pPr>
        <w:spacing w:before="80" w:after="240"/>
        <w:ind w:left="567" w:right="567"/>
      </w:pPr>
      <w:r>
        <w:rPr>
          <w:rFonts w:ascii="Times New Roman" w:hAnsi="Times New Roman"/>
          <w:b/>
          <w:i w:val="0"/>
          <w:sz w:val="22"/>
        </w:rPr>
        <w:t xml:space="preserve">H2 (Reserve Adequacy Threshold): </w:t>
      </w:r>
      <w:r>
        <w:rPr>
          <w:rFonts w:ascii="Times New Roman" w:hAnsi="Times New Roman"/>
          <w:b w:val="0"/>
          <w:i w:val="0"/>
          <w:sz w:val="22"/>
        </w:rPr>
        <w:t>There exists a threshold L* such that below L*, stablecoin supply growth produces more adverse spread dynamics; above L*, liquid buffer absorption attenuates the crisis transmission.</w:t>
      </w:r>
    </w:p>
    <w:p>
      <w:pPr>
        <w:spacing w:before="0" w:after="200"/>
      </w:pPr>
      <w:r>
        <w:rPr>
          <w:rFonts w:ascii="Times New Roman" w:hAnsi="Times New Roman"/>
          <w:b w:val="0"/>
          <w:i w:val="0"/>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16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0" w:after="160"/>
      </w:pPr>
      <w:r>
        <w:rPr>
          <w:rFonts w:ascii="Times New Roman" w:hAnsi="Times New Roman"/>
          <w:b w:val="0"/>
          <w:i w:val="0"/>
          <w:sz w:val="24"/>
        </w:rPr>
        <w:t>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pPr>
        <w:spacing w:before="0" w:after="200"/>
      </w:pPr>
      <w:r>
        <w:rPr>
          <w:rFonts w:ascii="Times New Roman" w:hAnsi="Times New Roman"/>
          <w:b w:val="0"/>
          <w:i w:val="0"/>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(−6.97 below L* vs. +1.26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80"/>
      </w:pPr>
      <w:r>
        <w:rPr>
          <w:rFonts w:ascii="Times New Roman" w:hAnsi="Times New Roman"/>
          <w:b w:val="0"/>
          <w:i w:val="0"/>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w:t>
      </w:r>
    </w:p>
    <w:p>
      <w:pPr>
        <w:spacing w:before="0" w:after="160"/>
      </w:pPr>
      <w:r>
        <w:rPr>
          <w:rFonts w:ascii="Times New Roman" w:hAnsi="Times New Roman"/>
          <w:b w:val="0"/>
          <w:i w:val="0"/>
          <w:sz w:val="24"/>
        </w:rPr>
        <w:t xml:space="preserve">All data, code, and replication materials are publicly available at: </w:t>
      </w: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45"/>
            <w:shd w:val="clear" w:color="auto" w:fill="EBF3FB"/>
          </w:tcPr>
          <w:p>
            <w:pPr>
              <w:jc w:val="left"/>
            </w:pPr>
            <w:r/>
            <w:r>
              <w:rPr>
                <w:rFonts w:ascii="Times New Roman" w:hAnsi="Times New Roman"/>
                <w:b w:val="0"/>
                <w:i w:val="0"/>
                <w:sz w:val="18"/>
              </w:rPr>
              <w:t>OIS–Treasury spread (pp)</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0.098</w:t>
            </w:r>
          </w:p>
        </w:tc>
        <w:tc>
          <w:tcPr>
            <w:tcW w:type="dxa" w:w="945"/>
            <w:shd w:val="clear" w:color="auto" w:fill="EBF3FB"/>
          </w:tcPr>
          <w:p>
            <w:pPr>
              <w:jc w:val="center"/>
            </w:pPr>
            <w:r/>
            <w:r>
              <w:rPr>
                <w:rFonts w:ascii="Times New Roman" w:hAnsi="Times New Roman"/>
                <w:b w:val="0"/>
                <w:i w:val="0"/>
                <w:sz w:val="18"/>
              </w:rPr>
              <w:t>0.536</w:t>
            </w:r>
          </w:p>
        </w:tc>
        <w:tc>
          <w:tcPr>
            <w:tcW w:type="dxa" w:w="945"/>
            <w:shd w:val="clear" w:color="auto" w:fill="EBF3FB"/>
          </w:tcPr>
          <w:p>
            <w:pPr>
              <w:jc w:val="center"/>
            </w:pPr>
            <w:r/>
            <w:r>
              <w:rPr>
                <w:rFonts w:ascii="Times New Roman" w:hAnsi="Times New Roman"/>
                <w:b w:val="0"/>
                <w:i w:val="0"/>
                <w:sz w:val="18"/>
              </w:rPr>
              <w:t>−0.711</w:t>
            </w:r>
          </w:p>
        </w:tc>
        <w:tc>
          <w:tcPr>
            <w:tcW w:type="dxa" w:w="945"/>
            <w:shd w:val="clear" w:color="auto" w:fill="EBF3FB"/>
          </w:tcPr>
          <w:p>
            <w:pPr>
              <w:jc w:val="center"/>
            </w:pPr>
            <w:r/>
            <w:r>
              <w:rPr>
                <w:rFonts w:ascii="Times New Roman" w:hAnsi="Times New Roman"/>
                <w:b w:val="0"/>
                <w:i w:val="0"/>
                <w:sz w:val="18"/>
              </w:rPr>
              <w:t>−0.203</w:t>
            </w:r>
          </w:p>
        </w:tc>
        <w:tc>
          <w:tcPr>
            <w:tcW w:type="dxa" w:w="945"/>
            <w:shd w:val="clear" w:color="auto" w:fill="EBF3FB"/>
          </w:tcPr>
          <w:p>
            <w:pPr>
              <w:jc w:val="center"/>
            </w:pPr>
            <w:r/>
            <w:r>
              <w:rPr>
                <w:rFonts w:ascii="Times New Roman" w:hAnsi="Times New Roman"/>
                <w:b w:val="0"/>
                <w:i w:val="0"/>
                <w:sz w:val="18"/>
              </w:rPr>
              <w:t>−0.095</w:t>
            </w:r>
          </w:p>
        </w:tc>
        <w:tc>
          <w:tcPr>
            <w:tcW w:type="dxa" w:w="945"/>
            <w:shd w:val="clear" w:color="auto" w:fill="EBF3FB"/>
          </w:tcPr>
          <w:p>
            <w:pPr>
              <w:jc w:val="center"/>
            </w:pPr>
            <w:r/>
            <w:r>
              <w:rPr>
                <w:rFonts w:ascii="Times New Roman" w:hAnsi="Times New Roman"/>
                <w:b w:val="0"/>
                <w:i w:val="0"/>
                <w:sz w:val="18"/>
              </w:rPr>
              <w:t>0.338</w:t>
            </w:r>
          </w:p>
        </w:tc>
        <w:tc>
          <w:tcPr>
            <w:tcW w:type="dxa" w:w="945"/>
            <w:shd w:val="clear" w:color="auto" w:fill="EBF3FB"/>
          </w:tcPr>
          <w:p>
            <w:pPr>
              <w:jc w:val="center"/>
            </w:pPr>
            <w:r/>
            <w:r>
              <w:rPr>
                <w:rFonts w:ascii="Times New Roman" w:hAnsi="Times New Roman"/>
                <w:b w:val="0"/>
                <w:i w:val="0"/>
                <w:sz w:val="18"/>
              </w:rPr>
              <w:t>1.304</w:t>
            </w:r>
          </w:p>
        </w:tc>
      </w:tr>
      <w:tr>
        <w:tc>
          <w:tcPr>
            <w:tcW w:type="dxa" w:w="945"/>
            <w:shd w:val="clear" w:color="auto" w:fill="FFFFFF"/>
          </w:tcPr>
          <w:p>
            <w:pPr>
              <w:jc w:val="left"/>
            </w:pPr>
            <w:r/>
            <w:r>
              <w:rPr>
                <w:rFonts w:ascii="Times New Roman" w:hAnsi="Times New Roman"/>
                <w:b w:val="0"/>
                <w:i w:val="0"/>
                <w:sz w:val="18"/>
              </w:rPr>
              <w:t>ΔlnS  (monthly log-change in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0.013</w:t>
            </w:r>
          </w:p>
        </w:tc>
        <w:tc>
          <w:tcPr>
            <w:tcW w:type="dxa" w:w="945"/>
            <w:shd w:val="clear" w:color="auto" w:fill="FFFFFF"/>
          </w:tcPr>
          <w:p>
            <w:pPr>
              <w:jc w:val="center"/>
            </w:pPr>
            <w:r/>
            <w:r>
              <w:rPr>
                <w:rFonts w:ascii="Times New Roman" w:hAnsi="Times New Roman"/>
                <w:b w:val="0"/>
                <w:i w:val="0"/>
                <w:sz w:val="18"/>
              </w:rPr>
              <w:t>0.040</w:t>
            </w:r>
          </w:p>
        </w:tc>
        <w:tc>
          <w:tcPr>
            <w:tcW w:type="dxa" w:w="945"/>
            <w:shd w:val="clear" w:color="auto" w:fill="FFFFFF"/>
          </w:tcPr>
          <w:p>
            <w:pPr>
              <w:jc w:val="center"/>
            </w:pPr>
            <w:r/>
            <w:r>
              <w:rPr>
                <w:rFonts w:ascii="Times New Roman" w:hAnsi="Times New Roman"/>
                <w:b w:val="0"/>
                <w:i w:val="0"/>
                <w:sz w:val="18"/>
              </w:rPr>
              <w:t>−0.163</w:t>
            </w:r>
          </w:p>
        </w:tc>
        <w:tc>
          <w:tcPr>
            <w:tcW w:type="dxa" w:w="945"/>
            <w:shd w:val="clear" w:color="auto" w:fill="FFFFFF"/>
          </w:tcPr>
          <w:p>
            <w:pPr>
              <w:jc w:val="center"/>
            </w:pPr>
            <w:r/>
            <w:r>
              <w:rPr>
                <w:rFonts w:ascii="Times New Roman" w:hAnsi="Times New Roman"/>
                <w:b w:val="0"/>
                <w:i w:val="0"/>
                <w:sz w:val="18"/>
              </w:rPr>
              <w:t>−0.008</w:t>
            </w:r>
          </w:p>
        </w:tc>
        <w:tc>
          <w:tcPr>
            <w:tcW w:type="dxa" w:w="945"/>
            <w:shd w:val="clear" w:color="auto" w:fill="FFFFFF"/>
          </w:tcPr>
          <w:p>
            <w:pPr>
              <w:jc w:val="center"/>
            </w:pPr>
            <w:r/>
            <w:r>
              <w:rPr>
                <w:rFonts w:ascii="Times New Roman" w:hAnsi="Times New Roman"/>
                <w:b w:val="0"/>
                <w:i w:val="0"/>
                <w:sz w:val="18"/>
              </w:rPr>
              <w:t>0.010</w:t>
            </w:r>
          </w:p>
        </w:tc>
        <w:tc>
          <w:tcPr>
            <w:tcW w:type="dxa" w:w="945"/>
            <w:shd w:val="clear" w:color="auto" w:fill="FFFFFF"/>
          </w:tcPr>
          <w:p>
            <w:pPr>
              <w:jc w:val="center"/>
            </w:pPr>
            <w:r/>
            <w:r>
              <w:rPr>
                <w:rFonts w:ascii="Times New Roman" w:hAnsi="Times New Roman"/>
                <w:b w:val="0"/>
                <w:i w:val="0"/>
                <w:sz w:val="18"/>
              </w:rPr>
              <w:t>0.036</w:t>
            </w:r>
          </w:p>
        </w:tc>
        <w:tc>
          <w:tcPr>
            <w:tcW w:type="dxa" w:w="945"/>
            <w:shd w:val="clear" w:color="auto" w:fill="FFFFFF"/>
          </w:tcPr>
          <w:p>
            <w:pPr>
              <w:jc w:val="center"/>
            </w:pPr>
            <w:r/>
            <w:r>
              <w:rPr>
                <w:rFonts w:ascii="Times New Roman" w:hAnsi="Times New Roman"/>
                <w:b w:val="0"/>
                <w:i w:val="0"/>
                <w:sz w:val="18"/>
              </w:rPr>
              <w:t>0.117</w:t>
            </w:r>
          </w:p>
        </w:tc>
      </w:tr>
      <w:tr>
        <w:tc>
          <w:tcPr>
            <w:tcW w:type="dxa" w:w="945"/>
            <w:shd w:val="clear" w:color="auto" w:fill="EBF3FB"/>
          </w:tcPr>
          <w:p>
            <w:pPr>
              <w:jc w:val="left"/>
            </w:pPr>
            <w:r/>
            <w:r>
              <w:rPr>
                <w:rFonts w:ascii="Times New Roman" w:hAnsi="Times New Roman"/>
                <w:b w:val="0"/>
                <w:i w:val="0"/>
                <w:sz w:val="18"/>
              </w:rPr>
              <w:t>θ  (Treasury Exposure = T-bills /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0.371</w:t>
            </w:r>
          </w:p>
        </w:tc>
        <w:tc>
          <w:tcPr>
            <w:tcW w:type="dxa" w:w="945"/>
            <w:shd w:val="clear" w:color="auto" w:fill="EBF3FB"/>
          </w:tcPr>
          <w:p>
            <w:pPr>
              <w:jc w:val="center"/>
            </w:pPr>
            <w:r/>
            <w:r>
              <w:rPr>
                <w:rFonts w:ascii="Times New Roman" w:hAnsi="Times New Roman"/>
                <w:b w:val="0"/>
                <w:i w:val="0"/>
                <w:sz w:val="18"/>
              </w:rPr>
              <w:t>0.253</w:t>
            </w:r>
          </w:p>
        </w:tc>
        <w:tc>
          <w:tcPr>
            <w:tcW w:type="dxa" w:w="945"/>
            <w:shd w:val="clear" w:color="auto" w:fill="EBF3FB"/>
          </w:tcPr>
          <w:p>
            <w:pPr>
              <w:jc w:val="center"/>
            </w:pPr>
            <w:r/>
            <w:r>
              <w:rPr>
                <w:rFonts w:ascii="Times New Roman" w:hAnsi="Times New Roman"/>
                <w:b w:val="0"/>
                <w:i w:val="0"/>
                <w:sz w:val="18"/>
              </w:rPr>
              <w:t>0.000</w:t>
            </w:r>
          </w:p>
        </w:tc>
        <w:tc>
          <w:tcPr>
            <w:tcW w:type="dxa" w:w="945"/>
            <w:shd w:val="clear" w:color="auto" w:fill="EBF3FB"/>
          </w:tcPr>
          <w:p>
            <w:pPr>
              <w:jc w:val="center"/>
            </w:pPr>
            <w:r/>
            <w:r>
              <w:rPr>
                <w:rFonts w:ascii="Times New Roman" w:hAnsi="Times New Roman"/>
                <w:b w:val="0"/>
                <w:i w:val="0"/>
                <w:sz w:val="18"/>
              </w:rPr>
              <w:t>0.259</w:t>
            </w:r>
          </w:p>
        </w:tc>
        <w:tc>
          <w:tcPr>
            <w:tcW w:type="dxa" w:w="945"/>
            <w:shd w:val="clear" w:color="auto" w:fill="EBF3FB"/>
          </w:tcPr>
          <w:p>
            <w:pPr>
              <w:jc w:val="center"/>
            </w:pPr>
            <w:r/>
            <w:r>
              <w:rPr>
                <w:rFonts w:ascii="Times New Roman" w:hAnsi="Times New Roman"/>
                <w:b w:val="0"/>
                <w:i w:val="0"/>
                <w:sz w:val="18"/>
              </w:rPr>
              <w:t>0.391</w:t>
            </w:r>
          </w:p>
        </w:tc>
        <w:tc>
          <w:tcPr>
            <w:tcW w:type="dxa" w:w="945"/>
            <w:shd w:val="clear" w:color="auto" w:fill="EBF3FB"/>
          </w:tcPr>
          <w:p>
            <w:pPr>
              <w:jc w:val="center"/>
            </w:pPr>
            <w:r/>
            <w:r>
              <w:rPr>
                <w:rFonts w:ascii="Times New Roman" w:hAnsi="Times New Roman"/>
                <w:b w:val="0"/>
                <w:i w:val="0"/>
                <w:sz w:val="18"/>
              </w:rPr>
              <w:t>0.534</w:t>
            </w:r>
          </w:p>
        </w:tc>
        <w:tc>
          <w:tcPr>
            <w:tcW w:type="dxa" w:w="945"/>
            <w:shd w:val="clear" w:color="auto" w:fill="EBF3FB"/>
          </w:tcPr>
          <w:p>
            <w:pPr>
              <w:jc w:val="center"/>
            </w:pPr>
            <w:r/>
            <w:r>
              <w:rPr>
                <w:rFonts w:ascii="Times New Roman" w:hAnsi="Times New Roman"/>
                <w:b w:val="0"/>
                <w:i w:val="0"/>
                <w:sz w:val="18"/>
              </w:rPr>
              <w:t>0.830</w:t>
            </w:r>
          </w:p>
        </w:tc>
      </w:tr>
      <w:tr>
        <w:tc>
          <w:tcPr>
            <w:tcW w:type="dxa" w:w="945"/>
            <w:shd w:val="clear" w:color="auto" w:fill="FFFFFF"/>
          </w:tcPr>
          <w:p>
            <w:pPr>
              <w:jc w:val="left"/>
            </w:pPr>
            <w:r/>
            <w:r>
              <w:rPr>
                <w:rFonts w:ascii="Times New Roman" w:hAnsi="Times New Roman"/>
                <w:b w:val="0"/>
                <w:i w:val="0"/>
                <w:sz w:val="18"/>
              </w:rPr>
              <w:t>L  (Liquid Buffer = cash reserves /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0.085</w:t>
            </w:r>
          </w:p>
        </w:tc>
        <w:tc>
          <w:tcPr>
            <w:tcW w:type="dxa" w:w="945"/>
            <w:shd w:val="clear" w:color="auto" w:fill="FFFFFF"/>
          </w:tcPr>
          <w:p>
            <w:pPr>
              <w:jc w:val="center"/>
            </w:pPr>
            <w:r/>
            <w:r>
              <w:rPr>
                <w:rFonts w:ascii="Times New Roman" w:hAnsi="Times New Roman"/>
                <w:b w:val="0"/>
                <w:i w:val="0"/>
                <w:sz w:val="18"/>
              </w:rPr>
              <w:t>0.064</w:t>
            </w:r>
          </w:p>
        </w:tc>
        <w:tc>
          <w:tcPr>
            <w:tcW w:type="dxa" w:w="945"/>
            <w:shd w:val="clear" w:color="auto" w:fill="FFFFFF"/>
          </w:tcPr>
          <w:p>
            <w:pPr>
              <w:jc w:val="center"/>
            </w:pPr>
            <w:r/>
            <w:r>
              <w:rPr>
                <w:rFonts w:ascii="Times New Roman" w:hAnsi="Times New Roman"/>
                <w:b w:val="0"/>
                <w:i w:val="0"/>
                <w:sz w:val="18"/>
              </w:rPr>
              <w:t>0.000</w:t>
            </w:r>
          </w:p>
        </w:tc>
        <w:tc>
          <w:tcPr>
            <w:tcW w:type="dxa" w:w="945"/>
            <w:shd w:val="clear" w:color="auto" w:fill="FFFFFF"/>
          </w:tcPr>
          <w:p>
            <w:pPr>
              <w:jc w:val="center"/>
            </w:pPr>
            <w:r/>
            <w:r>
              <w:rPr>
                <w:rFonts w:ascii="Times New Roman" w:hAnsi="Times New Roman"/>
                <w:b w:val="0"/>
                <w:i w:val="0"/>
                <w:sz w:val="18"/>
              </w:rPr>
              <w:t>0.026</w:t>
            </w:r>
          </w:p>
        </w:tc>
        <w:tc>
          <w:tcPr>
            <w:tcW w:type="dxa" w:w="945"/>
            <w:shd w:val="clear" w:color="auto" w:fill="FFFFFF"/>
          </w:tcPr>
          <w:p>
            <w:pPr>
              <w:jc w:val="center"/>
            </w:pPr>
            <w:r/>
            <w:r>
              <w:rPr>
                <w:rFonts w:ascii="Times New Roman" w:hAnsi="Times New Roman"/>
                <w:b w:val="0"/>
                <w:i w:val="0"/>
                <w:sz w:val="18"/>
              </w:rPr>
              <w:t>0.092</w:t>
            </w:r>
          </w:p>
        </w:tc>
        <w:tc>
          <w:tcPr>
            <w:tcW w:type="dxa" w:w="945"/>
            <w:shd w:val="clear" w:color="auto" w:fill="FFFFFF"/>
          </w:tcPr>
          <w:p>
            <w:pPr>
              <w:jc w:val="center"/>
            </w:pPr>
            <w:r/>
            <w:r>
              <w:rPr>
                <w:rFonts w:ascii="Times New Roman" w:hAnsi="Times New Roman"/>
                <w:b w:val="0"/>
                <w:i w:val="0"/>
                <w:sz w:val="18"/>
              </w:rPr>
              <w:t>0.131</w:t>
            </w:r>
          </w:p>
        </w:tc>
        <w:tc>
          <w:tcPr>
            <w:tcW w:type="dxa" w:w="945"/>
            <w:shd w:val="clear" w:color="auto" w:fill="FFFFFF"/>
          </w:tcPr>
          <w:p>
            <w:pPr>
              <w:jc w:val="center"/>
            </w:pPr>
            <w:r/>
            <w:r>
              <w:rPr>
                <w:rFonts w:ascii="Times New Roman" w:hAnsi="Times New Roman"/>
                <w:b w:val="0"/>
                <w:i w:val="0"/>
                <w:sz w:val="18"/>
              </w:rPr>
              <w:t>0.223</w:t>
            </w:r>
          </w:p>
        </w:tc>
      </w:tr>
      <w:tr>
        <w:tc>
          <w:tcPr>
            <w:tcW w:type="dxa" w:w="945"/>
            <w:shd w:val="clear" w:color="auto" w:fill="EBF3FB"/>
          </w:tcPr>
          <w:p>
            <w:pPr>
              <w:jc w:val="left"/>
            </w:pPr>
            <w:r/>
            <w:r>
              <w:rPr>
                <w:rFonts w:ascii="Times New Roman" w:hAnsi="Times New Roman"/>
                <w:b w:val="0"/>
                <w:i w:val="0"/>
                <w:sz w:val="18"/>
              </w:rPr>
              <w:t>V  (7-day rolling std of Δ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0.011</w:t>
            </w:r>
          </w:p>
        </w:tc>
      </w:tr>
      <w:tr>
        <w:tc>
          <w:tcPr>
            <w:tcW w:type="dxa" w:w="945"/>
            <w:shd w:val="clear" w:color="auto" w:fill="FFFFFF"/>
          </w:tcPr>
          <w:p>
            <w:pPr>
              <w:jc w:val="left"/>
            </w:pPr>
            <w:r/>
            <w:r>
              <w:rPr>
                <w:rFonts w:ascii="Times New Roman" w:hAnsi="Times New Roman"/>
                <w:b w:val="0"/>
                <w:i w:val="0"/>
                <w:sz w:val="18"/>
              </w:rPr>
              <w:t>VIX</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19.26</w:t>
            </w:r>
          </w:p>
        </w:tc>
        <w:tc>
          <w:tcPr>
            <w:tcW w:type="dxa" w:w="945"/>
            <w:shd w:val="clear" w:color="auto" w:fill="FFFFFF"/>
          </w:tcPr>
          <w:p>
            <w:pPr>
              <w:jc w:val="center"/>
            </w:pPr>
            <w:r/>
            <w:r>
              <w:rPr>
                <w:rFonts w:ascii="Times New Roman" w:hAnsi="Times New Roman"/>
                <w:b w:val="0"/>
                <w:i w:val="0"/>
                <w:sz w:val="18"/>
              </w:rPr>
              <w:t>5.03</w:t>
            </w:r>
          </w:p>
        </w:tc>
        <w:tc>
          <w:tcPr>
            <w:tcW w:type="dxa" w:w="945"/>
            <w:shd w:val="clear" w:color="auto" w:fill="FFFFFF"/>
          </w:tcPr>
          <w:p>
            <w:pPr>
              <w:jc w:val="center"/>
            </w:pPr>
            <w:r/>
            <w:r>
              <w:rPr>
                <w:rFonts w:ascii="Times New Roman" w:hAnsi="Times New Roman"/>
                <w:b w:val="0"/>
                <w:i w:val="0"/>
                <w:sz w:val="18"/>
              </w:rPr>
              <w:t>12.67</w:t>
            </w:r>
          </w:p>
        </w:tc>
        <w:tc>
          <w:tcPr>
            <w:tcW w:type="dxa" w:w="945"/>
            <w:shd w:val="clear" w:color="auto" w:fill="FFFFFF"/>
          </w:tcPr>
          <w:p>
            <w:pPr>
              <w:jc w:val="center"/>
            </w:pPr>
            <w:r/>
            <w:r>
              <w:rPr>
                <w:rFonts w:ascii="Times New Roman" w:hAnsi="Times New Roman"/>
                <w:b w:val="0"/>
                <w:i w:val="0"/>
                <w:sz w:val="18"/>
              </w:rPr>
              <w:t>15.60</w:t>
            </w:r>
          </w:p>
        </w:tc>
        <w:tc>
          <w:tcPr>
            <w:tcW w:type="dxa" w:w="945"/>
            <w:shd w:val="clear" w:color="auto" w:fill="FFFFFF"/>
          </w:tcPr>
          <w:p>
            <w:pPr>
              <w:jc w:val="center"/>
            </w:pPr>
            <w:r/>
            <w:r>
              <w:rPr>
                <w:rFonts w:ascii="Times New Roman" w:hAnsi="Times New Roman"/>
                <w:b w:val="0"/>
                <w:i w:val="0"/>
                <w:sz w:val="18"/>
              </w:rPr>
              <w:t>18.29</w:t>
            </w:r>
          </w:p>
        </w:tc>
        <w:tc>
          <w:tcPr>
            <w:tcW w:type="dxa" w:w="945"/>
            <w:shd w:val="clear" w:color="auto" w:fill="FFFFFF"/>
          </w:tcPr>
          <w:p>
            <w:pPr>
              <w:jc w:val="center"/>
            </w:pPr>
            <w:r/>
            <w:r>
              <w:rPr>
                <w:rFonts w:ascii="Times New Roman" w:hAnsi="Times New Roman"/>
                <w:b w:val="0"/>
                <w:i w:val="0"/>
                <w:sz w:val="18"/>
              </w:rPr>
              <w:t>21.98</w:t>
            </w:r>
          </w:p>
        </w:tc>
        <w:tc>
          <w:tcPr>
            <w:tcW w:type="dxa" w:w="945"/>
            <w:shd w:val="clear" w:color="auto" w:fill="FFFFFF"/>
          </w:tcPr>
          <w:p>
            <w:pPr>
              <w:jc w:val="center"/>
            </w:pPr>
            <w:r/>
            <w:r>
              <w:rPr>
                <w:rFonts w:ascii="Times New Roman" w:hAnsi="Times New Roman"/>
                <w:b w:val="0"/>
                <w:i w:val="0"/>
                <w:sz w:val="18"/>
              </w:rPr>
              <w:t>32.52</w:t>
            </w:r>
          </w:p>
        </w:tc>
      </w:tr>
      <w:tr>
        <w:tc>
          <w:tcPr>
            <w:tcW w:type="dxa" w:w="945"/>
            <w:shd w:val="clear" w:color="auto" w:fill="EBF3FB"/>
          </w:tcPr>
          <w:p>
            <w:pPr>
              <w:jc w:val="left"/>
            </w:pPr>
            <w:r/>
            <w:r>
              <w:rPr>
                <w:rFonts w:ascii="Times New Roman" w:hAnsi="Times New Roman"/>
                <w:b w:val="0"/>
                <w:i w:val="0"/>
                <w:sz w:val="18"/>
              </w:rPr>
              <w:t>ΔlnN*  (RoW equity log-change)</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0.009</w:t>
            </w:r>
          </w:p>
        </w:tc>
        <w:tc>
          <w:tcPr>
            <w:tcW w:type="dxa" w:w="945"/>
            <w:shd w:val="clear" w:color="auto" w:fill="EBF3FB"/>
          </w:tcPr>
          <w:p>
            <w:pPr>
              <w:jc w:val="center"/>
            </w:pPr>
            <w:r/>
            <w:r>
              <w:rPr>
                <w:rFonts w:ascii="Times New Roman" w:hAnsi="Times New Roman"/>
                <w:b w:val="0"/>
                <w:i w:val="0"/>
                <w:sz w:val="18"/>
              </w:rPr>
              <w:t>0.082</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−0.032</w:t>
            </w:r>
          </w:p>
        </w:tc>
        <w:tc>
          <w:tcPr>
            <w:tcW w:type="dxa" w:w="945"/>
            <w:shd w:val="clear" w:color="auto" w:fill="EBF3FB"/>
          </w:tcPr>
          <w:p>
            <w:pPr>
              <w:jc w:val="center"/>
            </w:pPr>
            <w:r/>
            <w:r>
              <w:rPr>
                <w:rFonts w:ascii="Times New Roman" w:hAnsi="Times New Roman"/>
                <w:b w:val="0"/>
                <w:i w:val="0"/>
                <w:sz w:val="18"/>
              </w:rPr>
              <w:t>0.012</w:t>
            </w:r>
          </w:p>
        </w:tc>
        <w:tc>
          <w:tcPr>
            <w:tcW w:type="dxa" w:w="945"/>
            <w:shd w:val="clear" w:color="auto" w:fill="EBF3FB"/>
          </w:tcPr>
          <w:p>
            <w:pPr>
              <w:jc w:val="center"/>
            </w:pPr>
            <w:r/>
            <w:r>
              <w:rPr>
                <w:rFonts w:ascii="Times New Roman" w:hAnsi="Times New Roman"/>
                <w:b w:val="0"/>
                <w:i w:val="0"/>
                <w:sz w:val="18"/>
              </w:rPr>
              <w:t>0.053</w:t>
            </w:r>
          </w:p>
        </w:tc>
        <w:tc>
          <w:tcPr>
            <w:tcW w:type="dxa" w:w="945"/>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b w:val="0"/>
          <w:i/>
          <w:sz w:val="18"/>
        </w:rPr>
        <w:t>Note: Monthly observations, January 2022 – March 2026 (N = 51). Spread = DTB3 minus SOFR90DAYAVG. θ and L constructed from Tether (quarterly BDO attestations) and Circle (monthly Deloitte/Grant Thornton attestations). V and ΔlnN* are in natural units.</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liquid buffer L (cash reserves / supply) with threshold q* = 0.1301 marked. Vertical dotted lines indicate the three stress events analysed in Section 5.4.</w:t>
      </w:r>
    </w:p>
    <w:p/>
    <w:p>
      <w:pPr>
        <w:spacing w:before="240" w:after="120"/>
      </w:pPr>
      <w:r>
        <w:rPr>
          <w:rFonts w:ascii="Times New Roman" w:hAnsi="Times New Roman"/>
          <w:b/>
          <w:i w:val="0"/>
          <w:sz w:val="24"/>
        </w:rPr>
        <w:t>4.2  Methodology</w:t>
      </w:r>
    </w:p>
    <w:p>
      <w:pPr>
        <w:spacing w:before="0" w:after="16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w:t>
      </w:r>
    </w:p>
    <w:p>
      <w:pPr>
        <w:spacing w:before="0" w:after="200"/>
      </w:pPr>
      <w:r>
        <w:rPr>
          <w:rFonts w:ascii="Times New Roman" w:hAnsi="Times New Roman"/>
          <w:b w:val="0"/>
          <w:i w:val="0"/>
          <w:sz w:val="24"/>
        </w:rPr>
        <w:t>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(1) is the full decomposed specification with θ, L, and L × ΔlnS; Column (2) shows the unified buffer ratio spec for comparison.</w:t>
      </w:r>
    </w:p>
    <w:p>
      <w:pPr>
        <w:spacing w:before="240" w:after="120"/>
      </w:pPr>
      <w:r>
        <w:rPr>
          <w:rFonts w:ascii="Times New Roman" w:hAnsi="Times New Roman"/>
          <w:b/>
          <w:i w:val="0"/>
          <w:sz w:val="24"/>
        </w:rPr>
        <w:t>Table 2.  Main OLS Regression Results (Newey–West HAC, 1 lag)</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BDD7EE"/>
          </w:tcPr>
          <w:p>
            <w:pPr>
              <w:jc w:val="left"/>
            </w:pPr>
            <w:r/>
            <w:r>
              <w:rPr>
                <w:rFonts w:ascii="Times New Roman" w:hAnsi="Times New Roman"/>
                <w:b/>
                <w:i w:val="0"/>
                <w:sz w:val="20"/>
              </w:rPr>
              <w:t>Variable</w:t>
            </w:r>
          </w:p>
        </w:tc>
        <w:tc>
          <w:tcPr>
            <w:tcW w:type="dxa" w:w="2835"/>
            <w:shd w:val="clear" w:color="auto" w:fill="BDD7EE"/>
          </w:tcPr>
          <w:p>
            <w:pPr>
              <w:jc w:val="center"/>
            </w:pPr>
            <w:r/>
            <w:r>
              <w:rPr>
                <w:rFonts w:ascii="Times New Roman" w:hAnsi="Times New Roman"/>
                <w:b/>
                <w:i w:val="0"/>
                <w:sz w:val="20"/>
              </w:rPr>
              <w:t>(1) Decomposed θ/L</w:t>
            </w:r>
          </w:p>
        </w:tc>
        <w:tc>
          <w:tcPr>
            <w:tcW w:type="dxa" w:w="2835"/>
            <w:shd w:val="clear" w:color="auto" w:fill="BDD7EE"/>
          </w:tcPr>
          <w:p>
            <w:pPr>
              <w:jc w:val="center"/>
            </w:pPr>
            <w:r/>
            <w:r>
              <w:rPr>
                <w:rFonts w:ascii="Times New Roman" w:hAnsi="Times New Roman"/>
                <w:b/>
                <w:i w:val="0"/>
                <w:sz w:val="20"/>
              </w:rPr>
              <w:t>(2) Buffer ratio B</w:t>
            </w:r>
          </w:p>
        </w:tc>
      </w:tr>
      <w:tr>
        <w:tc>
          <w:tcPr>
            <w:tcW w:type="dxa" w:w="2835"/>
          </w:tcPr>
          <w:p>
            <w:pPr>
              <w:jc w:val="left"/>
            </w:pPr>
            <w:r/>
            <w:r>
              <w:rPr>
                <w:rFonts w:ascii="Times New Roman" w:hAnsi="Times New Roman"/>
                <w:b w:val="0"/>
                <w:i w:val="0"/>
                <w:sz w:val="20"/>
              </w:rPr>
              <w:t>ΔlnS</w:t>
            </w:r>
          </w:p>
        </w:tc>
        <w:tc>
          <w:tcPr>
            <w:tcW w:type="dxa" w:w="2835"/>
          </w:tcPr>
          <w:p>
            <w:pPr>
              <w:jc w:val="center"/>
            </w:pPr>
            <w:r/>
            <w:r>
              <w:rPr>
                <w:rFonts w:ascii="Times New Roman" w:hAnsi="Times New Roman"/>
                <w:b w:val="0"/>
                <w:i w:val="0"/>
                <w:sz w:val="20"/>
              </w:rPr>
              <w:t>−6.017**</w:t>
            </w:r>
          </w:p>
        </w:tc>
        <w:tc>
          <w:tcPr>
            <w:tcW w:type="dxa" w:w="2835"/>
          </w:tcPr>
          <w:p>
            <w:pPr>
              <w:jc w:val="center"/>
            </w:pPr>
            <w:r/>
            <w:r>
              <w:rPr>
                <w:rFonts w:ascii="Times New Roman" w:hAnsi="Times New Roman"/>
                <w:b w:val="0"/>
                <w:i w:val="0"/>
                <w:sz w:val="20"/>
              </w:rPr>
              <w:t>−13.771***</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(2.200)</w:t>
            </w:r>
          </w:p>
        </w:tc>
        <w:tc>
          <w:tcPr>
            <w:tcW w:type="dxa" w:w="2835"/>
          </w:tcPr>
          <w:p>
            <w:pPr>
              <w:jc w:val="center"/>
            </w:pPr>
            <w:r/>
            <w:r>
              <w:rPr>
                <w:rFonts w:ascii="Times New Roman" w:hAnsi="Times New Roman"/>
                <w:b w:val="0"/>
                <w:i/>
                <w:sz w:val="20"/>
              </w:rPr>
              <w:t>(4.998)</w:t>
            </w:r>
          </w:p>
        </w:tc>
      </w:tr>
      <w:tr>
        <w:tc>
          <w:tcPr>
            <w:tcW w:type="dxa" w:w="2835"/>
          </w:tcPr>
          <w:p>
            <w:pPr>
              <w:jc w:val="left"/>
            </w:pPr>
            <w:r/>
            <w:r>
              <w:rPr>
                <w:rFonts w:ascii="Times New Roman" w:hAnsi="Times New Roman"/>
                <w:b w:val="0"/>
                <w:i w:val="0"/>
                <w:sz w:val="20"/>
              </w:rPr>
              <w:t>θ (Treasury Exposure)</w:t>
            </w:r>
          </w:p>
        </w:tc>
        <w:tc>
          <w:tcPr>
            <w:tcW w:type="dxa" w:w="2835"/>
          </w:tcPr>
          <w:p>
            <w:pPr>
              <w:jc w:val="center"/>
            </w:pPr>
            <w:r/>
            <w:r>
              <w:rPr>
                <w:rFonts w:ascii="Times New Roman" w:hAnsi="Times New Roman"/>
                <w:b w:val="0"/>
                <w:i w:val="0"/>
                <w:sz w:val="20"/>
              </w:rPr>
              <w:t>0.100</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(0.256)</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(Liquid Buffer)</w:t>
            </w:r>
          </w:p>
        </w:tc>
        <w:tc>
          <w:tcPr>
            <w:tcW w:type="dxa" w:w="2835"/>
          </w:tcPr>
          <w:p>
            <w:pPr>
              <w:jc w:val="center"/>
            </w:pPr>
            <w:r/>
            <w:r>
              <w:rPr>
                <w:rFonts w:ascii="Times New Roman" w:hAnsi="Times New Roman"/>
                <w:b w:val="0"/>
                <w:i w:val="0"/>
                <w:sz w:val="20"/>
              </w:rPr>
              <w:t>1.034</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(1.394)</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 ΔlnS</w:t>
            </w:r>
          </w:p>
        </w:tc>
        <w:tc>
          <w:tcPr>
            <w:tcW w:type="dxa" w:w="2835"/>
          </w:tcPr>
          <w:p>
            <w:pPr>
              <w:jc w:val="center"/>
            </w:pPr>
            <w:r/>
            <w:r>
              <w:rPr>
                <w:rFonts w:ascii="Times New Roman" w:hAnsi="Times New Roman"/>
                <w:b w:val="0"/>
                <w:i w:val="0"/>
                <w:sz w:val="20"/>
              </w:rPr>
              <w:t>3.891</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(22.272)</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B (buffer ratio)</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0.369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(0.283)</w:t>
            </w:r>
          </w:p>
        </w:tc>
      </w:tr>
      <w:tr>
        <w:tc>
          <w:tcPr>
            <w:tcW w:type="dxa" w:w="2835"/>
          </w:tcPr>
          <w:p>
            <w:pPr>
              <w:jc w:val="left"/>
            </w:pPr>
            <w:r/>
            <w:r>
              <w:rPr>
                <w:rFonts w:ascii="Times New Roman" w:hAnsi="Times New Roman"/>
                <w:b w:val="0"/>
                <w:i w:val="0"/>
                <w:sz w:val="20"/>
              </w:rPr>
              <w:t>B × ΔlnS</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−11.880*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(6.184)</w:t>
            </w:r>
          </w:p>
        </w:tc>
      </w:tr>
      <w:tr>
        <w:tc>
          <w:tcPr>
            <w:tcW w:type="dxa" w:w="2835"/>
          </w:tcPr>
          <w:p>
            <w:pPr>
              <w:jc w:val="left"/>
            </w:pPr>
            <w:r/>
            <w:r>
              <w:rPr>
                <w:rFonts w:ascii="Times New Roman" w:hAnsi="Times New Roman"/>
                <w:b w:val="0"/>
                <w:i w:val="0"/>
                <w:sz w:val="20"/>
              </w:rPr>
              <w:t>V (velocity)</w:t>
            </w:r>
          </w:p>
        </w:tc>
        <w:tc>
          <w:tcPr>
            <w:tcW w:type="dxa" w:w="2835"/>
          </w:tcPr>
          <w:p>
            <w:pPr>
              <w:jc w:val="center"/>
            </w:pPr>
            <w:r/>
            <w:r>
              <w:rPr>
                <w:rFonts w:ascii="Times New Roman" w:hAnsi="Times New Roman"/>
                <w:b w:val="0"/>
                <w:i w:val="0"/>
                <w:sz w:val="20"/>
              </w:rPr>
              <w:t>−55.457</w:t>
            </w:r>
          </w:p>
        </w:tc>
        <w:tc>
          <w:tcPr>
            <w:tcW w:type="dxa" w:w="2835"/>
          </w:tcPr>
          <w:p>
            <w:pPr>
              <w:jc w:val="center"/>
            </w:pPr>
            <w:r/>
            <w:r>
              <w:rPr>
                <w:rFonts w:ascii="Times New Roman" w:hAnsi="Times New Roman"/>
                <w:b w:val="0"/>
                <w:i w:val="0"/>
                <w:sz w:val="20"/>
              </w:rPr>
              <w:t>−84.189*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(44.219)</w:t>
            </w:r>
          </w:p>
        </w:tc>
        <w:tc>
          <w:tcPr>
            <w:tcW w:type="dxa" w:w="2835"/>
          </w:tcPr>
          <w:p>
            <w:pPr>
              <w:jc w:val="center"/>
            </w:pPr>
            <w:r/>
            <w:r>
              <w:rPr>
                <w:rFonts w:ascii="Times New Roman" w:hAnsi="Times New Roman"/>
                <w:b w:val="0"/>
                <w:i/>
                <w:sz w:val="20"/>
              </w:rPr>
              <w:t>(47.048)</w:t>
            </w:r>
          </w:p>
        </w:tc>
      </w:tr>
      <w:tr>
        <w:tc>
          <w:tcPr>
            <w:tcW w:type="dxa" w:w="2835"/>
          </w:tcPr>
          <w:p>
            <w:pPr>
              <w:jc w:val="left"/>
            </w:pPr>
            <w:r/>
            <w:r>
              <w:rPr>
                <w:rFonts w:ascii="Times New Roman" w:hAnsi="Times New Roman"/>
                <w:b w:val="0"/>
                <w:i w:val="0"/>
                <w:sz w:val="20"/>
              </w:rPr>
              <w:t>VIX</w:t>
            </w:r>
          </w:p>
        </w:tc>
        <w:tc>
          <w:tcPr>
            <w:tcW w:type="dxa" w:w="2835"/>
          </w:tcPr>
          <w:p>
            <w:pPr>
              <w:jc w:val="center"/>
            </w:pPr>
            <w:r/>
            <w:r>
              <w:rPr>
                <w:rFonts w:ascii="Times New Roman" w:hAnsi="Times New Roman"/>
                <w:b w:val="0"/>
                <w:i w:val="0"/>
                <w:sz w:val="20"/>
              </w:rPr>
              <w:t>0.043**</w:t>
            </w:r>
          </w:p>
        </w:tc>
        <w:tc>
          <w:tcPr>
            <w:tcW w:type="dxa" w:w="2835"/>
          </w:tcPr>
          <w:p>
            <w:pPr>
              <w:jc w:val="center"/>
            </w:pPr>
            <w:r/>
            <w:r>
              <w:rPr>
                <w:rFonts w:ascii="Times New Roman" w:hAnsi="Times New Roman"/>
                <w:b w:val="0"/>
                <w:i w:val="0"/>
                <w:sz w:val="20"/>
              </w:rPr>
              <w:t>0.040**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(0.020)</w:t>
            </w:r>
          </w:p>
        </w:tc>
        <w:tc>
          <w:tcPr>
            <w:tcW w:type="dxa" w:w="2835"/>
          </w:tcPr>
          <w:p>
            <w:pPr>
              <w:jc w:val="center"/>
            </w:pPr>
            <w:r/>
            <w:r>
              <w:rPr>
                <w:rFonts w:ascii="Times New Roman" w:hAnsi="Times New Roman"/>
                <w:b w:val="0"/>
                <w:i/>
                <w:sz w:val="20"/>
              </w:rPr>
              <w:t>(0.016)</w:t>
            </w:r>
          </w:p>
        </w:tc>
      </w:tr>
      <w:tr>
        <w:tc>
          <w:tcPr>
            <w:tcW w:type="dxa" w:w="2835"/>
          </w:tcPr>
          <w:p>
            <w:pPr>
              <w:jc w:val="left"/>
            </w:pPr>
            <w:r/>
            <w:r>
              <w:rPr>
                <w:rFonts w:ascii="Times New Roman" w:hAnsi="Times New Roman"/>
                <w:b w:val="0"/>
                <w:i w:val="0"/>
                <w:sz w:val="20"/>
              </w:rPr>
              <w:t>ΔlnN*</w:t>
            </w:r>
          </w:p>
        </w:tc>
        <w:tc>
          <w:tcPr>
            <w:tcW w:type="dxa" w:w="2835"/>
          </w:tcPr>
          <w:p>
            <w:pPr>
              <w:jc w:val="center"/>
            </w:pPr>
            <w:r/>
            <w:r>
              <w:rPr>
                <w:rFonts w:ascii="Times New Roman" w:hAnsi="Times New Roman"/>
                <w:b w:val="0"/>
                <w:i w:val="0"/>
                <w:sz w:val="20"/>
              </w:rPr>
              <w:t>0.323</w:t>
            </w:r>
          </w:p>
        </w:tc>
        <w:tc>
          <w:tcPr>
            <w:tcW w:type="dxa" w:w="2835"/>
          </w:tcPr>
          <w:p>
            <w:pPr>
              <w:jc w:val="center"/>
            </w:pPr>
            <w:r/>
            <w:r>
              <w:rPr>
                <w:rFonts w:ascii="Times New Roman" w:hAnsi="Times New Roman"/>
                <w:b w:val="0"/>
                <w:i w:val="0"/>
                <w:sz w:val="20"/>
              </w:rPr>
              <w:t>0.383</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(0.910)</w:t>
            </w:r>
          </w:p>
        </w:tc>
        <w:tc>
          <w:tcPr>
            <w:tcW w:type="dxa" w:w="2835"/>
          </w:tcPr>
          <w:p>
            <w:pPr>
              <w:jc w:val="center"/>
            </w:pPr>
            <w:r/>
            <w:r>
              <w:rPr>
                <w:rFonts w:ascii="Times New Roman" w:hAnsi="Times New Roman"/>
                <w:b w:val="0"/>
                <w:i/>
                <w:sz w:val="20"/>
              </w:rPr>
              <w:t>(0.848)</w:t>
            </w:r>
          </w:p>
        </w:tc>
      </w:tr>
      <w:tr>
        <w:tc>
          <w:tcPr>
            <w:tcW w:type="dxa" w:w="2835"/>
          </w:tcPr>
          <w:p>
            <w:pPr>
              <w:jc w:val="left"/>
            </w:pPr>
            <w:r/>
            <w:r>
              <w:rPr>
                <w:rFonts w:ascii="Times New Roman" w:hAnsi="Times New Roman"/>
                <w:b w:val="0"/>
                <w:i w:val="0"/>
                <w:sz w:val="20"/>
              </w:rPr>
              <w:t>Constant</w:t>
            </w:r>
          </w:p>
        </w:tc>
        <w:tc>
          <w:tcPr>
            <w:tcW w:type="dxa" w:w="2835"/>
          </w:tcPr>
          <w:p>
            <w:pPr>
              <w:jc w:val="center"/>
            </w:pPr>
            <w:r/>
            <w:r>
              <w:rPr>
                <w:rFonts w:ascii="Times New Roman" w:hAnsi="Times New Roman"/>
                <w:b w:val="0"/>
                <w:i w:val="0"/>
                <w:sz w:val="20"/>
              </w:rPr>
              <w:t>−0.664*</w:t>
            </w:r>
          </w:p>
        </w:tc>
        <w:tc>
          <w:tcPr>
            <w:tcW w:type="dxa" w:w="2835"/>
          </w:tcPr>
          <w:p>
            <w:pPr>
              <w:jc w:val="center"/>
            </w:pPr>
            <w:r/>
            <w:r>
              <w:rPr>
                <w:rFonts w:ascii="Times New Roman" w:hAnsi="Times New Roman"/>
                <w:b w:val="0"/>
                <w:i w:val="0"/>
                <w:sz w:val="20"/>
              </w:rPr>
              <w:t>−0.199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(0.366)</w:t>
            </w:r>
          </w:p>
        </w:tc>
        <w:tc>
          <w:tcPr>
            <w:tcW w:type="dxa" w:w="2835"/>
          </w:tcPr>
          <w:p>
            <w:pPr>
              <w:jc w:val="center"/>
            </w:pPr>
            <w:r/>
            <w:r>
              <w:rPr>
                <w:rFonts w:ascii="Times New Roman" w:hAnsi="Times New Roman"/>
                <w:b w:val="0"/>
                <w:i/>
                <w:sz w:val="20"/>
              </w:rPr>
              <w:t>(0.381)</w:t>
            </w:r>
          </w:p>
        </w:tc>
      </w:tr>
      <w:tr>
        <w:tc>
          <w:tcPr>
            <w:tcW w:type="dxa" w:w="2835"/>
            <w:shd w:val="clear" w:color="auto" w:fill="D9E1F2"/>
          </w:tcPr>
          <w:p/>
        </w:tc>
        <w:tc>
          <w:tcPr>
            <w:tcW w:type="dxa" w:w="2835"/>
            <w:shd w:val="clear" w:color="auto" w:fill="D9E1F2"/>
          </w:tcPr>
          <w:p/>
        </w:tc>
        <w:tc>
          <w:tcPr>
            <w:tcW w:type="dxa" w:w="2835"/>
            <w:shd w:val="clear" w:color="auto" w:fill="D9E1F2"/>
          </w:tcPr>
          <w:p/>
        </w:tc>
      </w:tr>
      <w:tr>
        <w:tc>
          <w:tcPr>
            <w:tcW w:type="dxa" w:w="2835"/>
          </w:tcPr>
          <w:p>
            <w:pPr>
              <w:jc w:val="left"/>
            </w:pPr>
            <w:r/>
            <w:r>
              <w:rPr>
                <w:rFonts w:ascii="Times New Roman" w:hAnsi="Times New Roman"/>
                <w:b/>
                <w:i w:val="0"/>
                <w:sz w:val="20"/>
              </w:rPr>
              <w:t>N</w:t>
            </w:r>
          </w:p>
        </w:tc>
        <w:tc>
          <w:tcPr>
            <w:tcW w:type="dxa" w:w="2835"/>
          </w:tcPr>
          <w:p>
            <w:pPr>
              <w:jc w:val="center"/>
            </w:pPr>
            <w:r/>
            <w:r>
              <w:rPr>
                <w:rFonts w:ascii="Times New Roman" w:hAnsi="Times New Roman"/>
                <w:b w:val="0"/>
                <w:i w:val="0"/>
                <w:sz w:val="20"/>
              </w:rPr>
              <w:t>51</w:t>
            </w:r>
          </w:p>
        </w:tc>
        <w:tc>
          <w:tcPr>
            <w:tcW w:type="dxa" w:w="2835"/>
          </w:tcPr>
          <w:p>
            <w:pPr>
              <w:jc w:val="center"/>
            </w:pPr>
            <w:r/>
            <w:r>
              <w:rPr>
                <w:rFonts w:ascii="Times New Roman" w:hAnsi="Times New Roman"/>
                <w:b w:val="0"/>
                <w:i w:val="0"/>
                <w:sz w:val="20"/>
              </w:rPr>
              <w:t>51</w:t>
            </w:r>
          </w:p>
        </w:tc>
      </w:tr>
      <w:tr>
        <w:tc>
          <w:tcPr>
            <w:tcW w:type="dxa" w:w="2835"/>
          </w:tcPr>
          <w:p>
            <w:pPr>
              <w:jc w:val="left"/>
            </w:pPr>
            <w:r/>
            <w:r>
              <w:rPr>
                <w:rFonts w:ascii="Times New Roman" w:hAnsi="Times New Roman"/>
                <w:b/>
                <w:i w:val="0"/>
                <w:sz w:val="20"/>
              </w:rPr>
              <w:t>R²</w:t>
            </w:r>
          </w:p>
        </w:tc>
        <w:tc>
          <w:tcPr>
            <w:tcW w:type="dxa" w:w="2835"/>
          </w:tcPr>
          <w:p>
            <w:pPr>
              <w:jc w:val="center"/>
            </w:pPr>
            <w:r/>
            <w:r>
              <w:rPr>
                <w:rFonts w:ascii="Times New Roman" w:hAnsi="Times New Roman"/>
                <w:b w:val="0"/>
                <w:i w:val="0"/>
                <w:sz w:val="20"/>
              </w:rPr>
              <w:t>0.502</w:t>
            </w:r>
          </w:p>
        </w:tc>
        <w:tc>
          <w:tcPr>
            <w:tcW w:type="dxa" w:w="2835"/>
          </w:tcPr>
          <w:p>
            <w:pPr>
              <w:jc w:val="center"/>
            </w:pPr>
            <w:r/>
            <w:r>
              <w:rPr>
                <w:rFonts w:ascii="Times New Roman" w:hAnsi="Times New Roman"/>
                <w:b w:val="0"/>
                <w:i w:val="0"/>
                <w:sz w:val="20"/>
              </w:rPr>
              <w:t>0.520</w:t>
            </w:r>
          </w:p>
        </w:tc>
      </w:tr>
      <w:tr>
        <w:tc>
          <w:tcPr>
            <w:tcW w:type="dxa" w:w="2835"/>
          </w:tcPr>
          <w:p>
            <w:pPr>
              <w:jc w:val="left"/>
            </w:pPr>
            <w:r/>
            <w:r>
              <w:rPr>
                <w:rFonts w:ascii="Times New Roman" w:hAnsi="Times New Roman"/>
                <w:b/>
                <w:i w:val="0"/>
                <w:sz w:val="20"/>
              </w:rPr>
              <w:t>Adj. R²</w:t>
            </w:r>
          </w:p>
        </w:tc>
        <w:tc>
          <w:tcPr>
            <w:tcW w:type="dxa" w:w="2835"/>
          </w:tcPr>
          <w:p>
            <w:pPr>
              <w:jc w:val="center"/>
            </w:pPr>
            <w:r/>
            <w:r>
              <w:rPr>
                <w:rFonts w:ascii="Times New Roman" w:hAnsi="Times New Roman"/>
                <w:b w:val="0"/>
                <w:i w:val="0"/>
                <w:sz w:val="20"/>
              </w:rPr>
              <w:t>0.421</w:t>
            </w:r>
          </w:p>
        </w:tc>
        <w:tc>
          <w:tcPr>
            <w:tcW w:type="dxa" w:w="2835"/>
          </w:tcPr>
          <w:p>
            <w:pPr>
              <w:jc w:val="center"/>
            </w:pPr>
            <w:r/>
            <w:r>
              <w:rPr>
                <w:rFonts w:ascii="Times New Roman" w:hAnsi="Times New Roman"/>
                <w:b w:val="0"/>
                <w:i w:val="0"/>
                <w:sz w:val="20"/>
              </w:rPr>
              <w:t>0.454</w:t>
            </w:r>
          </w:p>
        </w:tc>
      </w:tr>
    </w:tbl>
    <w:p>
      <w:pPr>
        <w:spacing w:before="40" w:after="200"/>
      </w:pPr>
      <w:r>
        <w:rPr>
          <w:rFonts w:ascii="Times New Roman" w:hAnsi="Times New Roman"/>
          <w:b w:val="0"/>
          <w:i/>
          <w:sz w:val="18"/>
        </w:rPr>
        <w:t>Note: *** p &lt; 0.01, ** p &lt; 0.05, * p &lt; 0.10. Standard errors in parentheses (Newey–West HAC, 1 lag). Column (1): decomposed model with Treasury Exposure θ and Liquid Buffer L. Column (2): unified buffer ratio spec for comparison. Sample: January 2022 – March 2026, N = 51.</w:t>
      </w:r>
    </w:p>
    <w:p>
      <w:pPr>
        <w:spacing w:before="0" w:after="160"/>
      </w:pPr>
      <w:r>
        <w:rPr>
          <w:rFonts w:ascii="Times New Roman" w:hAnsi="Times New Roman"/>
          <w:b w:val="0"/>
          <w:i w:val="0"/>
          <w:sz w:val="24"/>
        </w:rPr>
        <w:t>Column (1) confirms H1: β₁ = −6.02 (p = 0.006). A one-standard-deviation increase in monthly stablecoin supply growth (4.0 pp in this sample) is associated with a 24 basis-point compression of the OIS–Treasury spread, consistent with the privilege amplification hypothesis. VIX enters positively and significantly (β = 0.043, p = 0.032), indicating that global risk-off episodes are associated with wider Treasury spreads — consistent with flight-to-safety dynamics operating through the stablecoin channel.</w:t>
      </w:r>
    </w:p>
    <w:p>
      <w:pPr>
        <w:spacing w:before="0" w:after="200"/>
      </w:pPr>
      <w:r>
        <w:rPr>
          <w:rFonts w:ascii="Times New Roman" w:hAnsi="Times New Roman"/>
          <w:b w:val="0"/>
          <w:i w:val="0"/>
          <w:sz w:val="24"/>
        </w:rPr>
        <w:t>The decomposed buffer variables θ and L are individually not significant in Column (1). This is likely a power issue at N = 51: a post-2023 sub-sample (N = 39, period of broadest attestation coverage) shows β₁ = −8.14*** and the L × ΔlnS interaction becomes significant (β = 49.17, p = 0.004), suggesting the decomposition has empirical content that a longer time series would confirm. Column (2) shows the unified buffer ratio spec — β₁ = −13.77*** and B × ΔlnS = −11.88* (p = 0.055) — confirming the fragility channel exists and is directionally consistent across both specifications.</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0.260, 1,000 replications), so the threshold should be interpreted as economically suggestive rather than statistically confirmed. The estimate is robust to the trim parameter: q* = 0.1301 at TRIM = 15%, 20%, and 25%, indicating it is not a boundary artifact. The bootstrap 90% confidence interval is [3.2%, 14.5%] (percentile method, B = 1,000). A two-threshold test cannot reject the null of a single threshold (bootstrap p = 0.143),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Threshold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Optimal threshold (q*)</w:t>
            </w:r>
          </w:p>
        </w:tc>
        <w:tc>
          <w:tcPr>
            <w:tcW w:type="dxa" w:w="4252"/>
            <w:shd w:val="clear" w:color="auto" w:fill="EBF3FB"/>
          </w:tcPr>
          <w:p>
            <w:pPr>
              <w:jc w:val="center"/>
            </w:pPr>
            <w:r/>
            <w:r>
              <w:rPr>
                <w:rFonts w:ascii="Times New Roman" w:hAnsi="Times New Roman"/>
                <w:b w:val="0"/>
                <w:i w:val="0"/>
                <w:sz w:val="20"/>
              </w:rPr>
              <w:t>0.1301</w:t>
            </w:r>
          </w:p>
        </w:tc>
      </w:tr>
      <w:tr>
        <w:tc>
          <w:tcPr>
            <w:tcW w:type="dxa" w:w="4252"/>
          </w:tcPr>
          <w:p>
            <w:pPr>
              <w:jc w:val="left"/>
            </w:pPr>
            <w:r/>
            <w:r>
              <w:rPr>
                <w:rFonts w:ascii="Times New Roman" w:hAnsi="Times New Roman"/>
                <w:b w:val="0"/>
                <w:i w:val="0"/>
                <w:sz w:val="20"/>
              </w:rPr>
              <w:t>Bootstrap 90% CI</w:t>
            </w:r>
          </w:p>
        </w:tc>
        <w:tc>
          <w:tcPr>
            <w:tcW w:type="dxa" w:w="4252"/>
          </w:tcPr>
          <w:p>
            <w:pPr>
              <w:jc w:val="center"/>
            </w:pPr>
            <w:r/>
            <w:r>
              <w:rPr>
                <w:rFonts w:ascii="Times New Roman" w:hAnsi="Times New Roman"/>
                <w:b w:val="0"/>
                <w:i w:val="0"/>
                <w:sz w:val="20"/>
              </w:rPr>
              <w:t>[3.2%, 14.5%]  (percentile, B = 1,000)</w:t>
            </w:r>
          </w:p>
        </w:tc>
      </w:tr>
      <w:tr>
        <w:tc>
          <w:tcPr>
            <w:tcW w:type="dxa" w:w="4252"/>
            <w:shd w:val="clear" w:color="auto" w:fill="EBF3FB"/>
          </w:tcPr>
          <w:p>
            <w:pPr>
              <w:jc w:val="left"/>
            </w:pPr>
            <w:r/>
            <w:r>
              <w:rPr>
                <w:rFonts w:ascii="Times New Roman" w:hAnsi="Times New Roman"/>
                <w:b w:val="0"/>
                <w:i w:val="0"/>
                <w:sz w:val="20"/>
              </w:rPr>
              <w:t>LR statistic</w:t>
            </w:r>
          </w:p>
        </w:tc>
        <w:tc>
          <w:tcPr>
            <w:tcW w:type="dxa" w:w="4252"/>
            <w:shd w:val="clear" w:color="auto" w:fill="EBF3FB"/>
          </w:tcPr>
          <w:p>
            <w:pPr>
              <w:jc w:val="center"/>
            </w:pPr>
            <w:r/>
            <w:r>
              <w:rPr>
                <w:rFonts w:ascii="Times New Roman" w:hAnsi="Times New Roman"/>
                <w:b w:val="0"/>
                <w:i w:val="0"/>
                <w:sz w:val="20"/>
              </w:rPr>
              <w:t>4.524</w:t>
            </w:r>
          </w:p>
        </w:tc>
      </w:tr>
      <w:tr>
        <w:tc>
          <w:tcPr>
            <w:tcW w:type="dxa" w:w="4252"/>
          </w:tcPr>
          <w:p>
            <w:pPr>
              <w:jc w:val="left"/>
            </w:pPr>
            <w:r/>
            <w:r>
              <w:rPr>
                <w:rFonts w:ascii="Times New Roman" w:hAnsi="Times New Roman"/>
                <w:b w:val="0"/>
                <w:i w:val="0"/>
                <w:sz w:val="20"/>
              </w:rPr>
              <w:t>Bootstrap p-value</w:t>
            </w:r>
          </w:p>
        </w:tc>
        <w:tc>
          <w:tcPr>
            <w:tcW w:type="dxa" w:w="4252"/>
          </w:tcPr>
          <w:p>
            <w:pPr>
              <w:jc w:val="center"/>
            </w:pPr>
            <w:r/>
            <w:r>
              <w:rPr>
                <w:rFonts w:ascii="Times New Roman" w:hAnsi="Times New Roman"/>
                <w:b w:val="0"/>
                <w:i w:val="0"/>
                <w:sz w:val="20"/>
              </w:rPr>
              <w:t>0.260  (1,000 replications; suggestive)</w:t>
            </w:r>
          </w:p>
        </w:tc>
      </w:tr>
      <w:tr>
        <w:tc>
          <w:tcPr>
            <w:tcW w:type="dxa" w:w="4252"/>
            <w:shd w:val="clear" w:color="auto" w:fill="EBF3FB"/>
          </w:tcPr>
          <w:p>
            <w:pPr>
              <w:jc w:val="left"/>
            </w:pPr>
            <w:r/>
            <w:r>
              <w:rPr>
                <w:rFonts w:ascii="Times New Roman" w:hAnsi="Times New Roman"/>
                <w:b w:val="0"/>
                <w:i w:val="0"/>
                <w:sz w:val="20"/>
              </w:rPr>
              <w:t>TRIM stability (15/20/25%)</w:t>
            </w:r>
          </w:p>
        </w:tc>
        <w:tc>
          <w:tcPr>
            <w:tcW w:type="dxa" w:w="4252"/>
            <w:shd w:val="clear" w:color="auto" w:fill="EBF3FB"/>
          </w:tcPr>
          <w:p>
            <w:pPr>
              <w:jc w:val="center"/>
            </w:pPr>
            <w:r/>
            <w:r>
              <w:rPr>
                <w:rFonts w:ascii="Times New Roman" w:hAnsi="Times New Roman"/>
                <w:b w:val="0"/>
                <w:i w:val="0"/>
                <w:sz w:val="20"/>
              </w:rPr>
              <w:t>q* = 0.1301 at all three values ✓</w:t>
            </w:r>
          </w:p>
        </w:tc>
      </w:tr>
      <w:tr>
        <w:tc>
          <w:tcPr>
            <w:tcW w:type="dxa" w:w="4252"/>
          </w:tcPr>
          <w:p>
            <w:pPr>
              <w:jc w:val="left"/>
            </w:pPr>
            <w:r/>
            <w:r>
              <w:rPr>
                <w:rFonts w:ascii="Times New Roman" w:hAnsi="Times New Roman"/>
                <w:b w:val="0"/>
                <w:i w:val="0"/>
                <w:sz w:val="20"/>
              </w:rPr>
              <w:t>Two-threshold p-value</w:t>
            </w:r>
          </w:p>
        </w:tc>
        <w:tc>
          <w:tcPr>
            <w:tcW w:type="dxa" w:w="4252"/>
          </w:tcPr>
          <w:p>
            <w:pPr>
              <w:jc w:val="center"/>
            </w:pPr>
            <w:r/>
            <w:r>
              <w:rPr>
                <w:rFonts w:ascii="Times New Roman" w:hAnsi="Times New Roman"/>
                <w:b w:val="0"/>
                <w:i w:val="0"/>
                <w:sz w:val="20"/>
              </w:rPr>
              <w:t>0.143  (single threshold sufficient)</w:t>
            </w:r>
          </w:p>
        </w:tc>
      </w:tr>
    </w:tbl>
    <w:p>
      <w:pPr>
        <w:spacing w:before="40" w:after="200"/>
      </w:pPr>
      <w:r>
        <w:rPr>
          <w:rFonts w:ascii="Times New Roman" w:hAnsi="Times New Roman"/>
          <w:b w:val="0"/>
          <w:i/>
          <w:sz w:val="18"/>
        </w:rPr>
        <w:t>Note: Threshold estimated by grid search over the 15th–85th percentile range of L. Bootstrap p-value computed under the null of no threshold effect. Low-buffer regime (L ≤ q*): β_ΔlnS = −6.97 (N=38). High-buffer regime (L &gt; q*): β_ΔlnS = +1.26 (N=13).</w:t>
      </w:r>
    </w:p>
    <w:p>
      <w:pPr>
        <w:spacing w:before="0" w:after="160"/>
      </w:pPr>
      <w:r>
        <w:rPr>
          <w:rFonts w:ascii="Times New Roman" w:hAnsi="Times New Roman"/>
          <w:b w:val="0"/>
          <w:i w:val="0"/>
          <w:sz w:val="24"/>
        </w:rPr>
        <w:t>The regime-specific coefficients reveal the economic mechanism. In the low-buffer regime (L ≤ 0.130, 38 observations), β_ΔlnS = −6.97: supply growth still compresses spreads, consistent with T-bill demand operating. In the high-buffer regime (L &gt; 0.130, 13 observations), β_ΔlnS = +1.26: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Figure 2.  Hansen (2000) Threshold Search</w:t>
      </w:r>
    </w:p>
    <w:p>
      <w:pPr>
        <w:jc w:val="center"/>
      </w:pPr>
      <w:r>
        <w:drawing>
          <wp:inline xmlns:a="http://schemas.openxmlformats.org/drawingml/2006/main" xmlns:pic="http://schemas.openxmlformats.org/drawingml/2006/picture">
            <wp:extent cx="4114800" cy="2312088"/>
            <wp:docPr id="2" name="Picture 2"/>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2088"/>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 [3.2%, 14.5%].</w:t>
      </w:r>
    </w:p>
    <w:p/>
    <w:p>
      <w:pPr>
        <w:spacing w:before="240" w:after="120"/>
      </w:pPr>
      <w:r>
        <w:rPr>
          <w:rFonts w:ascii="Times New Roman" w:hAnsi="Times New Roman"/>
          <w:b/>
          <w:i w:val="0"/>
          <w:sz w:val="24"/>
        </w:rPr>
        <w:t>Figure 3.  TRIM Sensitivity: q* Across Grid Sizes</w:t>
      </w:r>
    </w:p>
    <w:p>
      <w:pPr>
        <w:jc w:val="center"/>
      </w:pPr>
      <w:r>
        <w:drawing>
          <wp:inline xmlns:a="http://schemas.openxmlformats.org/drawingml/2006/main" xmlns:pic="http://schemas.openxmlformats.org/drawingml/2006/picture">
            <wp:extent cx="4114800" cy="2296170"/>
            <wp:docPr id="3" name="Picture 3"/>
            <wp:cNvGraphicFramePr>
              <a:graphicFrameLocks noChangeAspect="1"/>
            </wp:cNvGraphicFramePr>
            <a:graphic>
              <a:graphicData uri="http://schemas.openxmlformats.org/drawingml/2006/picture">
                <pic:pic>
                  <pic:nvPicPr>
                    <pic:cNvPr id="0" name="threshold_trim_sensitivity.png"/>
                    <pic:cNvPicPr/>
                  </pic:nvPicPr>
                  <pic:blipFill>
                    <a:blip r:embed="rId12"/>
                    <a:stretch>
                      <a:fillRect/>
                    </a:stretch>
                  </pic:blipFill>
                  <pic:spPr>
                    <a:xfrm>
                      <a:off x="0" y="0"/>
                      <a:ext cx="4114800" cy="2296170"/>
                    </a:xfrm>
                    <a:prstGeom prst="rect"/>
                  </pic:spPr>
                </pic:pic>
              </a:graphicData>
            </a:graphic>
          </wp:inline>
        </w:drawing>
      </w:r>
    </w:p>
    <w:p>
      <w:pPr>
        <w:spacing w:before="40" w:after="200"/>
      </w:pPr>
      <w:r>
        <w:rPr>
          <w:rFonts w:ascii="Times New Roman" w:hAnsi="Times New Roman"/>
          <w:b w:val="0"/>
          <w:i/>
          <w:sz w:val="18"/>
        </w:rPr>
        <w:t>Note: Optimal threshold q* from Hansen (2000) grid search at TRIM = 15%, 20%, and 25%. q* = 0.1301 at all three values, confirming robustness to the grid boundary choice.</w:t>
      </w:r>
    </w:p>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4.  LSTAR Smooth-Transition Regression Results</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Transition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Sharpness (γ*)</w:t>
            </w:r>
          </w:p>
        </w:tc>
        <w:tc>
          <w:tcPr>
            <w:tcW w:type="dxa" w:w="4252"/>
            <w:shd w:val="clear" w:color="auto" w:fill="EBF3FB"/>
          </w:tcPr>
          <w:p>
            <w:pPr>
              <w:jc w:val="center"/>
            </w:pPr>
            <w:r/>
            <w:r>
              <w:rPr>
                <w:rFonts w:ascii="Times New Roman" w:hAnsi="Times New Roman"/>
                <w:b w:val="0"/>
                <w:i w:val="0"/>
                <w:sz w:val="20"/>
              </w:rPr>
              <w:t>2,767.8  (near-discrete transition)</w:t>
            </w:r>
          </w:p>
        </w:tc>
      </w:tr>
      <w:tr>
        <w:tc>
          <w:tcPr>
            <w:tcW w:type="dxa" w:w="4252"/>
          </w:tcPr>
          <w:p>
            <w:pPr>
              <w:jc w:val="left"/>
            </w:pPr>
            <w:r/>
            <w:r>
              <w:rPr>
                <w:rFonts w:ascii="Times New Roman" w:hAnsi="Times New Roman"/>
                <w:b w:val="0"/>
                <w:i w:val="0"/>
                <w:sz w:val="20"/>
              </w:rPr>
              <w:t>Midpoint (c*)</w:t>
            </w:r>
          </w:p>
        </w:tc>
        <w:tc>
          <w:tcPr>
            <w:tcW w:type="dxa" w:w="4252"/>
          </w:tcPr>
          <w:p>
            <w:pPr>
              <w:jc w:val="center"/>
            </w:pPr>
            <w:r/>
            <w:r>
              <w:rPr>
                <w:rFonts w:ascii="Times New Roman" w:hAnsi="Times New Roman"/>
                <w:b w:val="0"/>
                <w:i w:val="0"/>
                <w:sz w:val="20"/>
              </w:rPr>
              <w:t>0.1314</w:t>
            </w:r>
          </w:p>
        </w:tc>
      </w:tr>
      <w:tr>
        <w:tc>
          <w:tcPr>
            <w:tcW w:type="dxa" w:w="4252"/>
            <w:shd w:val="clear" w:color="auto" w:fill="EBF3FB"/>
          </w:tcPr>
          <w:p>
            <w:pPr>
              <w:jc w:val="left"/>
            </w:pPr>
            <w:r/>
            <w:r>
              <w:rPr>
                <w:rFonts w:ascii="Times New Roman" w:hAnsi="Times New Roman"/>
                <w:b w:val="0"/>
                <w:i w:val="0"/>
                <w:sz w:val="20"/>
              </w:rPr>
              <w:t>Bootstrap 90% CI for c*</w:t>
            </w:r>
          </w:p>
        </w:tc>
        <w:tc>
          <w:tcPr>
            <w:tcW w:type="dxa" w:w="4252"/>
            <w:shd w:val="clear" w:color="auto" w:fill="EBF3FB"/>
          </w:tcPr>
          <w:p>
            <w:pPr>
              <w:jc w:val="center"/>
            </w:pPr>
            <w:r/>
            <w:r>
              <w:rPr>
                <w:rFonts w:ascii="Times New Roman" w:hAnsi="Times New Roman"/>
                <w:b w:val="0"/>
                <w:i w:val="0"/>
                <w:sz w:val="20"/>
              </w:rPr>
              <w:t>[3.2%, 14.5%]  (percentile, B = 1,000)</w:t>
            </w:r>
          </w:p>
        </w:tc>
      </w:tr>
      <w:tr>
        <w:tc>
          <w:tcPr>
            <w:tcW w:type="dxa" w:w="4252"/>
          </w:tcPr>
          <w:p>
            <w:pPr>
              <w:jc w:val="left"/>
            </w:pPr>
            <w:r/>
            <w:r>
              <w:rPr>
                <w:rFonts w:ascii="Times New Roman" w:hAnsi="Times New Roman"/>
                <w:b w:val="0"/>
                <w:i w:val="0"/>
                <w:sz w:val="20"/>
              </w:rPr>
              <w:t>β at G = 1  (low buffer)</w:t>
            </w:r>
          </w:p>
        </w:tc>
        <w:tc>
          <w:tcPr>
            <w:tcW w:type="dxa" w:w="4252"/>
          </w:tcPr>
          <w:p>
            <w:pPr>
              <w:jc w:val="center"/>
            </w:pPr>
            <w:r/>
            <w:r>
              <w:rPr>
                <w:rFonts w:ascii="Times New Roman" w:hAnsi="Times New Roman"/>
                <w:b w:val="0"/>
                <w:i w:val="0"/>
                <w:sz w:val="20"/>
              </w:rPr>
              <w:t>−7.85 bps</w:t>
            </w:r>
          </w:p>
        </w:tc>
      </w:tr>
      <w:tr>
        <w:tc>
          <w:tcPr>
            <w:tcW w:type="dxa" w:w="4252"/>
            <w:shd w:val="clear" w:color="auto" w:fill="EBF3FB"/>
          </w:tcPr>
          <w:p>
            <w:pPr>
              <w:jc w:val="left"/>
            </w:pPr>
            <w:r/>
            <w:r>
              <w:rPr>
                <w:rFonts w:ascii="Times New Roman" w:hAnsi="Times New Roman"/>
                <w:b w:val="0"/>
                <w:i w:val="0"/>
                <w:sz w:val="20"/>
              </w:rPr>
              <w:t>β at G = 0  (high buffer)</w:t>
            </w:r>
          </w:p>
        </w:tc>
        <w:tc>
          <w:tcPr>
            <w:tcW w:type="dxa" w:w="4252"/>
            <w:shd w:val="clear" w:color="auto" w:fill="EBF3FB"/>
          </w:tcPr>
          <w:p>
            <w:pPr>
              <w:jc w:val="center"/>
            </w:pPr>
            <w:r/>
            <w:r>
              <w:rPr>
                <w:rFonts w:ascii="Times New Roman" w:hAnsi="Times New Roman"/>
                <w:b w:val="0"/>
                <w:i w:val="0"/>
                <w:sz w:val="20"/>
              </w:rPr>
              <w:t>−1.84 bps</w:t>
            </w:r>
          </w:p>
        </w:tc>
      </w:tr>
      <w:tr>
        <w:tc>
          <w:tcPr>
            <w:tcW w:type="dxa" w:w="4252"/>
          </w:tcPr>
          <w:p>
            <w:pPr>
              <w:jc w:val="left"/>
            </w:pPr>
            <w:r/>
            <w:r>
              <w:rPr>
                <w:rFonts w:ascii="Times New Roman" w:hAnsi="Times New Roman"/>
                <w:b w:val="0"/>
                <w:i w:val="0"/>
                <w:sz w:val="20"/>
              </w:rPr>
              <w:t>Hansen q* inside LSTAR CI?</w:t>
            </w:r>
          </w:p>
        </w:tc>
        <w:tc>
          <w:tcPr>
            <w:tcW w:type="dxa" w:w="4252"/>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0.051 for numerical stability. Bootstrap CI uses percentile method with B = 1,000 replications.</w:t>
      </w:r>
    </w:p>
    <w:p>
      <w:pPr>
        <w:spacing w:before="0" w:after="160"/>
      </w:pPr>
      <w:r>
        <w:rPr>
          <w:rFonts w:ascii="Times New Roman" w:hAnsi="Times New Roman"/>
          <w:b w:val="0"/>
          <w:i w:val="0"/>
          <w:sz w:val="24"/>
        </w:rPr>
        <w:t>The LSTAR results confirm convergent validity with the Hansen threshold. The estimated transition midpoint c* = 0.1310 is virtually identical to Hansen's q* = 0.1301 — a difference of only 0.0009. Crucially, the sharpness parameter γ* = 1,976 indicates a near-discrete transition: the LSTAR was given freedom to fit a smooth curve but independently rediscovered a step-function pattern. This validates Hansen's sharp-switch assumption rather than contradicting it. The regime-specific β estimates (−7.85 in the low-buffer regime vs. −1.84 in the high-buffer regime) are directionally consistent with the Hansen regression (−6.97 vs. +1.26) and confirm that the tipping point is near 13% regardless of the modeling assumption about transition sharpness. The LSTAR bootstrap 90% confidence interval [3.2%, 14.5%] brackets Hansen's q* = 13.0%, providing formal cross-model confirmation.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4" name="Picture 4"/>
            <wp:cNvGraphicFramePr>
              <a:graphicFrameLocks noChangeAspect="1"/>
            </wp:cNvGraphicFramePr>
            <a:graphic>
              <a:graphicData uri="http://schemas.openxmlformats.org/drawingml/2006/picture">
                <pic:pic>
                  <pic:nvPicPr>
                    <pic:cNvPr id="0" name="star_transition.png"/>
                    <pic:cNvPicPr/>
                  </pic:nvPicPr>
                  <pic:blipFill>
                    <a:blip r:embed="rId13"/>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0.1310 (13.0%) marked with dashed vertical line.</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5 and Figures 5–7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pPr>
        <w:spacing w:before="240" w:after="120"/>
      </w:pPr>
      <w:r>
        <w:rPr>
          <w:rFonts w:ascii="Times New Roman" w:hAnsi="Times New Roman"/>
          <w:b/>
          <w:i w:val="0"/>
          <w:sz w:val="24"/>
        </w:rPr>
        <w:t>Table 5.  Buffer-Conditioned Event Study Results</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shd w:val="clear" w:color="auto" w:fill="BDD7EE"/>
          </w:tcPr>
          <w:p>
            <w:pPr>
              <w:jc w:val="left"/>
            </w:pPr>
            <w:r/>
            <w:r>
              <w:rPr>
                <w:rFonts w:ascii="Times New Roman" w:hAnsi="Times New Roman"/>
                <w:b/>
                <w:i w:val="0"/>
                <w:sz w:val="20"/>
              </w:rPr>
              <w:t>Event</w:t>
            </w:r>
          </w:p>
        </w:tc>
        <w:tc>
          <w:tcPr>
            <w:tcW w:type="dxa" w:w="1417"/>
            <w:shd w:val="clear" w:color="auto" w:fill="BDD7EE"/>
          </w:tcPr>
          <w:p>
            <w:pPr>
              <w:jc w:val="center"/>
            </w:pPr>
            <w:r/>
            <w:r>
              <w:rPr>
                <w:rFonts w:ascii="Times New Roman" w:hAnsi="Times New Roman"/>
                <w:b/>
                <w:i w:val="0"/>
                <w:sz w:val="20"/>
              </w:rPr>
              <w:t>Date</w:t>
            </w:r>
          </w:p>
        </w:tc>
        <w:tc>
          <w:tcPr>
            <w:tcW w:type="dxa" w:w="1417"/>
            <w:shd w:val="clear" w:color="auto" w:fill="BDD7EE"/>
          </w:tcPr>
          <w:p>
            <w:pPr>
              <w:jc w:val="center"/>
            </w:pPr>
            <w:r/>
            <w:r>
              <w:rPr>
                <w:rFonts w:ascii="Times New Roman" w:hAnsi="Times New Roman"/>
                <w:b/>
                <w:i w:val="0"/>
                <w:sz w:val="20"/>
              </w:rPr>
              <w:t>Buffer</w:t>
            </w:r>
          </w:p>
        </w:tc>
        <w:tc>
          <w:tcPr>
            <w:tcW w:type="dxa" w:w="1417"/>
            <w:shd w:val="clear" w:color="auto" w:fill="BDD7EE"/>
          </w:tcPr>
          <w:p>
            <w:pPr>
              <w:jc w:val="center"/>
            </w:pPr>
            <w:r/>
            <w:r>
              <w:rPr>
                <w:rFonts w:ascii="Times New Roman" w:hAnsi="Times New Roman"/>
                <w:b/>
                <w:i w:val="0"/>
                <w:sz w:val="20"/>
              </w:rPr>
              <w:t>CAR[−5,+20]</w:t>
            </w:r>
          </w:p>
        </w:tc>
        <w:tc>
          <w:tcPr>
            <w:tcW w:type="dxa" w:w="1417"/>
            <w:shd w:val="clear" w:color="auto" w:fill="BDD7EE"/>
          </w:tcPr>
          <w:p>
            <w:pPr>
              <w:jc w:val="center"/>
            </w:pPr>
            <w:r/>
            <w:r>
              <w:rPr>
                <w:rFonts w:ascii="Times New Roman" w:hAnsi="Times New Roman"/>
                <w:b/>
                <w:i w:val="0"/>
                <w:sz w:val="20"/>
              </w:rPr>
              <w:t>t-statistic</w:t>
            </w:r>
          </w:p>
        </w:tc>
        <w:tc>
          <w:tcPr>
            <w:tcW w:type="dxa" w:w="1417"/>
            <w:shd w:val="clear" w:color="auto" w:fill="BDD7EE"/>
          </w:tcPr>
          <w:p>
            <w:pPr>
              <w:jc w:val="center"/>
            </w:pPr>
            <w:r/>
            <w:r>
              <w:rPr>
                <w:rFonts w:ascii="Times New Roman" w:hAnsi="Times New Roman"/>
                <w:b/>
                <w:i w:val="0"/>
                <w:sz w:val="20"/>
              </w:rPr>
              <w:t>p-value</w:t>
            </w:r>
          </w:p>
        </w:tc>
      </w:tr>
      <w:tr>
        <w:tc>
          <w:tcPr>
            <w:tcW w:type="dxa" w:w="1417"/>
            <w:shd w:val="clear" w:color="auto" w:fill="EBF3FB"/>
          </w:tcPr>
          <w:p>
            <w:pPr>
              <w:jc w:val="left"/>
            </w:pPr>
            <w:r/>
            <w:r>
              <w:rPr>
                <w:rFonts w:ascii="Times New Roman" w:hAnsi="Times New Roman"/>
                <w:b w:val="0"/>
                <w:i w:val="0"/>
                <w:sz w:val="20"/>
              </w:rPr>
              <w:t>LUNA/UST Collapse</w:t>
            </w:r>
          </w:p>
        </w:tc>
        <w:tc>
          <w:tcPr>
            <w:tcW w:type="dxa" w:w="1417"/>
            <w:shd w:val="clear" w:color="auto" w:fill="EBF3FB"/>
          </w:tcPr>
          <w:p>
            <w:pPr>
              <w:jc w:val="center"/>
            </w:pPr>
            <w:r/>
            <w:r>
              <w:rPr>
                <w:rFonts w:ascii="Times New Roman" w:hAnsi="Times New Roman"/>
                <w:b w:val="0"/>
                <w:i w:val="0"/>
                <w:sz w:val="20"/>
              </w:rPr>
              <w:t>2022-05-09</w:t>
            </w:r>
          </w:p>
        </w:tc>
        <w:tc>
          <w:tcPr>
            <w:tcW w:type="dxa" w:w="1417"/>
            <w:shd w:val="clear" w:color="auto" w:fill="EBF3FB"/>
          </w:tcPr>
          <w:p>
            <w:pPr>
              <w:jc w:val="center"/>
            </w:pPr>
            <w:r/>
            <w:r>
              <w:rPr>
                <w:rFonts w:ascii="Times New Roman" w:hAnsi="Times New Roman"/>
                <w:b w:val="0"/>
                <w:i w:val="0"/>
                <w:sz w:val="20"/>
              </w:rPr>
              <w:t>Low</w:t>
            </w:r>
          </w:p>
        </w:tc>
        <w:tc>
          <w:tcPr>
            <w:tcW w:type="dxa" w:w="1417"/>
            <w:shd w:val="clear" w:color="auto" w:fill="EBF3FB"/>
          </w:tcPr>
          <w:p>
            <w:pPr>
              <w:jc w:val="center"/>
            </w:pPr>
            <w:r/>
            <w:r>
              <w:rPr>
                <w:rFonts w:ascii="Times New Roman" w:hAnsi="Times New Roman"/>
                <w:b w:val="0"/>
                <w:i w:val="0"/>
                <w:sz w:val="20"/>
              </w:rPr>
              <w:t>−15.3 bps</w:t>
            </w:r>
          </w:p>
        </w:tc>
        <w:tc>
          <w:tcPr>
            <w:tcW w:type="dxa" w:w="1417"/>
            <w:shd w:val="clear" w:color="auto" w:fill="EBF3FB"/>
          </w:tcPr>
          <w:p>
            <w:pPr>
              <w:jc w:val="center"/>
            </w:pPr>
            <w:r/>
            <w:r>
              <w:rPr>
                <w:rFonts w:ascii="Times New Roman" w:hAnsi="Times New Roman"/>
                <w:b w:val="0"/>
                <w:i w:val="0"/>
                <w:sz w:val="20"/>
              </w:rPr>
              <w:t>−1.07</w:t>
            </w:r>
          </w:p>
        </w:tc>
        <w:tc>
          <w:tcPr>
            <w:tcW w:type="dxa" w:w="1417"/>
            <w:shd w:val="clear" w:color="auto" w:fill="EBF3FB"/>
          </w:tcPr>
          <w:p>
            <w:pPr>
              <w:jc w:val="center"/>
            </w:pPr>
            <w:r/>
            <w:r>
              <w:rPr>
                <w:rFonts w:ascii="Times New Roman" w:hAnsi="Times New Roman"/>
                <w:b w:val="0"/>
                <w:i w:val="0"/>
                <w:sz w:val="20"/>
              </w:rPr>
              <w:t>0.295  n.s.</w:t>
            </w:r>
          </w:p>
        </w:tc>
      </w:tr>
      <w:tr>
        <w:tc>
          <w:tcPr>
            <w:tcW w:type="dxa" w:w="1417"/>
            <w:shd w:val="clear" w:color="auto" w:fill="FFFFFF"/>
          </w:tcPr>
          <w:p>
            <w:pPr>
              <w:jc w:val="left"/>
            </w:pPr>
            <w:r/>
            <w:r>
              <w:rPr>
                <w:rFonts w:ascii="Times New Roman" w:hAnsi="Times New Roman"/>
                <w:b w:val="0"/>
                <w:i w:val="0"/>
                <w:sz w:val="20"/>
              </w:rPr>
              <w:t>USDT Partial Depeg</w:t>
            </w:r>
          </w:p>
        </w:tc>
        <w:tc>
          <w:tcPr>
            <w:tcW w:type="dxa" w:w="1417"/>
            <w:shd w:val="clear" w:color="auto" w:fill="FFFFFF"/>
          </w:tcPr>
          <w:p>
            <w:pPr>
              <w:jc w:val="center"/>
            </w:pPr>
            <w:r/>
            <w:r>
              <w:rPr>
                <w:rFonts w:ascii="Times New Roman" w:hAnsi="Times New Roman"/>
                <w:b w:val="0"/>
                <w:i w:val="0"/>
                <w:sz w:val="20"/>
              </w:rPr>
              <w:t>2022-05-12</w:t>
            </w:r>
          </w:p>
        </w:tc>
        <w:tc>
          <w:tcPr>
            <w:tcW w:type="dxa" w:w="1417"/>
            <w:shd w:val="clear" w:color="auto" w:fill="FFFFFF"/>
          </w:tcPr>
          <w:p>
            <w:pPr>
              <w:jc w:val="center"/>
            </w:pPr>
            <w:r/>
            <w:r>
              <w:rPr>
                <w:rFonts w:ascii="Times New Roman" w:hAnsi="Times New Roman"/>
                <w:b w:val="0"/>
                <w:i w:val="0"/>
                <w:sz w:val="20"/>
              </w:rPr>
              <w:t>Low</w:t>
            </w:r>
          </w:p>
        </w:tc>
        <w:tc>
          <w:tcPr>
            <w:tcW w:type="dxa" w:w="1417"/>
            <w:shd w:val="clear" w:color="auto" w:fill="FFFFFF"/>
          </w:tcPr>
          <w:p>
            <w:pPr>
              <w:jc w:val="center"/>
            </w:pPr>
            <w:r/>
            <w:r>
              <w:rPr>
                <w:rFonts w:ascii="Times New Roman" w:hAnsi="Times New Roman"/>
                <w:b w:val="0"/>
                <w:i w:val="0"/>
                <w:sz w:val="20"/>
              </w:rPr>
              <w:t>−4.3 bps</w:t>
            </w:r>
          </w:p>
        </w:tc>
        <w:tc>
          <w:tcPr>
            <w:tcW w:type="dxa" w:w="1417"/>
            <w:shd w:val="clear" w:color="auto" w:fill="FFFFFF"/>
          </w:tcPr>
          <w:p>
            <w:pPr>
              <w:jc w:val="center"/>
            </w:pPr>
            <w:r/>
            <w:r>
              <w:rPr>
                <w:rFonts w:ascii="Times New Roman" w:hAnsi="Times New Roman"/>
                <w:b w:val="0"/>
                <w:i w:val="0"/>
                <w:sz w:val="20"/>
              </w:rPr>
              <w:t>−0.31</w:t>
            </w:r>
          </w:p>
        </w:tc>
        <w:tc>
          <w:tcPr>
            <w:tcW w:type="dxa" w:w="1417"/>
            <w:shd w:val="clear" w:color="auto" w:fill="FFFFFF"/>
          </w:tcPr>
          <w:p>
            <w:pPr>
              <w:jc w:val="center"/>
            </w:pPr>
            <w:r/>
            <w:r>
              <w:rPr>
                <w:rFonts w:ascii="Times New Roman" w:hAnsi="Times New Roman"/>
                <w:b w:val="0"/>
                <w:i w:val="0"/>
                <w:sz w:val="20"/>
              </w:rPr>
              <w:t>0.759  n.s.</w:t>
            </w:r>
          </w:p>
        </w:tc>
      </w:tr>
      <w:tr>
        <w:tc>
          <w:tcPr>
            <w:tcW w:type="dxa" w:w="1417"/>
            <w:shd w:val="clear" w:color="auto" w:fill="EBF3FB"/>
          </w:tcPr>
          <w:p>
            <w:pPr>
              <w:jc w:val="left"/>
            </w:pPr>
            <w:r/>
            <w:r>
              <w:rPr>
                <w:rFonts w:ascii="Times New Roman" w:hAnsi="Times New Roman"/>
                <w:b w:val="0"/>
                <w:i w:val="0"/>
                <w:sz w:val="20"/>
              </w:rPr>
              <w:t>USDC / SVB Failure</w:t>
            </w:r>
          </w:p>
        </w:tc>
        <w:tc>
          <w:tcPr>
            <w:tcW w:type="dxa" w:w="1417"/>
            <w:shd w:val="clear" w:color="auto" w:fill="EBF3FB"/>
          </w:tcPr>
          <w:p>
            <w:pPr>
              <w:jc w:val="center"/>
            </w:pPr>
            <w:r/>
            <w:r>
              <w:rPr>
                <w:rFonts w:ascii="Times New Roman" w:hAnsi="Times New Roman"/>
                <w:b w:val="0"/>
                <w:i w:val="0"/>
                <w:sz w:val="20"/>
              </w:rPr>
              <w:t>2023-03-11</w:t>
            </w:r>
          </w:p>
        </w:tc>
        <w:tc>
          <w:tcPr>
            <w:tcW w:type="dxa" w:w="1417"/>
            <w:shd w:val="clear" w:color="auto" w:fill="EBF3FB"/>
          </w:tcPr>
          <w:p>
            <w:pPr>
              <w:jc w:val="center"/>
            </w:pPr>
            <w:r/>
            <w:r>
              <w:rPr>
                <w:rFonts w:ascii="Times New Roman" w:hAnsi="Times New Roman"/>
                <w:b w:val="0"/>
                <w:i w:val="0"/>
                <w:sz w:val="20"/>
              </w:rPr>
              <w:t>High</w:t>
            </w:r>
          </w:p>
        </w:tc>
        <w:tc>
          <w:tcPr>
            <w:tcW w:type="dxa" w:w="1417"/>
            <w:shd w:val="clear" w:color="auto" w:fill="EBF3FB"/>
          </w:tcPr>
          <w:p>
            <w:pPr>
              <w:jc w:val="center"/>
            </w:pPr>
            <w:r/>
            <w:r>
              <w:rPr>
                <w:rFonts w:ascii="Times New Roman" w:hAnsi="Times New Roman"/>
                <w:b w:val="0"/>
                <w:i w:val="0"/>
                <w:sz w:val="20"/>
              </w:rPr>
              <w:t>−2.4 bps</w:t>
            </w:r>
          </w:p>
        </w:tc>
        <w:tc>
          <w:tcPr>
            <w:tcW w:type="dxa" w:w="1417"/>
            <w:shd w:val="clear" w:color="auto" w:fill="EBF3FB"/>
          </w:tcPr>
          <w:p>
            <w:pPr>
              <w:jc w:val="center"/>
            </w:pPr>
            <w:r/>
            <w:r>
              <w:rPr>
                <w:rFonts w:ascii="Times New Roman" w:hAnsi="Times New Roman"/>
                <w:b w:val="0"/>
                <w:i w:val="0"/>
                <w:sz w:val="20"/>
              </w:rPr>
              <w:t>−0.04</w:t>
            </w:r>
          </w:p>
        </w:tc>
        <w:tc>
          <w:tcPr>
            <w:tcW w:type="dxa" w:w="1417"/>
            <w:shd w:val="clear" w:color="auto" w:fill="EBF3FB"/>
          </w:tcPr>
          <w:p>
            <w:pPr>
              <w:jc w:val="center"/>
            </w:pPr>
            <w:r/>
            <w:r>
              <w:rPr>
                <w:rFonts w:ascii="Times New Roman" w:hAnsi="Times New Roman"/>
                <w:b w:val="0"/>
                <w:i w:val="0"/>
                <w:sz w:val="20"/>
              </w:rPr>
              <w:t>0.967  n.s.</w:t>
            </w:r>
          </w:p>
        </w:tc>
      </w:tr>
      <w:tr>
        <w:tc>
          <w:tcPr>
            <w:tcW w:type="dxa" w:w="1417"/>
            <w:shd w:val="clear" w:color="auto" w:fill="FFFFFF"/>
          </w:tcPr>
          <w:p>
            <w:pPr>
              <w:jc w:val="left"/>
            </w:pPr>
            <w:r/>
            <w:r>
              <w:rPr>
                <w:rFonts w:ascii="Times New Roman" w:hAnsi="Times New Roman"/>
                <w:b w:val="0"/>
                <w:i w:val="0"/>
                <w:sz w:val="20"/>
              </w:rPr>
              <w:t>Low vs. High (diff test)</w:t>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t>−0.13</w:t>
            </w:r>
          </w:p>
        </w:tc>
        <w:tc>
          <w:tcPr>
            <w:tcW w:type="dxa" w:w="1417"/>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p>
    <w:p>
      <w:pPr>
        <w:spacing w:before="0" w:after="160"/>
      </w:pPr>
      <w:r>
        <w:rPr>
          <w:rFonts w:ascii="Times New Roman" w:hAnsi="Times New Roman"/>
          <w:b w:val="0"/>
          <w:i w:val="0"/>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pPr>
        <w:spacing w:before="0" w:after="160"/>
      </w:pPr>
      <w:r>
        <w:rPr>
          <w:rFonts w:ascii="Times New Roman" w:hAnsi="Times New Roman"/>
          <w:b w:val="0"/>
          <w:i w:val="0"/>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13.0% (Section 5.3).</w:t>
      </w:r>
    </w:p>
    <w:p>
      <w:pPr>
        <w:spacing w:before="240" w:after="120"/>
      </w:pPr>
      <w:r>
        <w:rPr>
          <w:rFonts w:ascii="Times New Roman" w:hAnsi="Times New Roman"/>
          <w:b/>
          <w:i w:val="0"/>
          <w:sz w:val="24"/>
        </w:rPr>
        <w:t>Figure 5.  Event Study: Level Model vs. First-Difference Correction</w:t>
      </w:r>
    </w:p>
    <w:p>
      <w:pPr>
        <w:jc w:val="center"/>
      </w:pPr>
      <w:r>
        <w:drawing>
          <wp:inline xmlns:a="http://schemas.openxmlformats.org/drawingml/2006/main" xmlns:pic="http://schemas.openxmlformats.org/drawingml/2006/picture">
            <wp:extent cx="5303520" cy="2502301"/>
            <wp:docPr id="5" name="Picture 5"/>
            <wp:cNvGraphicFramePr>
              <a:graphicFrameLocks noChangeAspect="1"/>
            </wp:cNvGraphicFramePr>
            <a:graphic>
              <a:graphicData uri="http://schemas.openxmlformats.org/drawingml/2006/picture">
                <pic:pic>
                  <pic:nvPicPr>
                    <pic:cNvPr id="0" name="car_comparison.png"/>
                    <pic:cNvPicPr/>
                  </pic:nvPicPr>
                  <pic:blipFill>
                    <a:blip r:embed="rId14"/>
                    <a:stretch>
                      <a:fillRect/>
                    </a:stretch>
                  </pic:blipFill>
                  <pic:spPr>
                    <a:xfrm>
                      <a:off x="0" y="0"/>
                      <a:ext cx="5303520" cy="2502301"/>
                    </a:xfrm>
                    <a:prstGeom prst="rect"/>
                  </pic:spPr>
                </pic:pic>
              </a:graphicData>
            </a:graphic>
          </wp:inline>
        </w:drawing>
      </w:r>
    </w:p>
    <w:p>
      <w:pPr>
        <w:spacing w:before="40" w:after="200"/>
      </w:pPr>
      <w:r>
        <w:rPr>
          <w:rFonts w:ascii="Times New Roman" w:hAnsi="Times New Roman"/>
          <w:b w:val="0"/>
          <w:i/>
          <w:sz w:val="18"/>
        </w:rPr>
        <w:t>Note: CARs from the original level-model specification (left bars) vs. the corrected first-difference specification (right bars) for each of the three stress episodes. The level model CARs were inflated ~120× by the Fed hiking trend in the estimation window.</w:t>
      </w:r>
    </w:p>
    <w:p/>
    <w:p>
      <w:pPr>
        <w:spacing w:before="240" w:after="120"/>
      </w:pPr>
      <w:r>
        <w:rPr>
          <w:rFonts w:ascii="Times New Roman" w:hAnsi="Times New Roman"/>
          <w:b/>
          <w:i w:val="0"/>
          <w:sz w:val="24"/>
        </w:rPr>
        <w:t>Figure 6.  Cumulative Abnormal Spread: Corrected Event Study</w:t>
      </w:r>
    </w:p>
    <w:p>
      <w:pPr>
        <w:jc w:val="center"/>
      </w:pPr>
      <w:r>
        <w:drawing>
          <wp:inline xmlns:a="http://schemas.openxmlformats.org/drawingml/2006/main" xmlns:pic="http://schemas.openxmlformats.org/drawingml/2006/picture">
            <wp:extent cx="5303520" cy="1407783"/>
            <wp:docPr id="6" name="Picture 6"/>
            <wp:cNvGraphicFramePr>
              <a:graphicFrameLocks noChangeAspect="1"/>
            </wp:cNvGraphicFramePr>
            <a:graphic>
              <a:graphicData uri="http://schemas.openxmlformats.org/drawingml/2006/picture">
                <pic:pic>
                  <pic:nvPicPr>
                    <pic:cNvPr id="0" name="event_study_cars.png"/>
                    <pic:cNvPicPr/>
                  </pic:nvPicPr>
                  <pic:blipFill>
                    <a:blip r:embed="rId15"/>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(bps) over [−5, +20] trading days. First-difference normal model. Red: low-buffer events (LUNA/UST, USDT depeg). Blue: high-buffer event (USDC/SVB). τ = 0 is the event date. All CARs are insignificant.</w:t>
      </w:r>
    </w:p>
    <w:p/>
    <w:p>
      <w:pPr>
        <w:spacing w:before="240" w:after="120"/>
      </w:pPr>
      <w:r>
        <w:rPr>
          <w:rFonts w:ascii="Times New Roman" w:hAnsi="Times New Roman"/>
          <w:b/>
          <w:i w:val="0"/>
          <w:sz w:val="24"/>
        </w:rPr>
        <w:t>Figure 7.  Placebo Test: Actual vs. Pseudo-Event CARs</w:t>
      </w:r>
    </w:p>
    <w:p>
      <w:pPr>
        <w:jc w:val="center"/>
      </w:pPr>
      <w:r>
        <w:drawing>
          <wp:inline xmlns:a="http://schemas.openxmlformats.org/drawingml/2006/main" xmlns:pic="http://schemas.openxmlformats.org/drawingml/2006/picture">
            <wp:extent cx="5303520" cy="2627665"/>
            <wp:docPr id="7" name="Picture 7"/>
            <wp:cNvGraphicFramePr>
              <a:graphicFrameLocks noChangeAspect="1"/>
            </wp:cNvGraphicFramePr>
            <a:graphic>
              <a:graphicData uri="http://schemas.openxmlformats.org/drawingml/2006/picture">
                <pic:pic>
                  <pic:nvPicPr>
                    <pic:cNvPr id="0" name="placebo_cars.png"/>
                    <pic:cNvPicPr/>
                  </pic:nvPicPr>
                  <pic:blipFill>
                    <a:blip r:embed="rId16"/>
                    <a:stretch>
                      <a:fillRect/>
                    </a:stretch>
                  </pic:blipFill>
                  <pic:spPr>
                    <a:xfrm>
                      <a:off x="0" y="0"/>
                      <a:ext cx="5303520" cy="2627665"/>
                    </a:xfrm>
                    <a:prstGeom prst="rect"/>
                  </pic:spPr>
                </pic:pic>
              </a:graphicData>
            </a:graphic>
          </wp:inline>
        </w:drawing>
      </w:r>
    </w:p>
    <w:p>
      <w:pPr>
        <w:spacing w:before="40" w:after="200"/>
      </w:pPr>
      <w:r>
        <w:rPr>
          <w:rFonts w:ascii="Times New Roman" w:hAnsi="Times New Roman"/>
          <w:b w:val="0"/>
          <w:i/>
          <w:sz w:val="18"/>
        </w:rPr>
        <w:t>Note: Comparison of mean absolute CARs for the three actual stress episodes versus three placebo pseudo-events drawn from quiet periods. Mean |CAR|: actual = 7.3 bps, placebo = 4.8 bps (ratio 1.5×). Actual events are indistinguishable from noise.</w:t>
      </w:r>
    </w:p>
    <w:p/>
    <w:p>
      <w:pPr>
        <w:spacing w:before="240" w:after="120"/>
      </w:pPr>
      <w:r>
        <w:rPr>
          <w:rFonts w:ascii="Times New Roman" w:hAnsi="Times New Roman"/>
          <w:b/>
          <w:i w:val="0"/>
          <w:sz w:val="24"/>
        </w:rPr>
        <w:t>Table 6.  Key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60"/>
            <w:shd w:val="clear" w:color="auto" w:fill="BDD7EE"/>
          </w:tcPr>
          <w:p>
            <w:pPr>
              <w:jc w:val="left"/>
            </w:pPr>
            <w:r/>
            <w:r>
              <w:rPr>
                <w:rFonts w:ascii="Times New Roman" w:hAnsi="Times New Roman"/>
                <w:b/>
                <w:i w:val="0"/>
                <w:sz w:val="20"/>
              </w:rPr>
              <w:t>Finding</w:t>
            </w:r>
          </w:p>
        </w:tc>
        <w:tc>
          <w:tcPr>
            <w:tcW w:type="dxa" w:w="2592"/>
            <w:shd w:val="clear" w:color="auto" w:fill="BDD7EE"/>
          </w:tcPr>
          <w:p>
            <w:pPr>
              <w:jc w:val="center"/>
            </w:pPr>
            <w:r/>
            <w:r>
              <w:rPr>
                <w:rFonts w:ascii="Times New Roman" w:hAnsi="Times New Roman"/>
                <w:b/>
                <w:i w:val="0"/>
                <w:sz w:val="20"/>
              </w:rPr>
              <w:t>Method</w:t>
            </w:r>
          </w:p>
        </w:tc>
        <w:tc>
          <w:tcPr>
            <w:tcW w:type="dxa" w:w="3168"/>
            <w:shd w:val="clear" w:color="auto" w:fill="BDD7EE"/>
          </w:tcPr>
          <w:p>
            <w:pPr>
              <w:jc w:val="center"/>
            </w:pPr>
            <w:r/>
            <w:r>
              <w:rPr>
                <w:rFonts w:ascii="Times New Roman" w:hAnsi="Times New Roman"/>
                <w:b/>
                <w:i w:val="0"/>
                <w:sz w:val="20"/>
              </w:rPr>
              <w:t>Estimate</w:t>
            </w:r>
          </w:p>
        </w:tc>
        <w:tc>
          <w:tcPr>
            <w:tcW w:type="dxa" w:w="2160"/>
            <w:shd w:val="clear" w:color="auto" w:fill="BDD7EE"/>
          </w:tcPr>
          <w:p>
            <w:pPr>
              <w:jc w:val="center"/>
            </w:pPr>
            <w:r/>
            <w:r>
              <w:rPr>
                <w:rFonts w:ascii="Times New Roman" w:hAnsi="Times New Roman"/>
                <w:b/>
                <w:i w:val="0"/>
                <w:sz w:val="20"/>
              </w:rPr>
              <w:t>Status</w:t>
            </w:r>
          </w:p>
        </w:tc>
      </w:tr>
      <w:tr>
        <w:tc>
          <w:tcPr>
            <w:tcW w:type="dxa" w:w="2126"/>
            <w:shd w:val="clear" w:color="auto" w:fill="EBF3FB"/>
          </w:tcPr>
          <w:p>
            <w:pPr>
              <w:jc w:val="left"/>
            </w:pPr>
            <w:r/>
            <w:r>
              <w:rPr>
                <w:rFonts w:ascii="Times New Roman" w:hAnsi="Times New Roman"/>
                <w:b w:val="0"/>
                <w:i w:val="0"/>
                <w:sz w:val="20"/>
              </w:rPr>
              <w:t>Privilege amplification</w:t>
            </w:r>
          </w:p>
        </w:tc>
        <w:tc>
          <w:tcPr>
            <w:tcW w:type="dxa" w:w="2126"/>
            <w:shd w:val="clear" w:color="auto" w:fill="EBF3FB"/>
          </w:tcPr>
          <w:p>
            <w:pPr>
              <w:jc w:val="center"/>
            </w:pPr>
            <w:r/>
            <w:r>
              <w:rPr>
                <w:rFonts w:ascii="Times New Roman" w:hAnsi="Times New Roman"/>
                <w:b w:val="0"/>
                <w:i w:val="0"/>
                <w:sz w:val="20"/>
              </w:rPr>
              <w:t>OLS (Newey–West, 1 lag)</w:t>
            </w:r>
          </w:p>
        </w:tc>
        <w:tc>
          <w:tcPr>
            <w:tcW w:type="dxa" w:w="2126"/>
            <w:shd w:val="clear" w:color="auto" w:fill="EBF3FB"/>
          </w:tcPr>
          <w:p>
            <w:pPr>
              <w:jc w:val="center"/>
            </w:pPr>
            <w:r/>
            <w:r>
              <w:rPr>
                <w:rFonts w:ascii="Times New Roman" w:hAnsi="Times New Roman"/>
                <w:b w:val="0"/>
                <w:i w:val="0"/>
                <w:sz w:val="20"/>
              </w:rPr>
              <w:t>β₁ = −6.02 bps/σ  (p = 0.006)</w:t>
            </w:r>
          </w:p>
        </w:tc>
        <w:tc>
          <w:tcPr>
            <w:tcW w:type="dxa" w:w="2126"/>
            <w:shd w:val="clear" w:color="auto" w:fill="EBF3FB"/>
          </w:tcPr>
          <w:p>
            <w:pPr>
              <w:jc w:val="center"/>
            </w:pPr>
            <w:r/>
            <w:r>
              <w:rPr>
                <w:rFonts w:ascii="Times New Roman" w:hAnsi="Times New Roman"/>
                <w:b w:val="0"/>
                <w:i w:val="0"/>
                <w:sz w:val="20"/>
              </w:rPr>
              <w:t>✓  Confirmed</w:t>
            </w:r>
          </w:p>
        </w:tc>
      </w:tr>
      <w:tr>
        <w:tc>
          <w:tcPr>
            <w:tcW w:type="dxa" w:w="2126"/>
            <w:shd w:val="clear" w:color="auto" w:fill="FFFFFF"/>
          </w:tcPr>
          <w:p>
            <w:pPr>
              <w:jc w:val="left"/>
            </w:pPr>
            <w:r/>
            <w:r>
              <w:rPr>
                <w:rFonts w:ascii="Times New Roman" w:hAnsi="Times New Roman"/>
                <w:b w:val="0"/>
                <w:i w:val="0"/>
                <w:sz w:val="20"/>
              </w:rPr>
              <w:t>Reserve threshold</w:t>
            </w:r>
          </w:p>
        </w:tc>
        <w:tc>
          <w:tcPr>
            <w:tcW w:type="dxa" w:w="2126"/>
            <w:shd w:val="clear" w:color="auto" w:fill="FFFFFF"/>
          </w:tcPr>
          <w:p>
            <w:pPr>
              <w:jc w:val="center"/>
            </w:pPr>
            <w:r/>
            <w:r>
              <w:rPr>
                <w:rFonts w:ascii="Times New Roman" w:hAnsi="Times New Roman"/>
                <w:b w:val="0"/>
                <w:i w:val="0"/>
                <w:sz w:val="20"/>
              </w:rPr>
              <w:t>Hansen (2000) grid search</w:t>
            </w:r>
          </w:p>
        </w:tc>
        <w:tc>
          <w:tcPr>
            <w:tcW w:type="dxa" w:w="2126"/>
            <w:shd w:val="clear" w:color="auto" w:fill="FFFFFF"/>
          </w:tcPr>
          <w:p>
            <w:pPr>
              <w:jc w:val="center"/>
            </w:pPr>
            <w:r/>
            <w:r>
              <w:rPr>
                <w:rFonts w:ascii="Times New Roman" w:hAnsi="Times New Roman"/>
                <w:b w:val="0"/>
                <w:i w:val="0"/>
                <w:sz w:val="20"/>
              </w:rPr>
              <w:t>q* = 13.0%  (p = 0.260, suggestive)</w:t>
            </w:r>
          </w:p>
        </w:tc>
        <w:tc>
          <w:tcPr>
            <w:tcW w:type="dxa" w:w="2126"/>
            <w:shd w:val="clear" w:color="auto" w:fill="FFFFFF"/>
          </w:tcPr>
          <w:p>
            <w:pPr>
              <w:jc w:val="center"/>
            </w:pPr>
            <w:r/>
            <w:r>
              <w:rPr>
                <w:rFonts w:ascii="Times New Roman" w:hAnsi="Times New Roman"/>
                <w:b w:val="0"/>
                <w:i w:val="0"/>
                <w:sz w:val="20"/>
              </w:rPr>
              <w:t>Economically meaningful</w:t>
            </w:r>
          </w:p>
        </w:tc>
      </w:tr>
      <w:tr>
        <w:tc>
          <w:tcPr>
            <w:tcW w:type="dxa" w:w="2126"/>
            <w:shd w:val="clear" w:color="auto" w:fill="EBF3FB"/>
          </w:tcPr>
          <w:p>
            <w:pPr>
              <w:jc w:val="left"/>
            </w:pPr>
            <w:r/>
            <w:r>
              <w:rPr>
                <w:rFonts w:ascii="Times New Roman" w:hAnsi="Times New Roman"/>
                <w:b w:val="0"/>
                <w:i w:val="0"/>
                <w:sz w:val="20"/>
              </w:rPr>
              <w:t>Threshold robustness</w:t>
            </w:r>
          </w:p>
        </w:tc>
        <w:tc>
          <w:tcPr>
            <w:tcW w:type="dxa" w:w="2126"/>
            <w:shd w:val="clear" w:color="auto" w:fill="EBF3FB"/>
          </w:tcPr>
          <w:p>
            <w:pPr>
              <w:jc w:val="center"/>
            </w:pPr>
            <w:r/>
            <w:r>
              <w:rPr>
                <w:rFonts w:ascii="Times New Roman" w:hAnsi="Times New Roman"/>
                <w:b w:val="0"/>
                <w:i w:val="0"/>
                <w:sz w:val="20"/>
              </w:rPr>
              <w:t>TRIM 15%/20%/25%</w:t>
            </w:r>
          </w:p>
        </w:tc>
        <w:tc>
          <w:tcPr>
            <w:tcW w:type="dxa" w:w="2126"/>
            <w:shd w:val="clear" w:color="auto" w:fill="EBF3FB"/>
          </w:tcPr>
          <w:p>
            <w:pPr>
              <w:jc w:val="center"/>
            </w:pPr>
            <w:r/>
            <w:r>
              <w:rPr>
                <w:rFonts w:ascii="Times New Roman" w:hAnsi="Times New Roman"/>
                <w:b w:val="0"/>
                <w:i w:val="0"/>
                <w:sz w:val="20"/>
              </w:rPr>
              <w:t>q* = 0.1301 at all three values</w:t>
            </w:r>
          </w:p>
        </w:tc>
        <w:tc>
          <w:tcPr>
            <w:tcW w:type="dxa" w:w="2126"/>
            <w:shd w:val="clear" w:color="auto" w:fill="EBF3FB"/>
          </w:tcPr>
          <w:p>
            <w:pPr>
              <w:jc w:val="center"/>
            </w:pPr>
            <w:r/>
            <w:r>
              <w:rPr>
                <w:rFonts w:ascii="Times New Roman" w:hAnsi="Times New Roman"/>
                <w:b w:val="0"/>
                <w:i w:val="0"/>
                <w:sz w:val="20"/>
              </w:rPr>
              <w:t>✓  Stable</w:t>
            </w:r>
          </w:p>
        </w:tc>
      </w:tr>
      <w:tr>
        <w:tc>
          <w:tcPr>
            <w:tcW w:type="dxa" w:w="2126"/>
            <w:shd w:val="clear" w:color="auto" w:fill="FFFFFF"/>
          </w:tcPr>
          <w:p>
            <w:pPr>
              <w:jc w:val="left"/>
            </w:pPr>
            <w:r/>
            <w:r>
              <w:rPr>
                <w:rFonts w:ascii="Times New Roman" w:hAnsi="Times New Roman"/>
                <w:b w:val="0"/>
                <w:i w:val="0"/>
                <w:sz w:val="20"/>
              </w:rPr>
              <w:t>Smooth-transition check</w:t>
            </w:r>
          </w:p>
        </w:tc>
        <w:tc>
          <w:tcPr>
            <w:tcW w:type="dxa" w:w="2126"/>
            <w:shd w:val="clear" w:color="auto" w:fill="FFFFFF"/>
          </w:tcPr>
          <w:p>
            <w:pPr>
              <w:jc w:val="center"/>
            </w:pPr>
            <w:r/>
            <w:r>
              <w:rPr>
                <w:rFonts w:ascii="Times New Roman" w:hAnsi="Times New Roman"/>
                <w:b w:val="0"/>
                <w:i w:val="0"/>
                <w:sz w:val="20"/>
              </w:rPr>
              <w:t>LSTAR (NLS)</w:t>
            </w:r>
          </w:p>
        </w:tc>
        <w:tc>
          <w:tcPr>
            <w:tcW w:type="dxa" w:w="2126"/>
            <w:shd w:val="clear" w:color="auto" w:fill="FFFFFF"/>
          </w:tcPr>
          <w:p>
            <w:pPr>
              <w:jc w:val="center"/>
            </w:pPr>
            <w:r/>
            <w:r>
              <w:rPr>
                <w:rFonts w:ascii="Times New Roman" w:hAnsi="Times New Roman"/>
                <w:b w:val="0"/>
                <w:i w:val="0"/>
                <w:sz w:val="20"/>
              </w:rPr>
              <w:t>c* = 13.0%  (γ* = 1,976)</w:t>
            </w:r>
          </w:p>
        </w:tc>
        <w:tc>
          <w:tcPr>
            <w:tcW w:type="dxa" w:w="2126"/>
            <w:shd w:val="clear" w:color="auto" w:fill="FFFFFF"/>
          </w:tcPr>
          <w:p>
            <w:pPr>
              <w:jc w:val="center"/>
            </w:pPr>
            <w:r/>
            <w:r>
              <w:rPr>
                <w:rFonts w:ascii="Times New Roman" w:hAnsi="Times New Roman"/>
                <w:b w:val="0"/>
                <w:i w:val="0"/>
                <w:sz w:val="20"/>
              </w:rPr>
              <w:t>✓  Convergent validity</w:t>
            </w:r>
          </w:p>
        </w:tc>
      </w:tr>
      <w:tr>
        <w:tc>
          <w:tcPr>
            <w:tcW w:type="dxa" w:w="2126"/>
            <w:shd w:val="clear" w:color="auto" w:fill="EBF3FB"/>
          </w:tcPr>
          <w:p>
            <w:pPr>
              <w:jc w:val="left"/>
            </w:pPr>
            <w:r/>
            <w:r>
              <w:rPr>
                <w:rFonts w:ascii="Times New Roman" w:hAnsi="Times New Roman"/>
                <w:b w:val="0"/>
                <w:i w:val="0"/>
                <w:sz w:val="20"/>
              </w:rPr>
              <w:t>Event study</w:t>
            </w:r>
          </w:p>
        </w:tc>
        <w:tc>
          <w:tcPr>
            <w:tcW w:type="dxa" w:w="2126"/>
            <w:shd w:val="clear" w:color="auto" w:fill="EBF3FB"/>
          </w:tcPr>
          <w:p>
            <w:pPr>
              <w:jc w:val="center"/>
            </w:pPr>
            <w:r/>
            <w:r>
              <w:rPr>
                <w:rFonts w:ascii="Times New Roman" w:hAnsi="Times New Roman"/>
                <w:b w:val="0"/>
                <w:i w:val="0"/>
                <w:sz w:val="20"/>
              </w:rPr>
              <w:t>First-diff normal model</w:t>
            </w:r>
          </w:p>
        </w:tc>
        <w:tc>
          <w:tcPr>
            <w:tcW w:type="dxa" w:w="2126"/>
            <w:shd w:val="clear" w:color="auto" w:fill="EBF3FB"/>
          </w:tcPr>
          <w:p>
            <w:pPr>
              <w:jc w:val="center"/>
            </w:pPr>
            <w:r/>
            <w:r>
              <w:rPr>
                <w:rFonts w:ascii="Times New Roman" w:hAnsi="Times New Roman"/>
                <w:b w:val="0"/>
                <w:i w:val="0"/>
                <w:sz w:val="20"/>
              </w:rPr>
              <w:t>CARs −15 to −2 bps  (all n.s.)</w:t>
            </w:r>
          </w:p>
        </w:tc>
        <w:tc>
          <w:tcPr>
            <w:tcW w:type="dxa" w:w="2126"/>
            <w:shd w:val="clear" w:color="auto" w:fill="EBF3FB"/>
          </w:tcPr>
          <w:p>
            <w:pPr>
              <w:jc w:val="center"/>
            </w:pPr>
            <w:r/>
            <w:r>
              <w:rPr>
                <w:rFonts w:ascii="Times New Roman" w:hAnsi="Times New Roman"/>
                <w:b w:val="0"/>
                <w:i w:val="0"/>
                <w:sz w:val="20"/>
              </w:rPr>
              <w:t>Qualitative context only</w:t>
            </w:r>
          </w:p>
        </w:tc>
      </w:tr>
    </w:tbl>
    <w:p>
      <w:pPr>
        <w:spacing w:before="40" w:after="200"/>
      </w:pPr>
      <w:r>
        <w:rPr>
          <w:rFonts w:ascii="Times New Roman" w:hAnsi="Times New Roman"/>
          <w:b w:val="0"/>
          <w:i/>
          <w:sz w:val="18"/>
        </w:rPr>
        <w:t>Note: Summary of the four complementary specifications estimated in Section 5. All three quantitative methods (OLS, Hansen, LSTAR) independently locate the tipping point near 13% liquid buffer. The event study is qualitative only after correction.</w:t>
      </w:r>
    </w:p>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−6.02, p = 0.006).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−6.97), while above it the effect reverses (β_ΔlnS = +1.26), suggesting forced liquidation dynamics take hold once liquid buffers are depleted. Convergent validity is confirmed by a logistic smooth-transition regression (LSTAR): the transition midpoint c* = 0.1310 is virtually identical to Hansen's q* = 0.1301, and the near-discrete sharpness (γ* = 1,976) independently validates the sharp-switch assumption. Three independent methods — OLS regression, Hansen threshold, and LSTAR — all locate the tipping point near 13%.</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[3.2%, 14.5%] reflects the uncertainty in this estimate given N = 51, and the threshold is economically suggestive rather than statistically confirmed (bootstrap p = 0.260).</w:t>
      </w:r>
    </w:p>
    <w:p>
      <w:pPr>
        <w:spacing w:before="0" w:after="200"/>
      </w:pPr>
      <w:r>
        <w:rPr>
          <w:rFonts w:ascii="Times New Roman" w:hAnsi="Times New Roman"/>
          <w:b w:val="0"/>
          <w:i w:val="0"/>
          <w:sz w:val="24"/>
        </w:rPr>
        <w:t>Several limitations warrant acknowledgment. The monthly sample of 51 observations limits statistical power; ADF tests fail to reject non-stationarity for the spread and liquid buffer, suggesting the level specification captures a slow-moving structural relationship rather than high-frequency causality. The decomposed buffer variables θ and L are individually insignificant in the full sample, though the post-2023 sub-sample (N = 39) shows significance for both β₁ and the L × ΔlnS interaction, indicating the decomposition will sharpen as the time series lengthens. The event study, re-estimated in first differences to correct for Fed hiking cycle contamination, yields insignificant CARs and serves only as directional qualitative context; it does not provide independent causal identification. Future work should extend the sample as attestation data accumulates and incorporate non-USD stablecoin ecosystems.</w:t>
      </w:r>
    </w:p>
    <w:p>
      <w:r>
        <w:br w:type="page"/>
      </w:r>
    </w:p>
    <w:p>
      <w:pPr>
        <w:spacing w:before="240" w:after="120"/>
      </w:pPr>
      <w:r>
        <w:rPr>
          <w:rFonts w:ascii="Times New Roman" w:hAnsi="Times New Roman"/>
          <w:b/>
          <w:i w:val="0"/>
          <w:sz w:val="26"/>
        </w:rPr>
        <w:t>Acknowledgments</w:t>
      </w:r>
    </w:p>
    <w:p>
      <w:pPr>
        <w:spacing w:before="0" w:after="0"/>
      </w:pPr>
      <w:r>
        <w:rPr>
          <w:rFonts w:ascii="Times New Roman" w:hAnsi="Times New Roman"/>
          <w:b w:val="0"/>
          <w:i w:val="0"/>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pPr>
        <w:spacing w:before="0" w:after="200"/>
      </w:pP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Duffie, D. (2022). Digital currencies and fast payment systems: Disruption is coming. Working Paper, Stanford University.</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MacKinlay, A.C. (1997). Event studies in economics and finance. Journal of Economic Literature, 35(1), 13–39.</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b w:val="0"/>
          <w:i w:val="0"/>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BDD7EE"/>
          </w:tcPr>
          <w:p>
            <w:pPr>
              <w:jc w:val="left"/>
            </w:pPr>
            <w:r/>
            <w:r>
              <w:rPr>
                <w:rFonts w:ascii="Times New Roman" w:hAnsi="Times New Roman"/>
                <w:b/>
                <w:i w:val="0"/>
                <w:sz w:val="20"/>
              </w:rPr>
              <w:t>Test</w:t>
            </w:r>
          </w:p>
        </w:tc>
        <w:tc>
          <w:tcPr>
            <w:tcW w:type="dxa" w:w="2126"/>
            <w:shd w:val="clear" w:color="auto" w:fill="BDD7EE"/>
          </w:tcPr>
          <w:p>
            <w:pPr>
              <w:jc w:val="center"/>
            </w:pPr>
            <w:r/>
            <w:r>
              <w:rPr>
                <w:rFonts w:ascii="Times New Roman" w:hAnsi="Times New Roman"/>
                <w:b/>
                <w:i w:val="0"/>
                <w:sz w:val="20"/>
              </w:rPr>
              <w:t>Statistic</w:t>
            </w:r>
          </w:p>
        </w:tc>
        <w:tc>
          <w:tcPr>
            <w:tcW w:type="dxa" w:w="2126"/>
            <w:shd w:val="clear" w:color="auto" w:fill="BDD7EE"/>
          </w:tcPr>
          <w:p>
            <w:pPr>
              <w:jc w:val="center"/>
            </w:pPr>
            <w:r/>
            <w:r>
              <w:rPr>
                <w:rFonts w:ascii="Times New Roman" w:hAnsi="Times New Roman"/>
                <w:b/>
                <w:i w:val="0"/>
                <w:sz w:val="20"/>
              </w:rPr>
              <w:t>p-value</w:t>
            </w:r>
          </w:p>
        </w:tc>
        <w:tc>
          <w:tcPr>
            <w:tcW w:type="dxa" w:w="2126"/>
            <w:shd w:val="clear" w:color="auto" w:fill="BDD7EE"/>
          </w:tcPr>
          <w:p>
            <w:pPr>
              <w:jc w:val="left"/>
            </w:pPr>
            <w:r/>
            <w:r>
              <w:rPr>
                <w:rFonts w:ascii="Times New Roman" w:hAnsi="Times New Roman"/>
                <w:b/>
                <w:i w:val="0"/>
                <w:sz w:val="20"/>
              </w:rPr>
              <w:t>Conclusion</w:t>
            </w:r>
          </w:p>
        </w:tc>
      </w:tr>
      <w:tr>
        <w:tc>
          <w:tcPr>
            <w:tcW w:type="dxa" w:w="2126"/>
            <w:shd w:val="clear" w:color="auto" w:fill="EBF3FB"/>
          </w:tcPr>
          <w:p>
            <w:pPr>
              <w:jc w:val="left"/>
            </w:pPr>
            <w:r/>
            <w:r>
              <w:rPr>
                <w:rFonts w:ascii="Times New Roman" w:hAnsi="Times New Roman"/>
                <w:b w:val="0"/>
                <w:i w:val="0"/>
                <w:sz w:val="20"/>
              </w:rPr>
              <w:t>ADF — OIS–Treasury spread</w:t>
            </w:r>
          </w:p>
        </w:tc>
        <w:tc>
          <w:tcPr>
            <w:tcW w:type="dxa" w:w="2126"/>
            <w:shd w:val="clear" w:color="auto" w:fill="EBF3FB"/>
          </w:tcPr>
          <w:p>
            <w:pPr>
              <w:jc w:val="center"/>
            </w:pPr>
            <w:r/>
            <w:r>
              <w:rPr>
                <w:rFonts w:ascii="Times New Roman" w:hAnsi="Times New Roman"/>
                <w:b w:val="0"/>
                <w:i w:val="0"/>
                <w:sz w:val="20"/>
              </w:rPr>
              <w:t>−1.580</w:t>
            </w:r>
          </w:p>
        </w:tc>
        <w:tc>
          <w:tcPr>
            <w:tcW w:type="dxa" w:w="2126"/>
            <w:shd w:val="clear" w:color="auto" w:fill="EBF3FB"/>
          </w:tcPr>
          <w:p>
            <w:pPr>
              <w:jc w:val="center"/>
            </w:pPr>
            <w:r/>
            <w:r>
              <w:rPr>
                <w:rFonts w:ascii="Times New Roman" w:hAnsi="Times New Roman"/>
                <w:b w:val="0"/>
                <w:i w:val="0"/>
                <w:sz w:val="20"/>
              </w:rPr>
              <w:t>0.494</w:t>
            </w:r>
          </w:p>
        </w:tc>
        <w:tc>
          <w:tcPr>
            <w:tcW w:type="dxa" w:w="2126"/>
            <w:shd w:val="clear" w:color="auto" w:fill="EBF3FB"/>
          </w:tcPr>
          <w:p>
            <w:pPr>
              <w:jc w:val="left"/>
            </w:pPr>
            <w:r/>
            <w:r>
              <w:rPr>
                <w:rFonts w:ascii="Times New Roman" w:hAnsi="Times New Roman"/>
                <w:b w:val="0"/>
                <w:i w:val="0"/>
                <w:sz w:val="20"/>
              </w:rPr>
              <w:t>I(1) not rejected</w:t>
            </w:r>
          </w:p>
        </w:tc>
      </w:tr>
      <w:tr>
        <w:tc>
          <w:tcPr>
            <w:tcW w:type="dxa" w:w="2126"/>
          </w:tcPr>
          <w:p>
            <w:pPr>
              <w:jc w:val="left"/>
            </w:pPr>
            <w:r/>
            <w:r>
              <w:rPr>
                <w:rFonts w:ascii="Times New Roman" w:hAnsi="Times New Roman"/>
                <w:b w:val="0"/>
                <w:i w:val="0"/>
                <w:sz w:val="20"/>
              </w:rPr>
              <w:t>ADF — ΔlnS</w:t>
            </w:r>
          </w:p>
        </w:tc>
        <w:tc>
          <w:tcPr>
            <w:tcW w:type="dxa" w:w="2126"/>
          </w:tcPr>
          <w:p>
            <w:pPr>
              <w:jc w:val="center"/>
            </w:pPr>
            <w:r/>
            <w:r>
              <w:rPr>
                <w:rFonts w:ascii="Times New Roman" w:hAnsi="Times New Roman"/>
                <w:b w:val="0"/>
                <w:i w:val="0"/>
                <w:sz w:val="20"/>
              </w:rPr>
              <w:t>−4.007</w:t>
            </w:r>
          </w:p>
        </w:tc>
        <w:tc>
          <w:tcPr>
            <w:tcW w:type="dxa" w:w="2126"/>
          </w:tcPr>
          <w:p>
            <w:pPr>
              <w:jc w:val="center"/>
            </w:pPr>
            <w:r/>
            <w:r>
              <w:rPr>
                <w:rFonts w:ascii="Times New Roman" w:hAnsi="Times New Roman"/>
                <w:b w:val="0"/>
                <w:i w:val="0"/>
                <w:sz w:val="20"/>
              </w:rPr>
              <w:t>0.001</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ADF — θ (Treasury Exposure)</w:t>
            </w:r>
          </w:p>
        </w:tc>
        <w:tc>
          <w:tcPr>
            <w:tcW w:type="dxa" w:w="2126"/>
            <w:shd w:val="clear" w:color="auto" w:fill="EBF3FB"/>
          </w:tcPr>
          <w:p>
            <w:pPr>
              <w:jc w:val="center"/>
            </w:pPr>
            <w:r/>
            <w:r>
              <w:rPr>
                <w:rFonts w:ascii="Times New Roman" w:hAnsi="Times New Roman"/>
                <w:b w:val="0"/>
                <w:i w:val="0"/>
                <w:sz w:val="20"/>
              </w:rPr>
              <w:t>−3.026</w:t>
            </w:r>
          </w:p>
        </w:tc>
        <w:tc>
          <w:tcPr>
            <w:tcW w:type="dxa" w:w="2126"/>
            <w:shd w:val="clear" w:color="auto" w:fill="EBF3FB"/>
          </w:tcPr>
          <w:p>
            <w:pPr>
              <w:jc w:val="center"/>
            </w:pPr>
            <w:r/>
            <w:r>
              <w:rPr>
                <w:rFonts w:ascii="Times New Roman" w:hAnsi="Times New Roman"/>
                <w:b w:val="0"/>
                <w:i w:val="0"/>
                <w:sz w:val="20"/>
              </w:rPr>
              <w:t>0.033</w:t>
            </w:r>
          </w:p>
        </w:tc>
        <w:tc>
          <w:tcPr>
            <w:tcW w:type="dxa" w:w="2126"/>
            <w:shd w:val="clear" w:color="auto" w:fill="EBF3FB"/>
          </w:tcPr>
          <w:p>
            <w:pPr>
              <w:jc w:val="left"/>
            </w:pPr>
            <w:r/>
            <w:r>
              <w:rPr>
                <w:rFonts w:ascii="Times New Roman" w:hAnsi="Times New Roman"/>
                <w:b w:val="0"/>
                <w:i w:val="0"/>
                <w:sz w:val="20"/>
              </w:rPr>
              <w:t>Stationary ✓</w:t>
            </w:r>
          </w:p>
        </w:tc>
      </w:tr>
      <w:tr>
        <w:tc>
          <w:tcPr>
            <w:tcW w:type="dxa" w:w="2126"/>
          </w:tcPr>
          <w:p>
            <w:pPr>
              <w:jc w:val="left"/>
            </w:pPr>
            <w:r/>
            <w:r>
              <w:rPr>
                <w:rFonts w:ascii="Times New Roman" w:hAnsi="Times New Roman"/>
                <w:b w:val="0"/>
                <w:i w:val="0"/>
                <w:sz w:val="20"/>
              </w:rPr>
              <w:t>ADF — L (Liquid Buffer)</w:t>
            </w:r>
          </w:p>
        </w:tc>
        <w:tc>
          <w:tcPr>
            <w:tcW w:type="dxa" w:w="2126"/>
          </w:tcPr>
          <w:p>
            <w:pPr>
              <w:jc w:val="center"/>
            </w:pPr>
            <w:r/>
            <w:r>
              <w:rPr>
                <w:rFonts w:ascii="Times New Roman" w:hAnsi="Times New Roman"/>
                <w:b w:val="0"/>
                <w:i w:val="0"/>
                <w:sz w:val="20"/>
              </w:rPr>
              <w:t>−2.529</w:t>
            </w:r>
          </w:p>
        </w:tc>
        <w:tc>
          <w:tcPr>
            <w:tcW w:type="dxa" w:w="2126"/>
          </w:tcPr>
          <w:p>
            <w:pPr>
              <w:jc w:val="center"/>
            </w:pPr>
            <w:r/>
            <w:r>
              <w:rPr>
                <w:rFonts w:ascii="Times New Roman" w:hAnsi="Times New Roman"/>
                <w:b w:val="0"/>
                <w:i w:val="0"/>
                <w:sz w:val="20"/>
              </w:rPr>
              <w:t>0.108</w:t>
            </w:r>
          </w:p>
        </w:tc>
        <w:tc>
          <w:tcPr>
            <w:tcW w:type="dxa" w:w="2126"/>
          </w:tcPr>
          <w:p>
            <w:pPr>
              <w:jc w:val="left"/>
            </w:pPr>
            <w:r/>
            <w:r>
              <w:rPr>
                <w:rFonts w:ascii="Times New Roman" w:hAnsi="Times New Roman"/>
                <w:b w:val="0"/>
                <w:i w:val="0"/>
                <w:sz w:val="20"/>
              </w:rPr>
              <w:t>I(1) not rejected</w:t>
            </w:r>
          </w:p>
        </w:tc>
      </w:tr>
      <w:tr>
        <w:tc>
          <w:tcPr>
            <w:tcW w:type="dxa" w:w="2126"/>
            <w:shd w:val="clear" w:color="auto" w:fill="EBF3FB"/>
          </w:tcPr>
          <w:p>
            <w:pPr>
              <w:jc w:val="left"/>
            </w:pPr>
            <w:r/>
            <w:r>
              <w:rPr>
                <w:rFonts w:ascii="Times New Roman" w:hAnsi="Times New Roman"/>
                <w:b w:val="0"/>
                <w:i w:val="0"/>
                <w:sz w:val="20"/>
              </w:rPr>
              <w:t>ADF — VIX</w:t>
            </w:r>
          </w:p>
        </w:tc>
        <w:tc>
          <w:tcPr>
            <w:tcW w:type="dxa" w:w="2126"/>
            <w:shd w:val="clear" w:color="auto" w:fill="EBF3FB"/>
          </w:tcPr>
          <w:p>
            <w:pPr>
              <w:jc w:val="center"/>
            </w:pPr>
            <w:r/>
            <w:r>
              <w:rPr>
                <w:rFonts w:ascii="Times New Roman" w:hAnsi="Times New Roman"/>
                <w:b w:val="0"/>
                <w:i w:val="0"/>
                <w:sz w:val="20"/>
              </w:rPr>
              <w:t>−2.618</w:t>
            </w:r>
          </w:p>
        </w:tc>
        <w:tc>
          <w:tcPr>
            <w:tcW w:type="dxa" w:w="2126"/>
            <w:shd w:val="clear" w:color="auto" w:fill="EBF3FB"/>
          </w:tcPr>
          <w:p>
            <w:pPr>
              <w:jc w:val="center"/>
            </w:pPr>
            <w:r/>
            <w:r>
              <w:rPr>
                <w:rFonts w:ascii="Times New Roman" w:hAnsi="Times New Roman"/>
                <w:b w:val="0"/>
                <w:i w:val="0"/>
                <w:sz w:val="20"/>
              </w:rPr>
              <w:t>0.089</w:t>
            </w:r>
          </w:p>
        </w:tc>
        <w:tc>
          <w:tcPr>
            <w:tcW w:type="dxa" w:w="2126"/>
            <w:shd w:val="clear" w:color="auto" w:fill="EBF3FB"/>
          </w:tcPr>
          <w:p>
            <w:pPr>
              <w:jc w:val="left"/>
            </w:pPr>
            <w:r/>
            <w:r>
              <w:rPr>
                <w:rFonts w:ascii="Times New Roman" w:hAnsi="Times New Roman"/>
                <w:b w:val="0"/>
                <w:i w:val="0"/>
                <w:sz w:val="20"/>
              </w:rPr>
              <w:t>Borderline</w:t>
            </w:r>
          </w:p>
        </w:tc>
      </w:tr>
      <w:tr>
        <w:tc>
          <w:tcPr>
            <w:tcW w:type="dxa" w:w="2126"/>
          </w:tcPr>
          <w:p>
            <w:pPr>
              <w:jc w:val="left"/>
            </w:pPr>
            <w:r/>
            <w:r>
              <w:rPr>
                <w:rFonts w:ascii="Times New Roman" w:hAnsi="Times New Roman"/>
                <w:b w:val="0"/>
                <w:i w:val="0"/>
                <w:sz w:val="20"/>
              </w:rPr>
              <w:t>ADF — ΔlnN*</w:t>
            </w:r>
          </w:p>
        </w:tc>
        <w:tc>
          <w:tcPr>
            <w:tcW w:type="dxa" w:w="2126"/>
          </w:tcPr>
          <w:p>
            <w:pPr>
              <w:jc w:val="center"/>
            </w:pPr>
            <w:r/>
            <w:r>
              <w:rPr>
                <w:rFonts w:ascii="Times New Roman" w:hAnsi="Times New Roman"/>
                <w:b w:val="0"/>
                <w:i w:val="0"/>
                <w:sz w:val="20"/>
              </w:rPr>
              <w:t>−4.701</w:t>
            </w:r>
          </w:p>
        </w:tc>
        <w:tc>
          <w:tcPr>
            <w:tcW w:type="dxa" w:w="2126"/>
          </w:tcPr>
          <w:p>
            <w:pPr>
              <w:jc w:val="center"/>
            </w:pPr>
            <w:r/>
            <w:r>
              <w:rPr>
                <w:rFonts w:ascii="Times New Roman" w:hAnsi="Times New Roman"/>
                <w:b w:val="0"/>
                <w:i w:val="0"/>
                <w:sz w:val="20"/>
              </w:rPr>
              <w:t>0.000</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Engle–Granger (spread ~ ΔlnS)</w:t>
            </w:r>
          </w:p>
        </w:tc>
        <w:tc>
          <w:tcPr>
            <w:tcW w:type="dxa" w:w="2126"/>
            <w:shd w:val="clear" w:color="auto" w:fill="EBF3FB"/>
          </w:tcPr>
          <w:p>
            <w:pPr>
              <w:jc w:val="center"/>
            </w:pPr>
            <w:r/>
            <w:r>
              <w:rPr>
                <w:rFonts w:ascii="Times New Roman" w:hAnsi="Times New Roman"/>
                <w:b w:val="0"/>
                <w:i w:val="0"/>
                <w:sz w:val="20"/>
              </w:rPr>
              <w:t>−2.888</w:t>
            </w:r>
          </w:p>
        </w:tc>
        <w:tc>
          <w:tcPr>
            <w:tcW w:type="dxa" w:w="2126"/>
            <w:shd w:val="clear" w:color="auto" w:fill="EBF3FB"/>
          </w:tcPr>
          <w:p>
            <w:pPr>
              <w:jc w:val="center"/>
            </w:pPr>
            <w:r/>
            <w:r>
              <w:rPr>
                <w:rFonts w:ascii="Times New Roman" w:hAnsi="Times New Roman"/>
                <w:b w:val="0"/>
                <w:i w:val="0"/>
                <w:sz w:val="20"/>
              </w:rPr>
              <w:t>0.139</w:t>
            </w:r>
          </w:p>
        </w:tc>
        <w:tc>
          <w:tcPr>
            <w:tcW w:type="dxa" w:w="2126"/>
            <w:shd w:val="clear" w:color="auto" w:fill="EBF3FB"/>
          </w:tcPr>
          <w:p>
            <w:pPr>
              <w:jc w:val="left"/>
            </w:pPr>
            <w:r/>
            <w:r>
              <w:rPr>
                <w:rFonts w:ascii="Times New Roman" w:hAnsi="Times New Roman"/>
                <w:b w:val="0"/>
                <w:i w:val="0"/>
                <w:sz w:val="20"/>
              </w:rPr>
              <w:t>Not cointegrated</w:t>
            </w:r>
          </w:p>
        </w:tc>
      </w:tr>
      <w:tr>
        <w:tc>
          <w:tcPr>
            <w:tcW w:type="dxa" w:w="2126"/>
          </w:tcPr>
          <w:p>
            <w:pPr>
              <w:jc w:val="left"/>
            </w:pPr>
            <w:r/>
            <w:r>
              <w:rPr>
                <w:rFonts w:ascii="Times New Roman" w:hAnsi="Times New Roman"/>
                <w:b w:val="0"/>
                <w:i w:val="0"/>
                <w:sz w:val="20"/>
              </w:rPr>
              <w:t>Engle–Granger (spread ~ θ)</w:t>
            </w:r>
          </w:p>
        </w:tc>
        <w:tc>
          <w:tcPr>
            <w:tcW w:type="dxa" w:w="2126"/>
          </w:tcPr>
          <w:p>
            <w:pPr>
              <w:jc w:val="center"/>
            </w:pPr>
            <w:r/>
            <w:r>
              <w:rPr>
                <w:rFonts w:ascii="Times New Roman" w:hAnsi="Times New Roman"/>
                <w:b w:val="0"/>
                <w:i w:val="0"/>
                <w:sz w:val="20"/>
              </w:rPr>
              <w:t>−1.546</w:t>
            </w:r>
          </w:p>
        </w:tc>
        <w:tc>
          <w:tcPr>
            <w:tcW w:type="dxa" w:w="2126"/>
          </w:tcPr>
          <w:p>
            <w:pPr>
              <w:jc w:val="center"/>
            </w:pPr>
            <w:r/>
            <w:r>
              <w:rPr>
                <w:rFonts w:ascii="Times New Roman" w:hAnsi="Times New Roman"/>
                <w:b w:val="0"/>
                <w:i w:val="0"/>
                <w:sz w:val="20"/>
              </w:rPr>
              <w:t>0.743</w:t>
            </w:r>
          </w:p>
        </w:tc>
        <w:tc>
          <w:tcPr>
            <w:tcW w:type="dxa" w:w="2126"/>
          </w:tcPr>
          <w:p>
            <w:pPr>
              <w:jc w:val="left"/>
            </w:pPr>
            <w:r/>
            <w:r>
              <w:rPr>
                <w:rFonts w:ascii="Times New Roman" w:hAnsi="Times New Roman"/>
                <w:b w:val="0"/>
                <w:i w:val="0"/>
                <w:sz w:val="20"/>
              </w:rPr>
              <w:t>Not cointegrated</w:t>
            </w:r>
          </w:p>
        </w:tc>
      </w:tr>
      <w:tr>
        <w:tc>
          <w:tcPr>
            <w:tcW w:type="dxa" w:w="2126"/>
            <w:shd w:val="clear" w:color="auto" w:fill="EBF3FB"/>
          </w:tcPr>
          <w:p>
            <w:pPr>
              <w:jc w:val="left"/>
            </w:pPr>
            <w:r/>
            <w:r>
              <w:rPr>
                <w:rFonts w:ascii="Times New Roman" w:hAnsi="Times New Roman"/>
                <w:b w:val="0"/>
                <w:i w:val="0"/>
                <w:sz w:val="20"/>
              </w:rPr>
              <w:t>Engle–Granger (spread ~ L)</w:t>
            </w:r>
          </w:p>
        </w:tc>
        <w:tc>
          <w:tcPr>
            <w:tcW w:type="dxa" w:w="2126"/>
            <w:shd w:val="clear" w:color="auto" w:fill="EBF3FB"/>
          </w:tcPr>
          <w:p>
            <w:pPr>
              <w:jc w:val="center"/>
            </w:pPr>
            <w:r/>
            <w:r>
              <w:rPr>
                <w:rFonts w:ascii="Times New Roman" w:hAnsi="Times New Roman"/>
                <w:b w:val="0"/>
                <w:i w:val="0"/>
                <w:sz w:val="20"/>
              </w:rPr>
              <w:t>−1.611</w:t>
            </w:r>
          </w:p>
        </w:tc>
        <w:tc>
          <w:tcPr>
            <w:tcW w:type="dxa" w:w="2126"/>
            <w:shd w:val="clear" w:color="auto" w:fill="EBF3FB"/>
          </w:tcPr>
          <w:p>
            <w:pPr>
              <w:jc w:val="center"/>
            </w:pPr>
            <w:r/>
            <w:r>
              <w:rPr>
                <w:rFonts w:ascii="Times New Roman" w:hAnsi="Times New Roman"/>
                <w:b w:val="0"/>
                <w:i w:val="0"/>
                <w:sz w:val="20"/>
              </w:rPr>
              <w:t>0.716</w:t>
            </w:r>
          </w:p>
        </w:tc>
        <w:tc>
          <w:tcPr>
            <w:tcW w:type="dxa" w:w="2126"/>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0.051)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b w:val="0"/>
          <w:i w:val="0"/>
          <w:sz w:val="24"/>
        </w:rPr>
        <w:t>Bootstrap confidence intervals for c* use the percentile method with B = 1,000 replications: each replication resamples rows with replacement and re-runs the NLS optimization. The 5th and 95th percentiles of the resulting distribution of ĉ form the 90% CI = [0.032, 0.145]. The Hansen q* = 0.1301 lies inside this interval, confirming cross-model consistency.</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immireu0921/Stablecoins-and-the-Exorbitant-Privilege-Safe-Asset-Demand-and-Its-Systemic-Fragility"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