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t>Le projet doit être terminé dans un délai de 2 mois à compter de l'approbation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Tous les champs doivent être renseignés et valides. La civilité doit être soit Monsieur » soit « Madame ». Les noms et prénoms doivent être constitués de lettres. Les numéros de téléphone doivent </w:t>
            </w:r>
            <w:r>
              <w:rPr>
                <w:rFonts w:ascii="Times New Roman" w:hAnsi="Times New Roman" w:cs="Times New Roman"/>
                <w:sz w:val="24"/>
                <w:szCs w:val="24"/>
              </w:rPr>
              <w:lastRenderedPageBreak/>
              <w:t>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D653A7">
      <w:pPr>
        <w:pStyle w:val="Textebrut"/>
      </w:pPr>
      <w:r>
        <w:rPr>
          <w:noProof/>
          <w:lang w:eastAsia="fr-FR"/>
        </w:rPr>
        <w:lastRenderedPageBreak/>
        <w:drawing>
          <wp:inline distT="0" distB="0" distL="0" distR="0">
            <wp:extent cx="5865495" cy="62020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D653A7">
      <w:pPr>
        <w:pStyle w:val="Textebrut"/>
      </w:pPr>
      <w:r>
        <w:rPr>
          <w:noProof/>
          <w:lang w:eastAsia="fr-FR"/>
        </w:rPr>
        <w:lastRenderedPageBreak/>
        <w:drawing>
          <wp:inline distT="0" distB="0" distL="0" distR="0">
            <wp:extent cx="5865495" cy="6202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D653A7">
      <w:pPr>
        <w:pStyle w:val="Textebrut"/>
      </w:pPr>
      <w:r>
        <w:rPr>
          <w:noProof/>
          <w:lang w:eastAsia="fr-FR"/>
        </w:rPr>
        <w:lastRenderedPageBreak/>
        <w:drawing>
          <wp:inline distT="0" distB="0" distL="0" distR="0">
            <wp:extent cx="5865495" cy="66567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5495" cy="6656705"/>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E32BCE">
      <w:pPr>
        <w:pStyle w:val="Textebrut"/>
      </w:pPr>
      <w:r>
        <w:rPr>
          <w:noProof/>
          <w:lang w:eastAsia="fr-FR"/>
        </w:rPr>
        <w:drawing>
          <wp:anchor distT="0" distB="0" distL="0" distR="0" simplePos="0" relativeHeight="4" behindDoc="0" locked="0" layoutInCell="1" allowOverlap="1" wp14:anchorId="6ACCF559" wp14:editId="53ED57FC">
            <wp:simplePos x="0" y="0"/>
            <wp:positionH relativeFrom="character">
              <wp:posOffset>927735</wp:posOffset>
            </wp:positionH>
            <wp:positionV relativeFrom="line">
              <wp:posOffset>50800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cstate="print"/>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Pour réserver un billet, le processus sera le suivant :</w:t>
      </w:r>
    </w:p>
    <w:p w:rsidR="002F6D5D" w:rsidRDefault="002F6D5D">
      <w:pPr>
        <w:pStyle w:val="Textebrut"/>
      </w:pP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521FE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89681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89681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Pr="00D42119"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565C0B" w:rsidRDefault="00D85C71">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8820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8820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3493770"/>
            <wp:effectExtent l="1905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479540" cy="34937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74D68"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19050" t="0" r="0" b="0"/>
            <wp:docPr id="23" name="Image 22" descr="dev-fly-display_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cstate="print"/>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bookmarkStart w:id="1" w:name="_GoBack"/>
      <w:bookmarkEnd w:id="1"/>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71A4"/>
    <w:rsid w:val="000C3027"/>
    <w:rsid w:val="001B47FF"/>
    <w:rsid w:val="00221EB9"/>
    <w:rsid w:val="00264666"/>
    <w:rsid w:val="002F6D5D"/>
    <w:rsid w:val="00303F56"/>
    <w:rsid w:val="003C6DFD"/>
    <w:rsid w:val="004453D0"/>
    <w:rsid w:val="00466D8C"/>
    <w:rsid w:val="005017DD"/>
    <w:rsid w:val="00521FEA"/>
    <w:rsid w:val="00565C0B"/>
    <w:rsid w:val="00574D68"/>
    <w:rsid w:val="0060682C"/>
    <w:rsid w:val="0062599F"/>
    <w:rsid w:val="007710E4"/>
    <w:rsid w:val="007E30A6"/>
    <w:rsid w:val="008C108C"/>
    <w:rsid w:val="009A66D8"/>
    <w:rsid w:val="00A737AB"/>
    <w:rsid w:val="00A929CE"/>
    <w:rsid w:val="00AB1568"/>
    <w:rsid w:val="00AE2771"/>
    <w:rsid w:val="00B4040E"/>
    <w:rsid w:val="00B72E12"/>
    <w:rsid w:val="00BE2B7E"/>
    <w:rsid w:val="00CA6B88"/>
    <w:rsid w:val="00D00D07"/>
    <w:rsid w:val="00D42119"/>
    <w:rsid w:val="00D653A7"/>
    <w:rsid w:val="00D85C71"/>
    <w:rsid w:val="00E32BCE"/>
    <w:rsid w:val="00EC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5E953-C989-4204-93C8-17D43CCA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18</Pages>
  <Words>1100</Words>
  <Characters>6052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108</cp:revision>
  <dcterms:created xsi:type="dcterms:W3CDTF">2013-05-16T09:57:00Z</dcterms:created>
  <dcterms:modified xsi:type="dcterms:W3CDTF">2013-05-24T10:53:00Z</dcterms:modified>
</cp:coreProperties>
</file>