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w:t>
            </w:r>
            <w:r>
              <w:rPr>
                <w:rFonts w:ascii="Times New Roman" w:hAnsi="Times New Roman" w:cs="Times New Roman"/>
                <w:sz w:val="24"/>
                <w:szCs w:val="24"/>
              </w:rPr>
              <w:lastRenderedPageBreak/>
              <w:t>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14:anchorId="497C5823" wp14:editId="424E1BB8">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6">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eastAsia="fr-FR"/>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eastAsia="fr-FR"/>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eastAsia="fr-FR"/>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D00D07">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D653A7" w:rsidRDefault="00D653A7">
      <w:pPr>
        <w:pStyle w:val="Textebrut"/>
      </w:pPr>
    </w:p>
    <w:p w:rsidR="00D653A7" w:rsidRDefault="00D653A7">
      <w:pPr>
        <w:pStyle w:val="Textebrut"/>
      </w:pPr>
      <w:bookmarkStart w:id="0" w:name="_GoBack"/>
      <w:bookmarkEnd w:id="0"/>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eastAsia="fr-FR"/>
        </w:rPr>
        <w:drawing>
          <wp:anchor distT="0" distB="0" distL="0" distR="0" simplePos="0" relativeHeight="4" behindDoc="0" locked="0" layoutInCell="1" allowOverlap="1" wp14:anchorId="4F634266" wp14:editId="2DF72FB4">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E32BCE" w:rsidRDefault="00E32BCE">
      <w:pPr>
        <w:pStyle w:val="Textebrut"/>
      </w:pPr>
    </w:p>
    <w:p w:rsidR="00E32BCE" w:rsidRDefault="00E32BCE">
      <w:pPr>
        <w:pStyle w:val="Textebrut"/>
      </w:pPr>
    </w:p>
    <w:p w:rsidR="00466D8C" w:rsidRDefault="00AE2771">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14:anchorId="15F230DB" wp14:editId="0748FF27">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7">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lastRenderedPageBreak/>
        <w:t>Les</w:t>
      </w:r>
      <w:r>
        <w:rPr>
          <w:rFonts w:ascii="Times New Roman" w:hAnsi="Times New Roman" w:cs="Times New Roman"/>
          <w:bCs/>
          <w:sz w:val="24"/>
          <w:szCs w:val="24"/>
        </w:rPr>
        <w:t xml:space="preserve"> employés de la compagnie qui ont accès au back-office peuvent effectuer des recherches </w:t>
      </w:r>
      <w:proofErr w:type="spellStart"/>
      <w:r>
        <w:rPr>
          <w:rFonts w:ascii="Times New Roman" w:hAnsi="Times New Roman" w:cs="Times New Roman"/>
          <w:bCs/>
          <w:sz w:val="24"/>
          <w:szCs w:val="24"/>
        </w:rPr>
        <w:t>multi-critères</w:t>
      </w:r>
      <w:proofErr w:type="spellEnd"/>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8">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à</w:t>
      </w:r>
      <w:proofErr w:type="gramEnd"/>
      <w:r>
        <w:rPr>
          <w:rFonts w:ascii="Times New Roman" w:hAnsi="Times New Roman" w:cs="Times New Roman"/>
          <w:bCs/>
          <w:sz w:val="24"/>
          <w:szCs w:val="24"/>
        </w:rPr>
        <w:t xml:space="preserve"> insérer</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vol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 est un lien vers…..</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passager :</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d’employé:</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3C6DFD" w:rsidRDefault="00B72E12" w:rsidP="00B72E12">
      <w:pPr>
        <w:pStyle w:val="Textebrut"/>
        <w:jc w:val="both"/>
        <w:rPr>
          <w:rFonts w:ascii="Times New Roman" w:hAnsi="Times New Roman" w:cs="Times New Roman"/>
          <w:bCs/>
          <w:sz w:val="24"/>
          <w:szCs w:val="24"/>
        </w:rPr>
      </w:pPr>
      <w:r>
        <w:rPr>
          <w:rFonts w:ascii="Times New Roman" w:hAnsi="Times New Roman" w:cs="Times New Roman"/>
          <w:bCs/>
          <w:sz w:val="24"/>
          <w:szCs w:val="24"/>
        </w:rPr>
        <w:t>Cas d’une recherche par N° de réservation :</w:t>
      </w:r>
    </w:p>
    <w:p w:rsidR="00B72E12" w:rsidRPr="003C6DFD" w:rsidRDefault="00B72E12">
      <w:pPr>
        <w:pStyle w:val="Textebrut"/>
        <w:jc w:val="both"/>
        <w:rPr>
          <w:rFonts w:ascii="Times New Roman" w:hAnsi="Times New Roman" w:cs="Times New Roman"/>
          <w:bCs/>
          <w:sz w:val="24"/>
          <w:szCs w:val="24"/>
        </w:rPr>
      </w:pPr>
    </w:p>
    <w:sectPr w:rsidR="00B72E12" w:rsidRPr="003C6DFD"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C3027"/>
    <w:rsid w:val="001B47FF"/>
    <w:rsid w:val="00221EB9"/>
    <w:rsid w:val="00264666"/>
    <w:rsid w:val="00303F56"/>
    <w:rsid w:val="003C6DFD"/>
    <w:rsid w:val="004453D0"/>
    <w:rsid w:val="00466D8C"/>
    <w:rsid w:val="005017DD"/>
    <w:rsid w:val="0060682C"/>
    <w:rsid w:val="0062599F"/>
    <w:rsid w:val="007E30A6"/>
    <w:rsid w:val="008C108C"/>
    <w:rsid w:val="009A66D8"/>
    <w:rsid w:val="00A737AB"/>
    <w:rsid w:val="00A929CE"/>
    <w:rsid w:val="00AB1568"/>
    <w:rsid w:val="00AE2771"/>
    <w:rsid w:val="00B72E12"/>
    <w:rsid w:val="00BE2B7E"/>
    <w:rsid w:val="00D00D07"/>
    <w:rsid w:val="00D653A7"/>
    <w:rsid w:val="00E32BCE"/>
    <w:rsid w:val="00EC5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13</Pages>
  <Words>1097</Words>
  <Characters>6038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99</cp:revision>
  <dcterms:created xsi:type="dcterms:W3CDTF">2013-05-16T09:57:00Z</dcterms:created>
  <dcterms:modified xsi:type="dcterms:W3CDTF">2013-05-23T15:08:00Z</dcterms:modified>
</cp:coreProperties>
</file>