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Pr>
          <w:b w:val="1"/>
          <w:bCs w:val="1"/>
        </w:rPr>
      </w:pPr>
    </w:p>
    <w:p>
      <w:pPr>
        <w:jc w:val="center"/>
        <w:rPr>
          <w:b w:val="1"/>
          <w:bCs w:val="1"/>
          <w:sz w:val="26"/>
          <w:szCs w:val="26"/>
        </w:rPr>
      </w:pPr>
      <w:r>
        <w:rPr>
          <w:b w:val="1"/>
          <w:bCs w:val="1"/>
          <w:sz w:val="26"/>
          <w:szCs w:val="26"/>
          <w:rtl w:val="0"/>
        </w:rPr>
        <w:t xml:space="preserve">DILEEP MONITORING SYSTEM UPDATES &amp; IMPROVEMENTS (10-23-26)</w:t>
      </w:r>
    </w:p>
    <w:p>
      <w:pPr>
        <w:jc w:val="center"/>
      </w:pPr>
      <w:r>
        <w:rPr>
          <w:i w:val="1"/>
          <w:iCs w:val="1"/>
          <w:sz w:val="20"/>
          <w:szCs w:val="20"/>
          <w:rtl w:val="0"/>
        </w:rPr>
        <w:t xml:space="preserve">Date of implementation: October 23, 2026</w:t>
      </w:r>
    </w:p>
    <w:p>
      <w:pPr>
        <w:rPr>
          <w:b w:val="1"/>
          <w:bCs w:val="1"/>
        </w:rPr>
      </w:pP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New Features</w:t>
      </w:r>
    </w:p>
    <w:p>
      <w:pPr>
        <w:rPr>
          <w:b w:val="1"/>
          <w:bCs w:val="1"/>
        </w:rPr>
      </w:pPr>
    </w:p>
    <w:tbl>
      <w:tblPr>
        <w:tblStyle w:val="Table2"/>
        <w:tblpPr w:leftFromText="180" w:rightFromText="180" w:topFromText="180" w:bottomFromText="180" w:vertAnchor="text" w:horzAnchor="text" w:tblpX="-855" w:tblpY="0"/>
        <w:tblW w:w="11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340"/>
        <w:gridCol w:w="3465"/>
        <w:tblGridChange w:id="0">
          <w:tblGrid>
            <w:gridCol w:w="2400"/>
            <w:gridCol w:w="5340"/>
            <w:gridCol w:w="3465"/>
          </w:tblGrid>
        </w:tblGridChange>
      </w:tblGrid>
      <w:tr>
        <w:trPr>
          <w:cantSplit w:val="0"/>
          <w:tblHeader w:val="0"/>
        </w:trPr>
        <w:tc>
          <w:tcPr>
            <w:shd w:fill="f3f3f3" w:val="clear"/>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rtl w:val="0"/>
              </w:rPr>
              <w:t xml:space="preserve">FEATURE:</w:t>
            </w:r>
          </w:p>
        </w:tc>
        <w:tc>
          <w:tcPr>
            <w:shd w:fill="f3f3f3" w:val="clear"/>
          </w:tcPr>
          <w:p w:rsidR="00000000" w:rsidDel="00000000" w:rsidP="00000000" w:rsidRDefault="00000000" w:rsidRPr="00000000" w14:paraId="00000049">
            <w:pPr>
              <w:widowControl w:val="0"/>
              <w:spacing w:line="240" w:lineRule="auto"/>
              <w:jc w:val="center"/>
              <w:rPr>
                <w:b w:val="1"/>
                <w:bCs w:val="1"/>
              </w:rPr>
            </w:pPr>
            <w:r w:rsidDel="00000000" w:rsidR="00000000" w:rsidRPr="00000000">
              <w:rPr>
                <w:b w:val="1"/>
                <w:bCs w:val="1"/>
                <w:rtl w:val="0"/>
              </w:rPr>
              <w:t xml:space="preserve">WHAT IT DOES:</w:t>
            </w:r>
          </w:p>
        </w:tc>
        <w:tc>
          <w:tcPr>
            <w:shd w:fill="f3f3f3" w:val="clear"/>
          </w:tcPr>
          <w:p w:rsidR="00000000" w:rsidDel="00000000" w:rsidP="00000000" w:rsidRDefault="00000000" w:rsidRPr="00000000" w14:paraId="0000004A">
            <w:pPr>
              <w:widowControl w:val="0"/>
              <w:spacing w:line="240" w:lineRule="auto"/>
              <w:jc w:val="center"/>
              <w:rPr>
                <w:b w:val="1"/>
                <w:bCs w:val="1"/>
              </w:rPr>
            </w:pPr>
            <w:r w:rsidDel="00000000" w:rsidR="00000000" w:rsidRPr="00000000">
              <w:rPr>
                <w:b w:val="1"/>
                <w:bCs w:val="1"/>
                <w:rtl w:val="0"/>
              </w:rPr>
              <w:t xml:space="preserve">BENEFIT:</w:t>
            </w:r>
          </w:p>
        </w:tc>
      </w:tr>
      <w:tr>
        <w:trPr>
          <w:cantSplit w:val="0"/>
          <w:tblHeader w:val="0"/>
        </w:trPr>
        <w:tc>
          <w:tcPr>
            <w:vAlign w:val="center"/>
          </w:tcPr>
          <w:p>
            <w:pPr>
              <w:widowControl w:val="0"/>
              <w:spacing w:line="240" w:lineRule="auto"/>
              <w:rPr>
                <w:sz w:val="20"/>
                <w:szCs w:val="20"/>
              </w:rPr>
            </w:pPr>
            <w:r>
              <w:rPr>
                <w:sz w:val="20"/>
                <w:szCs w:val="20"/>
                <w:rtl w:val="0"/>
              </w:rPr>
              <w:t xml:space="preserve">Reports open on Group Proponents</w:t>
            </w:r>
          </w:p>
        </w:tc>
        <w:tc>
          <w:tcPr>
            <w:vAlign w:val="center"/>
          </w:tcPr>
          <w:p>
            <w:pPr>
              <w:widowControl w:val="0"/>
              <w:spacing w:line="240" w:lineRule="auto"/>
              <w:rPr>
                <w:sz w:val="20"/>
                <w:szCs w:val="20"/>
              </w:rPr>
            </w:pPr>
            <w:r>
              <w:rPr>
                <w:sz w:val="20"/>
                <w:szCs w:val="20"/>
                <w:rtl w:val="0"/>
              </w:rPr>
              <w:t xml:space="preserve">The Report Type now starts on Group Proponents instead of Individual Beneficiaries, and the Reset button goes back to it</w:t>
            </w:r>
          </w:p>
        </w:tc>
        <w:tc>
          <w:tcPr>
            <w:vAlign w:val="center"/>
          </w:tcPr>
          <w:p>
            <w:pPr>
              <w:widowControl w:val="0"/>
              <w:spacing w:line="240" w:lineRule="auto"/>
              <w:rPr>
                <w:sz w:val="20"/>
                <w:szCs w:val="20"/>
              </w:rPr>
            </w:pPr>
            <w:r>
              <w:rPr>
                <w:sz w:val="20"/>
                <w:szCs w:val="20"/>
                <w:rtl w:val="0"/>
              </w:rPr>
              <w:t xml:space="preserve">Saves a step for staff who mostly report on group projects</w:t>
            </w:r>
          </w:p>
        </w:tc>
      </w:tr>
      <w:tr>
        <w:trPr>
          <w:cantSplit w:val="0"/>
          <w:tblHeader w:val="0"/>
        </w:trPr>
        <w:tc>
          <w:tcPr>
            <w:vAlign w:val="center"/>
          </w:tcPr>
          <w:p>
            <w:pPr>
              <w:widowControl w:val="0"/>
              <w:spacing w:line="240" w:lineRule="auto"/>
              <w:rPr>
                <w:sz w:val="20"/>
                <w:szCs w:val="20"/>
              </w:rPr>
            </w:pPr>
            <w:r>
              <w:rPr>
                <w:sz w:val="20"/>
                <w:szCs w:val="20"/>
                <w:rtl w:val="0"/>
              </w:rPr>
              <w:t xml:space="preserve">Four new date columns</w:t>
            </w:r>
          </w:p>
        </w:tc>
        <w:tc>
          <w:tcPr>
            <w:vAlign w:val="center"/>
          </w:tcPr>
          <w:p>
            <w:pPr>
              <w:widowControl w:val="0"/>
              <w:spacing w:line="240" w:lineRule="auto"/>
              <w:rPr>
                <w:sz w:val="20"/>
                <w:szCs w:val="20"/>
              </w:rPr>
            </w:pPr>
            <w:r>
              <w:rPr>
                <w:sz w:val="20"/>
                <w:szCs w:val="20"/>
                <w:rtl w:val="0"/>
              </w:rPr>
              <w:t xml:space="preserve">The Group Proponents report now shows Date Released, Date of Turn-over, Date Due for Liquidation and Date Monitored right after Date Approved. The Individual Beneficiaries report shows Date of Turn-over and Date Monitored</w:t>
            </w:r>
          </w:p>
        </w:tc>
        <w:tc>
          <w:tcPr>
            <w:vAlign w:val="center"/>
          </w:tcPr>
          <w:p>
            <w:pPr>
              <w:widowControl w:val="0"/>
              <w:spacing w:line="240" w:lineRule="auto"/>
              <w:rPr>
                <w:sz w:val="20"/>
                <w:szCs w:val="20"/>
              </w:rPr>
            </w:pPr>
            <w:r>
              <w:rPr>
                <w:sz w:val="20"/>
                <w:szCs w:val="20"/>
                <w:rtl w:val="0"/>
              </w:rPr>
              <w:t xml:space="preserve">The whole timeline of a project can be read in one row, without opening each record</w:t>
            </w:r>
          </w:p>
        </w:tc>
      </w:tr>
      <w:tr>
        <w:trPr>
          <w:cantSplit w:val="0"/>
          <w:tblHeader w:val="0"/>
        </w:trPr>
        <w:tc>
          <w:tcPr>
            <w:vAlign w:val="center"/>
          </w:tcPr>
          <w:p>
            <w:pPr>
              <w:widowControl w:val="0"/>
              <w:spacing w:line="240" w:lineRule="auto"/>
              <w:rPr>
                <w:sz w:val="20"/>
                <w:szCs w:val="20"/>
              </w:rPr>
            </w:pPr>
            <w:r>
              <w:rPr>
                <w:sz w:val="20"/>
                <w:szCs w:val="20"/>
                <w:rtl w:val="0"/>
              </w:rPr>
              <w:t xml:space="preserve">Side-to-side scrolling for the report table</w:t>
            </w:r>
          </w:p>
        </w:tc>
        <w:tc>
          <w:tcPr>
            <w:vAlign w:val="center"/>
          </w:tcPr>
          <w:p>
            <w:pPr>
              <w:widowControl w:val="0"/>
              <w:spacing w:line="240" w:lineRule="auto"/>
              <w:rPr>
                <w:sz w:val="20"/>
                <w:szCs w:val="20"/>
              </w:rPr>
            </w:pPr>
            <w:r>
              <w:rPr>
                <w:sz w:val="20"/>
                <w:szCs w:val="20"/>
                <w:rtl w:val="0"/>
              </w:rPr>
              <w:t xml:space="preserve">The table now scrolls left and right so every column can be reached. The search box and page buttons stay in place, and the column headings stay visible while scrolling down</w:t>
            </w:r>
          </w:p>
        </w:tc>
        <w:tc>
          <w:tcPr>
            <w:vAlign w:val="center"/>
          </w:tcPr>
          <w:p>
            <w:pPr>
              <w:widowControl w:val="0"/>
              <w:spacing w:line="240" w:lineRule="auto"/>
              <w:rPr>
                <w:sz w:val="20"/>
                <w:szCs w:val="20"/>
              </w:rPr>
            </w:pPr>
            <w:r>
              <w:rPr>
                <w:sz w:val="20"/>
                <w:szCs w:val="20"/>
                <w:rtl w:val="0"/>
              </w:rPr>
              <w:t xml:space="preserve">All columns are readable on any screen size, even with the extra dates</w:t>
            </w:r>
          </w:p>
        </w:tc>
      </w:tr>
      <w:tr>
        <w:trPr>
          <w:cantSplit w:val="0"/>
          <w:tblHeader w:val="0"/>
        </w:trPr>
        <w:tc>
          <w:tcPr>
            <w:vAlign w:val="center"/>
          </w:tcPr>
          <w:p>
            <w:pPr>
              <w:widowControl w:val="0"/>
              <w:spacing w:line="240" w:lineRule="auto"/>
              <w:rPr>
                <w:sz w:val="20"/>
                <w:szCs w:val="20"/>
              </w:rPr>
            </w:pPr>
            <w:r>
              <w:rPr>
                <w:sz w:val="20"/>
                <w:szCs w:val="20"/>
                <w:rtl w:val="0"/>
              </w:rPr>
              <w:t xml:space="preserve">"Generated through the system" line</w:t>
            </w:r>
          </w:p>
        </w:tc>
        <w:tc>
          <w:tcPr>
            <w:vAlign w:val="center"/>
          </w:tcPr>
          <w:p>
            <w:pPr>
              <w:widowControl w:val="0"/>
              <w:spacing w:line="240" w:lineRule="auto"/>
              <w:rPr>
                <w:sz w:val="20"/>
                <w:szCs w:val="20"/>
              </w:rPr>
            </w:pPr>
            <w:r>
              <w:rPr>
                <w:sz w:val="20"/>
                <w:szCs w:val="20"/>
                <w:rtl w:val="0"/>
              </w:rPr>
              <w:t xml:space="preserve">A line saying the report was generated through the system, with the date and time, now appears under the report on screen, when printing, at the bottom of the PDF and as the last line of the Excel file. The CSV file stays plain data</w:t>
            </w:r>
          </w:p>
        </w:tc>
        <w:tc>
          <w:tcPr>
            <w:vAlign w:val="center"/>
          </w:tcPr>
          <w:p>
            <w:pPr>
              <w:widowControl w:val="0"/>
              <w:spacing w:line="240" w:lineRule="auto"/>
              <w:rPr>
                <w:sz w:val="20"/>
                <w:szCs w:val="20"/>
              </w:rPr>
            </w:pPr>
            <w:r>
              <w:rPr>
                <w:sz w:val="20"/>
                <w:szCs w:val="20"/>
                <w:rtl w:val="0"/>
              </w:rPr>
              <w:t xml:space="preserve">Printed and downloaded reports show where and when they were produced</w:t>
            </w:r>
          </w:p>
        </w:tc>
      </w:tr>
    </w:tbl>
    <w:p>
      <w:pPr>
        <w:rPr>
          <w:b w:val="1"/>
          <w:bCs w:val="1"/>
        </w:rPr>
      </w:pP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Screenshots</w:t>
      </w:r>
    </w:p>
    <w:p>
      <w:pPr>
        <w:rPr>
          <w:b w:val="1"/>
          <w:bCs w:val="1"/>
        </w:rPr>
      </w:pPr>
    </w:p>
    <w:p>
      <w:pPr>
        <w:keepNext w:val="1"/>
        <w:jc w:val="center"/>
      </w:pPr>
      <w:r>
        <w:rPr>
          <w:i w:val="1"/>
          <w:iCs w:val="1"/>
          <w:sz w:val="20"/>
          <w:szCs w:val="20"/>
          <w:rtl w:val="0"/>
        </w:rPr>
        <w:t xml:space="preserve">Figure 1. The Reports page now opens with Group Proponents already selected as the Report Type.</w:t>
      </w:r>
    </w:p>
    <w:p>
      <w:pPr>
        <w:keepNext w:val="0"/>
        <w:jc w:val="center"/>
      </w:pPr>
      <w:r>
        <w:drawing>
          <wp:inline distT="0" distB="0" distL="0" distR="0">
            <wp:extent cx="5943600" cy="1701153"/>
            <wp:docPr id="101" name="Screenshot 1"/>
            <wp:cNvGraphicFramePr>
              <a:graphicFrameLocks noChangeAspect="1"/>
            </wp:cNvGraphicFramePr>
            <a:graphic>
              <a:graphicData uri="http://schemas.openxmlformats.org/drawingml/2006/picture">
                <pic:pic>
                  <pic:nvPicPr>
                    <pic:cNvPr id="101" name="shot1.png"/>
                    <pic:cNvPicPr/>
                  </pic:nvPicPr>
                  <pic:blipFill>
                    <a:blip r:embed="rId101"/>
                    <a:stretch>
                      <a:fillRect/>
                    </a:stretch>
                  </pic:blipFill>
                  <pic:spPr>
                    <a:xfrm>
                      <a:off x="0" y="0"/>
                      <a:ext cx="5943600" cy="1701153"/>
                    </a:xfrm>
                    <a:prstGeom prst="rect">
                      <a:avLst/>
                    </a:prstGeom>
                    <a:ln w="9525">
                      <a:solidFill>
                        <a:srgbClr val="BFBFBF"/>
                      </a:solidFill>
                    </a:ln>
                  </pic:spPr>
                </pic:pic>
              </a:graphicData>
            </a:graphic>
          </wp:inline>
        </w:drawing>
      </w:r>
    </w:p>
    <w:p>
      <w:pPr>
        <w:rPr>
          <w:b w:val="1"/>
          <w:bCs w:val="1"/>
        </w:rPr>
      </w:pPr>
    </w:p>
    <w:p>
      <w:pPr>
        <w:keepNext w:val="1"/>
        <w:jc w:val="center"/>
      </w:pPr>
      <w:r>
        <w:rPr>
          <w:i w:val="1"/>
          <w:iCs w:val="1"/>
          <w:sz w:val="20"/>
          <w:szCs w:val="20"/>
          <w:rtl w:val="0"/>
        </w:rPr>
        <w:t xml:space="preserve">Figure 2. The Group Proponents report table scrolls sideways, with the search box and page buttons kept in place. The "generated through the system" line is at the bottom of the report.</w:t>
      </w:r>
    </w:p>
    <w:p>
      <w:pPr>
        <w:keepNext w:val="0"/>
        <w:jc w:val="center"/>
      </w:pPr>
      <w:r>
        <w:drawing>
          <wp:inline distT="0" distB="0" distL="0" distR="0">
            <wp:extent cx="5943600" cy="3167484"/>
            <wp:docPr id="102" name="Screenshot 2"/>
            <wp:cNvGraphicFramePr>
              <a:graphicFrameLocks noChangeAspect="1"/>
            </wp:cNvGraphicFramePr>
            <a:graphic>
              <a:graphicData uri="http://schemas.openxmlformats.org/drawingml/2006/picture">
                <pic:pic>
                  <pic:nvPicPr>
                    <pic:cNvPr id="102" name="shot2.png"/>
                    <pic:cNvPicPr/>
                  </pic:nvPicPr>
                  <pic:blipFill>
                    <a:blip r:embed="rId102"/>
                    <a:stretch>
                      <a:fillRect/>
                    </a:stretch>
                  </pic:blipFill>
                  <pic:spPr>
                    <a:xfrm>
                      <a:off x="0" y="0"/>
                      <a:ext cx="5943600" cy="3167484"/>
                    </a:xfrm>
                    <a:prstGeom prst="rect">
                      <a:avLst/>
                    </a:prstGeom>
                    <a:ln w="9525">
                      <a:solidFill>
                        <a:srgbClr val="BFBFBF"/>
                      </a:solidFill>
                    </a:ln>
                  </pic:spPr>
                </pic:pic>
              </a:graphicData>
            </a:graphic>
          </wp:inline>
        </w:drawing>
      </w:r>
    </w:p>
    <w:p>
      <w:pPr>
        <w:rPr>
          <w:b w:val="1"/>
          <w:bCs w:val="1"/>
        </w:rPr>
      </w:pPr>
    </w:p>
    <w:p>
      <w:pPr>
        <w:keepNext w:val="1"/>
        <w:jc w:val="center"/>
      </w:pPr>
      <w:r>
        <w:rPr>
          <w:i w:val="1"/>
          <w:iCs w:val="1"/>
          <w:sz w:val="20"/>
          <w:szCs w:val="20"/>
          <w:rtl w:val="0"/>
        </w:rPr>
        <w:t xml:space="preserve">Figure 3. Scrolled to the right: the new Date Released, Date of Turn-over, Date Due for Liquidation and Date Monitored columns, right after Date Approved.</w:t>
      </w:r>
    </w:p>
    <w:p>
      <w:pPr>
        <w:keepNext w:val="0"/>
        <w:jc w:val="center"/>
      </w:pPr>
      <w:r>
        <w:drawing>
          <wp:inline distT="0" distB="0" distL="0" distR="0">
            <wp:extent cx="5943600" cy="3167484"/>
            <wp:docPr id="103" name="Screenshot 3"/>
            <wp:cNvGraphicFramePr>
              <a:graphicFrameLocks noChangeAspect="1"/>
            </wp:cNvGraphicFramePr>
            <a:graphic>
              <a:graphicData uri="http://schemas.openxmlformats.org/drawingml/2006/picture">
                <pic:pic>
                  <pic:nvPicPr>
                    <pic:cNvPr id="103" name="shot3.png"/>
                    <pic:cNvPicPr/>
                  </pic:nvPicPr>
                  <pic:blipFill>
                    <a:blip r:embed="rId103"/>
                    <a:stretch>
                      <a:fillRect/>
                    </a:stretch>
                  </pic:blipFill>
                  <pic:spPr>
                    <a:xfrm>
                      <a:off x="0" y="0"/>
                      <a:ext cx="5943600" cy="3167484"/>
                    </a:xfrm>
                    <a:prstGeom prst="rect">
                      <a:avLst/>
                    </a:prstGeom>
                    <a:ln w="9525">
                      <a:solidFill>
                        <a:srgbClr val="BFBFBF"/>
                      </a:solidFill>
                    </a:ln>
                  </pic:spPr>
                </pic:pic>
              </a:graphicData>
            </a:graphic>
          </wp:inline>
        </w:drawing>
      </w:r>
    </w:p>
    <w:p>
      <w:pPr>
        <w:rPr>
          <w:b w:val="1"/>
          <w:bCs w:val="1"/>
        </w:rPr>
      </w:pPr>
    </w:p>
    <w:p>
      <w:pPr>
        <w:keepNext w:val="1"/>
        <w:jc w:val="center"/>
      </w:pPr>
      <w:r>
        <w:rPr>
          <w:i w:val="1"/>
          <w:iCs w:val="1"/>
          <w:sz w:val="20"/>
          <w:szCs w:val="20"/>
          <w:rtl w:val="0"/>
        </w:rPr>
        <w:t xml:space="preserve">Figure 4. The Individual Beneficiaries report gets Date of Turn-over and Date Monitored.</w:t>
      </w:r>
    </w:p>
    <w:p>
      <w:pPr>
        <w:keepNext w:val="0"/>
        <w:jc w:val="center"/>
      </w:pPr>
      <w:r>
        <w:drawing>
          <wp:inline distT="0" distB="0" distL="0" distR="0">
            <wp:extent cx="5943600" cy="2692623"/>
            <wp:docPr id="104" name="Screenshot 4"/>
            <wp:cNvGraphicFramePr>
              <a:graphicFrameLocks noChangeAspect="1"/>
            </wp:cNvGraphicFramePr>
            <a:graphic>
              <a:graphicData uri="http://schemas.openxmlformats.org/drawingml/2006/picture">
                <pic:pic>
                  <pic:nvPicPr>
                    <pic:cNvPr id="104" name="shot4.png"/>
                    <pic:cNvPicPr/>
                  </pic:nvPicPr>
                  <pic:blipFill>
                    <a:blip r:embed="rId104"/>
                    <a:stretch>
                      <a:fillRect/>
                    </a:stretch>
                  </pic:blipFill>
                  <pic:spPr>
                    <a:xfrm>
                      <a:off x="0" y="0"/>
                      <a:ext cx="5943600" cy="2692623"/>
                    </a:xfrm>
                    <a:prstGeom prst="rect">
                      <a:avLst/>
                    </a:prstGeom>
                    <a:ln w="9525">
                      <a:solidFill>
                        <a:srgbClr val="BFBFBF"/>
                      </a:solidFill>
                    </a:ln>
                  </pic:spPr>
                </pic:pic>
              </a:graphicData>
            </a:graphic>
          </wp:inline>
        </w:drawing>
      </w:r>
    </w:p>
    <w:p>
      <w:pPr>
        <w:rPr>
          <w:b w:val="1"/>
          <w:bCs w:val="1"/>
        </w:rPr>
      </w:pPr>
    </w:p>
    <w:sectPr>
      <w:headerReference r:id="rId6" w:type="default"/>
      <w:footerReference r:id="rId7" w:type="default"/>
      <w:pgSz w:h="20160" w:w="12240" w:orient="portrait"/>
      <w:pgMar w:bottom="1440" w:top="1440" w:left="1440" w:right="144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after="200" w:line="276" w:lineRule="auto"/>
      <w:jc w:val="both"/>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DOLE I-Text Nos.: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-29844</wp:posOffset>
              </wp:positionH>
              <wp:positionV relativeFrom="paragraph">
                <wp:posOffset>635</wp:posOffset>
              </wp:positionV>
              <wp:extent cx="6082665" cy="12700"/>
              <wp:effectExtent b="0" l="0" r="0" t="0"/>
              <wp:wrapNone/>
              <wp:docPr id="1" name=""/>
              <a:graphic>
                <a:graphicData uri="http://schemas.microsoft.com/office/word/2010/wordprocessingShape">
                  <wps:wsp>
                    <wps:cNvCnPr/>
                    <wps:spPr>
                      <a:xfrm>
                        <a:off x="2304668" y="3780000"/>
                        <a:ext cx="608266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-29844</wp:posOffset>
              </wp:positionH>
              <wp:positionV relativeFrom="paragraph">
                <wp:posOffset>635</wp:posOffset>
              </wp:positionV>
              <wp:extent cx="6082665"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082665" cy="12700"/>
                      </a:xfrm>
                      <a:prstGeom prst="rect"/>
                      <a:ln/>
                    </pic:spPr>
                  </pic:pic>
                </a:graphicData>
              </a:graphic>
            </wp:anchor>
          </w:drawing>
        </mc:Fallback>
      </mc:AlternateContent>
    </w:r>
  </w:p>
  <w:tbl>
    <w:tblPr>
      <w:tblStyle w:val="Table3"/>
      <w:tblW w:w="9653.0" w:type="dxa"/>
      <w:jc w:val="left"/>
      <w:tblInd w:w="269.99999999999994" w:type="dxa"/>
      <w:tblLayout w:type="fixed"/>
      <w:tblLook w:val="0000"/>
    </w:tblPr>
    <w:tblGrid>
      <w:gridCol w:w="1800"/>
      <w:gridCol w:w="3600"/>
      <w:gridCol w:w="2610"/>
      <w:gridCol w:w="1643"/>
      <w:tblGridChange w:id="0">
        <w:tblGrid>
          <w:gridCol w:w="1800"/>
          <w:gridCol w:w="3600"/>
          <w:gridCol w:w="2610"/>
          <w:gridCol w:w="1643"/>
        </w:tblGrid>
      </w:tblGridChange>
    </w:tblGrid>
    <w:tr>
      <w:trPr>
        <w:cantSplit w:val="0"/>
        <w:trHeight w:val="621" w:hRule="atLeast"/>
        <w:tblHeader w:val="0"/>
      </w:trPr>
      <w:tc>
        <w:tcPr>
          <w:vAlign w:val="top"/>
        </w:tcPr>
        <w:p w:rsidR="00000000" w:rsidDel="00000000" w:rsidP="00000000" w:rsidRDefault="00000000" w:rsidRPr="00000000" w14:paraId="0000006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DOLE Regional Office</w:t>
          </w:r>
        </w:p>
        <w:p w:rsidR="00000000" w:rsidDel="00000000" w:rsidP="00000000" w:rsidRDefault="00000000" w:rsidRPr="00000000" w14:paraId="0000006D">
          <w:pPr>
            <w:widowControl w:val="0"/>
            <w:spacing w:line="27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Aklan Field Office </w:t>
          </w:r>
        </w:p>
        <w:p w:rsidR="00000000" w:rsidDel="00000000" w:rsidP="00000000" w:rsidRDefault="00000000" w:rsidRPr="00000000" w14:paraId="0000006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Boracay Satellite Office</w:t>
          </w:r>
        </w:p>
        <w:p w:rsidR="00000000" w:rsidDel="00000000" w:rsidP="00000000" w:rsidRDefault="00000000" w:rsidRPr="00000000" w14:paraId="0000007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Antique Field Office</w:t>
          </w:r>
        </w:p>
        <w:p w:rsidR="00000000" w:rsidDel="00000000" w:rsidP="00000000" w:rsidRDefault="00000000" w:rsidRPr="00000000" w14:paraId="0000007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Capiz Field Office</w:t>
          </w:r>
        </w:p>
        <w:p w:rsidR="00000000" w:rsidDel="00000000" w:rsidP="00000000" w:rsidRDefault="00000000" w:rsidRPr="00000000" w14:paraId="00000072">
          <w:pPr>
            <w:widowControl w:val="0"/>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73">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09173276515, 09178351588</w:t>
          </w:r>
        </w:p>
        <w:p w:rsidR="00000000" w:rsidDel="00000000" w:rsidP="00000000" w:rsidRDefault="00000000" w:rsidRPr="00000000" w14:paraId="00000074">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09173276818  &amp; 09989795369</w:t>
          </w:r>
        </w:p>
        <w:p w:rsidR="00000000" w:rsidDel="00000000" w:rsidP="00000000" w:rsidRDefault="00000000" w:rsidRPr="00000000" w14:paraId="00000075">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09173273132</w:t>
          </w:r>
        </w:p>
        <w:p w:rsidR="00000000" w:rsidDel="00000000" w:rsidP="00000000" w:rsidRDefault="00000000" w:rsidRPr="00000000" w14:paraId="00000076">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09177144993</w:t>
          </w:r>
        </w:p>
        <w:p w:rsidR="00000000" w:rsidDel="00000000" w:rsidP="00000000" w:rsidRDefault="00000000" w:rsidRPr="00000000" w14:paraId="00000077">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09173275313</w:t>
          </w:r>
        </w:p>
        <w:p w:rsidR="00000000" w:rsidDel="00000000" w:rsidP="00000000" w:rsidRDefault="00000000" w:rsidRPr="00000000" w14:paraId="00000078">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09173275220</w:t>
          </w:r>
        </w:p>
      </w:tc>
      <w:tc>
        <w:tcPr>
          <w:vAlign w:val="top"/>
        </w:tcPr>
        <w:p w:rsidR="00000000" w:rsidDel="00000000" w:rsidP="00000000" w:rsidRDefault="00000000" w:rsidRPr="00000000" w14:paraId="00000079">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Capiz Field Office</w:t>
          </w:r>
        </w:p>
        <w:p w:rsidR="00000000" w:rsidDel="00000000" w:rsidP="00000000" w:rsidRDefault="00000000" w:rsidRPr="00000000" w14:paraId="0000007A">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Iloilo Field Office</w:t>
          </w:r>
        </w:p>
        <w:p w:rsidR="00000000" w:rsidDel="00000000" w:rsidP="00000000" w:rsidRDefault="00000000" w:rsidRPr="00000000" w14:paraId="0000007B">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Guimaras Field Office                                  </w:t>
          </w:r>
        </w:p>
        <w:p w:rsidR="00000000" w:rsidDel="00000000" w:rsidP="00000000" w:rsidRDefault="00000000" w:rsidRPr="00000000" w14:paraId="0000007C">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Negros Occ Field Office</w:t>
          </w:r>
        </w:p>
        <w:p w:rsidR="00000000" w:rsidDel="00000000" w:rsidP="00000000" w:rsidRDefault="00000000" w:rsidRPr="00000000" w14:paraId="0000007D">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Sagay Sattelite Office                                  </w:t>
          </w:r>
        </w:p>
      </w:tc>
      <w:tc>
        <w:tcPr>
          <w:vAlign w:val="top"/>
        </w:tcPr>
        <w:p w:rsidR="00000000" w:rsidDel="00000000" w:rsidP="00000000" w:rsidRDefault="00000000" w:rsidRPr="00000000" w14:paraId="0000007E">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09173275220</w:t>
          </w:r>
        </w:p>
        <w:p w:rsidR="00000000" w:rsidDel="00000000" w:rsidP="00000000" w:rsidRDefault="00000000" w:rsidRPr="00000000" w14:paraId="0000007F">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09173276719</w:t>
          </w:r>
        </w:p>
        <w:p w:rsidR="00000000" w:rsidDel="00000000" w:rsidP="00000000" w:rsidRDefault="00000000" w:rsidRPr="00000000" w14:paraId="00000080">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09176582101</w:t>
          </w:r>
        </w:p>
        <w:p w:rsidR="00000000" w:rsidDel="00000000" w:rsidP="00000000" w:rsidRDefault="00000000" w:rsidRPr="00000000" w14:paraId="00000081">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09173275919</w:t>
          </w:r>
        </w:p>
        <w:p w:rsidR="00000000" w:rsidDel="00000000" w:rsidP="00000000" w:rsidRDefault="00000000" w:rsidRPr="00000000" w14:paraId="00000082">
          <w:pPr>
            <w:widowControl w:val="0"/>
            <w:spacing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09173275717</w:t>
          </w:r>
        </w:p>
      </w:tc>
    </w:tr>
    <w:tr>
      <w:trPr>
        <w:cantSplit w:val="0"/>
        <w:trHeight w:val="0" w:hRule="atLeast"/>
        <w:tblHeader w:val="0"/>
      </w:trPr>
      <w:tc>
        <w:tcPr>
          <w:vAlign w:val="top"/>
        </w:tcPr>
        <w:p w:rsidR="00000000" w:rsidDel="00000000" w:rsidP="00000000" w:rsidRDefault="00000000" w:rsidRPr="00000000" w14:paraId="00000083">
          <w:pPr>
            <w:widowControl w:val="0"/>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84">
          <w:pPr>
            <w:widowControl w:val="0"/>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85">
          <w:pPr>
            <w:widowControl w:val="0"/>
            <w:spacing w:line="276" w:lineRule="auto"/>
            <w:rPr>
              <w:rFonts w:ascii="Calibri" w:cs="Calibri" w:eastAsia="Calibri" w:hAnsi="Calibri"/>
              <w:sz w:val="16"/>
              <w:szCs w:val="16"/>
            </w:rPr>
          </w:pPr>
          <w:r w:rsidDel="00000000" w:rsidR="00000000" w:rsidRPr="00000000">
            <w:rPr>
              <w:rtl w:val="0"/>
            </w:rPr>
          </w:r>
        </w:p>
      </w:tc>
      <w:tc>
        <w:tcPr>
          <w:vAlign w:val="top"/>
        </w:tcPr>
        <w:p w:rsidR="00000000" w:rsidDel="00000000" w:rsidP="00000000" w:rsidRDefault="00000000" w:rsidRPr="00000000" w14:paraId="00000086">
          <w:pPr>
            <w:widowControl w:val="0"/>
            <w:spacing w:line="276" w:lineRule="auto"/>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5013960</wp:posOffset>
          </wp:positionH>
          <wp:positionV relativeFrom="paragraph">
            <wp:posOffset>127635</wp:posOffset>
          </wp:positionV>
          <wp:extent cx="654685" cy="68262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54685" cy="682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231139</wp:posOffset>
          </wp:positionH>
          <wp:positionV relativeFrom="paragraph">
            <wp:posOffset>110489</wp:posOffset>
          </wp:positionV>
          <wp:extent cx="720090" cy="676275"/>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20090" cy="676275"/>
                  </a:xfrm>
                  <a:prstGeom prst="rect"/>
                  <a:ln/>
                </pic:spPr>
              </pic:pic>
            </a:graphicData>
          </a:graphic>
        </wp:anchor>
      </w:drawing>
    </w:r>
  </w:p>
  <w:p w:rsidR="00000000" w:rsidDel="00000000" w:rsidP="00000000" w:rsidRDefault="00000000" w:rsidRPr="00000000" w14:paraId="00000065">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LABOR AND EMPLOYMENT</w:t>
    </w:r>
    <w:r w:rsidDel="00000000" w:rsidR="00000000" w:rsidRPr="00000000">
      <w:rPr>
        <w:rtl w:val="0"/>
      </w:rPr>
    </w:r>
  </w:p>
  <w:p w:rsidR="00000000" w:rsidDel="00000000" w:rsidP="00000000" w:rsidRDefault="00000000" w:rsidRPr="00000000" w14:paraId="00000066">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Regional Office NIR</w:t>
    </w:r>
  </w:p>
  <w:p w:rsidR="00000000" w:rsidDel="00000000" w:rsidP="00000000" w:rsidRDefault="00000000" w:rsidRPr="00000000" w14:paraId="00000067">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NEGROS OCCIDENTAL FIELD OFFICE</w:t>
    </w:r>
  </w:p>
  <w:p w:rsidR="00000000" w:rsidDel="00000000" w:rsidP="00000000" w:rsidRDefault="00000000" w:rsidRPr="00000000" w14:paraId="00000068">
    <w:pPr>
      <w:tabs>
        <w:tab w:val="center" w:leader="none" w:pos="4680"/>
        <w:tab w:val="right" w:leader="none" w:pos="9360"/>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SWLC Building, Cottage Road, Bacolod City</w:t>
    </w:r>
  </w:p>
  <w:p w:rsidR="00000000" w:rsidDel="00000000" w:rsidP="00000000" w:rsidRDefault="00000000" w:rsidRPr="00000000" w14:paraId="000000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 Nos. (034) 434-2219/434-2218 Telefax Nos. (034) 434-2214/7091690</w:t>
    </w:r>
  </w:p>
  <w:p w:rsidR="00000000" w:rsidDel="00000000" w:rsidP="00000000" w:rsidRDefault="00000000" w:rsidRPr="00000000" w14:paraId="0000006A">
    <w:pPr>
      <w:tabs>
        <w:tab w:val="center" w:leader="none" w:pos="4680"/>
        <w:tab w:val="right" w:leader="none" w:pos="9360"/>
      </w:tabs>
      <w:spacing w:line="240" w:lineRule="auto"/>
      <w:jc w:val="center"/>
      <w:rPr>
        <w:b w:val="1"/>
        <w:bCs w:val="1"/>
        <w:sz w:val="26"/>
        <w:szCs w:val="26"/>
      </w:rPr>
    </w:pPr>
    <w:r w:rsidDel="00000000" w:rsidR="00000000" w:rsidRPr="00000000">
      <w:rPr>
        <w:rFonts w:ascii="Times New Roman" w:cs="Times New Roman" w:eastAsia="Times New Roman" w:hAnsi="Times New Roman"/>
        <w:sz w:val="20"/>
        <w:szCs w:val="20"/>
        <w:rtl w:val="0"/>
      </w:rPr>
      <w:t xml:space="preserve">Email : </w:t>
    </w:r>
    <w:hyperlink r:id="rId3">
      <w:r w:rsidDel="00000000" w:rsidR="00000000" w:rsidRPr="00000000">
        <w:rPr>
          <w:rFonts w:ascii="Times New Roman" w:cs="Times New Roman" w:eastAsia="Times New Roman" w:hAnsi="Times New Roman"/>
          <w:color w:val="0000ff"/>
          <w:sz w:val="20"/>
          <w:szCs w:val="20"/>
          <w:u w:val="single"/>
          <w:rtl w:val="0"/>
        </w:rPr>
        <w:t xml:space="preserve">dole_bdo@yahoo.com</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101" Type="http://schemas.openxmlformats.org/officeDocument/2006/relationships/image" Target="media/shot1.png"/><Relationship Id="rId102" Type="http://schemas.openxmlformats.org/officeDocument/2006/relationships/image" Target="media/shot2.png"/><Relationship Id="rId103" Type="http://schemas.openxmlformats.org/officeDocument/2006/relationships/image" Target="media/shot3.png"/><Relationship Id="rId104" Type="http://schemas.openxmlformats.org/officeDocument/2006/relationships/image" Target="media/shot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hyperlink" Target="mailto:dole_bdo@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