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5252" w:sz="28" w:space="10"/>
        </w:pBdr>
        <w:spacing w:before="1400"/>
      </w:pPr>
      <w:r>
        <w:t xml:space="preserve"/>
      </w:r>
    </w:p>
    <w:p>
      <w:pPr>
        <w:spacing w:after="0" w:before="480"/>
      </w:pPr>
      <w:r>
        <w:rPr>
          <w:rFonts w:ascii="맑은 고딕" w:cs="맑은 고딕" w:eastAsia="맑은 고딕" w:hAnsi="맑은 고딕"/>
          <w:b/>
          <w:bCs/>
          <w:color w:val="888888"/>
          <w:sz w:val="30"/>
          <w:szCs w:val="30"/>
        </w:rPr>
        <w:t xml:space="preserve">현대카드 / 현대커머셜</w:t>
      </w:r>
    </w:p>
    <w:p>
      <w:pPr>
        <w:spacing w:after="0" w:before="120"/>
      </w:pPr>
      <w:r>
        <w:rPr>
          <w:rFonts w:ascii="맑은 고딕" w:cs="맑은 고딕" w:eastAsia="맑은 고딕" w:hAnsi="맑은 고딕"/>
          <w:b/>
          <w:bCs/>
          <w:color w:val="1A1A1A"/>
          <w:sz w:val="56"/>
          <w:szCs w:val="56"/>
        </w:rPr>
        <w:t xml:space="preserve">2026년 팀 세미나</w:t>
      </w:r>
    </w:p>
    <w:p>
      <w:pPr>
        <w:spacing w:after="0" w:before="60"/>
      </w:pPr>
      <w:r>
        <w:rPr>
          <w:rFonts w:ascii="맑은 고딕" w:cs="맑은 고딕" w:eastAsia="맑은 고딕" w:hAnsi="맑은 고딕"/>
          <w:b/>
          <w:bCs/>
          <w:color w:val="FF5252"/>
          <w:sz w:val="40"/>
          <w:szCs w:val="40"/>
        </w:rPr>
        <w:t xml:space="preserve">생성형 AI 활용역량 강화 워크샵</w:t>
      </w:r>
    </w:p>
    <w:p>
      <w:pPr>
        <w:spacing w:after="0" w:before="240"/>
      </w:pPr>
      <w:r>
        <w:rPr>
          <w:rFonts w:ascii="맑은 고딕" w:cs="맑은 고딕" w:eastAsia="맑은 고딕" w:hAnsi="맑은 고딕"/>
          <w:color w:val="888888"/>
          <w:sz w:val="28"/>
          <w:szCs w:val="28"/>
        </w:rPr>
        <w:t xml:space="preserve">제안서 (기술자료)</w:t>
      </w:r>
    </w:p>
    <w:p>
      <w:pPr>
        <w:pBdr>
          <w:top w:val="single" w:color="C8902A" w:sz="14" w:space="10"/>
        </w:pBdr>
        <w:spacing w:before="1200"/>
      </w:pPr>
      <w:r>
        <w:t xml:space="preserve"/>
      </w:r>
    </w:p>
    <w:p>
      <w:pPr>
        <w:spacing w:before="360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2026년 6월</w:t>
      </w:r>
    </w:p>
    <w:p>
      <w:pPr>
        <w:spacing w:before="40"/>
      </w:pPr>
      <w:r>
        <w:rPr>
          <w:rFonts w:ascii="맑은 고딕" w:cs="맑은 고딕" w:eastAsia="맑은 고딕" w:hAnsi="맑은 고딕"/>
          <w:b/>
          <w:bCs/>
          <w:color w:val="FF5252"/>
          <w:sz w:val="30"/>
          <w:szCs w:val="30"/>
        </w:rPr>
        <w:t xml:space="preserve">모두의연구소</w:t>
      </w:r>
    </w:p>
    <w:p>
      <w:pPr>
        <w:spacing w:before="8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대표이사 김승일</w:t>
      </w:r>
    </w:p>
    <w:p>
      <w:pPr>
        <w:spacing w:before="600"/>
        <w:jc w:val="both"/>
      </w:pPr>
      <w:r>
        <w:rPr>
          <w:rFonts w:ascii="맑은 고딕" w:cs="맑은 고딕" w:eastAsia="맑은 고딕" w:hAnsi="맑은 고딕"/>
          <w:i/>
          <w:iCs/>
          <w:color w:val="888888"/>
          <w:sz w:val="16"/>
          <w:szCs w:val="16"/>
        </w:rPr>
        <w:t xml:space="preserve">본 제안서는 「2026 현대카드/커머셜 팀 세미나 계약」 제안 요청서(RFP)에 따라 제출하는 기술 제안 자료이며, 견적(가격) 정보는 구매시스템 내 가격검토자료로 별도 제출합니다.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5252" w:sz="10" w:space="6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목   차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1. 제안 개요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2. 사업 이해 및 추진 방향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3. 프로그램 설계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4. 프로그램 개요 및 학습 성과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5. 실습환경 및 운영 방안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6. 투입 인력 및 인프라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7. 운영 일정 및 회차 운영 계획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8. 금융권 수행 포트폴리오</w:t>
      </w:r>
    </w:p>
    <w:p>
      <w:pPr>
        <w:tabs>
          <w:tab w:val="right" w:pos="9026"/>
        </w:tabs>
        <w:spacing w:after="9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9. 사후 지원 방안</w:t>
      </w:r>
    </w:p>
    <w:p>
      <w:r>
        <w:br w:type="page"/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제안 개요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제안의 핵심 메시지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모두의연구소는 금융권 망분리 환경이라는 제약을 정면으로 다루는 현실적 교육 설계, PBL(Project Based Learning) 기반의 팀별 결과물 도출, 그리고 360명·다회차에 걸친 품질 일관성 확보라는 세 가지 축으로 본 세미나를 제안합니다.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① 망분리 환경 대응</w:t>
            </w:r>
          </w:p>
        </w:tc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② 결과물 도출형 PBL</w:t>
            </w:r>
          </w:p>
        </w:tc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③ 장기 안정 운영</w:t>
            </w:r>
          </w:p>
        </w:tc>
      </w:tr>
      <w:tr>
        <w:tc>
          <w:tcPr>
            <w:tcW w:type="dxa" w:w="3008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금융권에서 실제 적용 가능한</w:t>
            </w:r>
          </w:p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시나리오 중심 교육 설계</w:t>
            </w:r>
          </w:p>
        </w:tc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교육 종료 시점에</w:t>
            </w:r>
          </w:p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팀별 LLM 적용 결과물 도출</w:t>
            </w:r>
          </w:p>
        </w:tc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 강사 장기 배정으로</w:t>
            </w:r>
          </w:p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 회차 품질 일관성 확보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제안사 개요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기관명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모두의연구소 (Modulabs) / 대표이사 김승일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자격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K-하이테크플랫폼(KHP) 프로그램 운영 기관 (신청자격 충족)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전문 영역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생성형 AI·LLM 실무 교육, 기업·대학 대상 AI 전환(AX) 역량강화 프로그램 기획·운영</w:t>
      </w:r>
    </w:p>
    <w:p>
      <w:pPr>
        <w:spacing w:after="80" w:line="276"/>
        <w:ind w:left="360"/>
      </w:pPr>
      <w:r>
        <w:rPr>
          <w:rFonts w:ascii="맑은 고딕" w:cs="맑은 고딕" w:eastAsia="맑은 고딕" w:hAnsi="맑은 고딕"/>
          <w:i/>
          <w:iCs/>
          <w:color w:val="FF5252"/>
          <w:sz w:val="19"/>
          <w:szCs w:val="19"/>
        </w:rPr>
        <w:t xml:space="preserve">〔보완 필요〕 회사현황 첨부서류와 정합되도록 설립연도·주요 실적 수치(누적 교육 인원/기업 수 등)를 확정 기재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사업 이해 및 추진 방향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사업 목적에 대한 이해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본 세미나는 현대카드/현대커머셜 전사 차원의 LLM 이해도를 높이고 AI 기반 협업 문화를 내재화하는 것을 목적으로 합니다. 나아가 팀 단위로 LLM 적용 과제를 발굴하고 활용 역량과 협업 스킬을 강화하여, 교육 종료 시점에 각 조직이 선정한 과제에 LLM을 적용한 결과물을 도출하는 것을 지향합니다.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핵심 과제 인식 — 금융권 망분리 환경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금융권 망분리 정책으로 사내에서 활용 가능한 AI 기능에 제한이 있는 환경입니다. 따라서 본 프로그램은 단순 도구 실습에 그치지 않고, ①금융권에서 이미 검증된 LLM 도입 사례와 활용 가능 영역을 제시하고, ②향후 AI 도입 환경에서 일하기 위한 팀 단위의 고민을 유도하며, ③외부 실습 환경을 통해 실제 적용 경험까지 제공하는 방식으로 제약을 우회합니다.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추진 방향 3축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실현 가능성 중심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망분리 전제 하에서 곧바로 적용 가능한 업무 시나리오와 금융권 레퍼런스 중심으로 커리큘럼을 구성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결과물 중심(PBL)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팀별 업무 페인포인트 → 과제 정의 → PoC 설계 → 적용 실습 → 결과 시연의 흐름으로 가시적 산출물을 도출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운영 일관성 중심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360명 다회차 운영에서 강사별 5회차 이상 동일 배정으로 교육 품질의 편차를 최소화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프로그램 설계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교육 목표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생성형 AI의 개념을 이해하고, 실습을 통해 AI의 활용 범위를 체득하여, AI로 개선할 수 있는 우리 팀의 업무를 직접 찾고 적용하는 것을 목표로 합니다. PBL 워크샵 형태로 진행하여 학습과 동시에 팀별 결과물이 산출되도록 설계합니다.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모듈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26"/>
        <w:gridCol w:w="3000"/>
      </w:tblGrid>
      <w:tr>
        <w:tc>
          <w:tcPr>
            <w:tcW w:type="dxa" w:w="1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모듈</w:t>
            </w:r>
          </w:p>
        </w:tc>
        <w:tc>
          <w:tcPr>
            <w:tcW w:type="dxa" w:w="4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형태</w:t>
            </w:r>
          </w:p>
        </w:tc>
      </w:tr>
      <w:tr>
        <w:tc>
          <w:tcPr>
            <w:tcW w:type="dxa" w:w="1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tcW w:type="dxa" w:w="4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생성형 AI·LLM 개요 + 바이브 코딩 시대 업무 변화 · 금융권 도입 현황</w:t>
            </w:r>
          </w:p>
        </w:tc>
        <w:tc>
          <w:tcPr>
            <w:tcW w:type="dxa" w:w="3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강의</w:t>
            </w:r>
          </w:p>
        </w:tc>
      </w:tr>
      <w:tr>
        <w:tc>
          <w:tcPr>
            <w:tcW w:type="dxa" w:w="1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tcW w:type="dxa" w:w="4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 업무 페인포인트 발굴 + AI 자동화 과제 선정 워크샵</w:t>
            </w:r>
          </w:p>
        </w:tc>
        <w:tc>
          <w:tcPr>
            <w:tcW w:type="dxa" w:w="3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워크샵</w:t>
            </w:r>
          </w:p>
        </w:tc>
      </w:tr>
      <w:tr>
        <w:tc>
          <w:tcPr>
            <w:tcW w:type="dxa" w:w="1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tcW w:type="dxa" w:w="4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바이브 코딩 실습 — AI에게 업무 도구 만들게 시키기 (과제 정의 + 설계)</w:t>
            </w:r>
          </w:p>
        </w:tc>
        <w:tc>
          <w:tcPr>
            <w:tcW w:type="dxa" w:w="3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실습·워크샵</w:t>
            </w:r>
          </w:p>
        </w:tc>
      </w:tr>
      <w:tr>
        <w:tc>
          <w:tcPr>
            <w:tcW w:type="dxa" w:w="1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tcW w:type="dxa" w:w="4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팀별 Codex 워크샵 — 과제 기반 도구 제작 + 강사 밀착 멘토링</w:t>
            </w:r>
          </w:p>
        </w:tc>
        <w:tc>
          <w:tcPr>
            <w:tcW w:type="dxa" w:w="3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1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M5</w:t>
            </w:r>
          </w:p>
        </w:tc>
        <w:tc>
          <w:tcPr>
            <w:tcW w:type="dxa" w:w="4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팀별 산출물 발표·상호 피드백 + 사후 내재화 로드맵 수립</w:t>
            </w:r>
          </w:p>
        </w:tc>
        <w:tc>
          <w:tcPr>
            <w:tcW w:type="dxa" w:w="3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발표·정리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타임테이블 — 1박 2일 과정 (최대 14H)</w:t>
      </w:r>
    </w:p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color w:val="C8902A"/>
          <w:sz w:val="20"/>
          <w:szCs w:val="20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Day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시간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형태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09:30–10:00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오리엔테이션 · 팀 빌딩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도입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10:00–11:30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[M1] 생성형 AI·LLM 개요 + 바이브 코딩 시대 업무 변화 · 금융권 도입 현황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강의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11:30–12:30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[M2] 우리 팀 업무 페인포인트 도출 워크샵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워크샵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12:30–13:30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중식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휴식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13:30–14:30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[M3] 바이브 코딩 입문 — AI에게 업무 도구 만들게 시키기 (외부 샌드박스)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14:30–16:00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[M3] Codex 워크샵 설계 — 팀 과제 정의 · 도구 기획 · 기대효과 작성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워크샵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16:00–17:30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[M4] 팀별 Codex 워크샵 1차 — 과제 기반 도구 제작 (프로토타이핑)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17:30–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석식 · 네트워킹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휴식</w:t>
            </w:r>
          </w:p>
        </w:tc>
      </w:tr>
    </w:tbl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color w:val="C8902A"/>
          <w:sz w:val="20"/>
          <w:szCs w:val="20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Day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시간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형태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09:00–11:00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[M4] 팀별 Codex 워크샵 2차 — 도구 고도화 + 강사 밀착 멘토링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11:00–12:00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[M5] 결과물 정리 · 발표자료 준비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워크샵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12:00–13:00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중식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7F6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휴식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13:00–15:00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[M5] 팀별 PoC 결과 공유 &amp; 상호·강사 피드백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발표</w:t>
            </w:r>
          </w:p>
        </w:tc>
      </w:tr>
      <w:tr>
        <w:tc>
          <w:tcPr>
            <w:tcW w:type="dxa" w:w="22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15:00–16:00</w:t>
            </w:r>
          </w:p>
        </w:tc>
        <w:tc>
          <w:tcPr>
            <w:tcW w:type="dxa" w:w="48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[M5] 금융권 AI 도입 환경에서의 팀 운영 전략 + 사후 적용 로드맵</w:t>
            </w:r>
          </w:p>
        </w:tc>
        <w:tc>
          <w:tcPr>
            <w:tcW w:type="dxa" w:w="20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정리</w:t>
            </w:r>
          </w:p>
        </w:tc>
      </w:tr>
    </w:tbl>
    <w:p>
      <w:pPr>
        <w:spacing w:after="120" w:before="80" w:line="288"/>
        <w:jc w:val="both"/>
      </w:pPr>
      <w:r>
        <w:rPr>
          <w:rFonts w:ascii="맑은 고딕" w:cs="맑은 고딕" w:eastAsia="맑은 고딕" w:hAnsi="맑은 고딕"/>
          <w:b/>
          <w:bCs/>
          <w:color w:val="FF5252"/>
          <w:sz w:val="19"/>
          <w:szCs w:val="19"/>
        </w:rPr>
        <w:t xml:space="preserve">※ 1일 과정 옵션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RFP 허용 사항에 따라, M1~M3을 압축하고 Codex 워크샵 기초 과제 설계까지 도달하는 7H 단축형 과정으로도 제공 가능합니다. 운영 환경 변동 시 동일한 학습 흐름을 유지한 채 시간 배분을 조정합니다.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프로그램 개요 및 학습 성과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3대 성과 목표 및 달성 메커니즘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성과 목표</w:t>
            </w:r>
          </w:p>
        </w:tc>
        <w:tc>
          <w:tcPr>
            <w:tcW w:type="dxa" w:w="64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달성 메커니즘</w:t>
            </w:r>
          </w:p>
        </w:tc>
      </w:tr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LLM·생성형 AI 이해도 향상</w:t>
            </w:r>
          </w:p>
        </w:tc>
        <w:tc>
          <w:tcPr>
            <w:tcW w:type="dxa" w:w="64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금융권 맞춤 개념 강의 + 도입 사례 분석으로 막연한 이해를 업무 맥락의 이해로 전환</w:t>
            </w:r>
          </w:p>
        </w:tc>
      </w:tr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AI 기반 협업 문화 정착</w:t>
            </w:r>
          </w:p>
        </w:tc>
        <w:tc>
          <w:tcPr>
            <w:tcW w:type="dxa" w:w="64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 단위 PBL 진행으로 과제 발굴·역할 분담·결과 공유의 협업 경험을 직접 체득</w:t>
            </w:r>
          </w:p>
        </w:tc>
      </w:tr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실무 적용 역량 강화</w:t>
            </w:r>
          </w:p>
        </w:tc>
        <w:tc>
          <w:tcPr>
            <w:tcW w:type="dxa" w:w="64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외부 실습 환경에서 PoC를 직접 설계·구현하여 “해본 경험”을 확보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팀별 산출물(PoC) 정의 및 시연 지원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교육 종료 시 각 팀은 다음을 산출물로 도출하며, 마지막 세션에서 시연·발표합니다.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① 우리 팀 AI 적용 과제 정의서 (대상 업무 · 페인포인트 · 적용 시나리오)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② LLM 적용 PoC 프로토타입 (프롬프트 · 워크플로우 · 산출 예시)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③ 향후 적용 로드맵 (망분리 환경에서의 단계적 도입안)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실습환경 및 운영 방안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실습 계정 및 장비 지원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생성형 AI 유료 계정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교육 전용 외부 샌드박스 환경에 유료 계정을 사전 발급·세팅하여 제공(망분리 사내 환경 부담 없이 실습 진행)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실습용 장비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노트북·교육장 지원 가능 (자체 교육장 및 실습용 PC 보유)</w:t>
      </w:r>
    </w:p>
    <w:p>
      <w:pPr>
        <w:spacing w:after="80" w:line="276"/>
        <w:ind w:left="360"/>
      </w:pPr>
      <w:r>
        <w:rPr>
          <w:rFonts w:ascii="맑은 고딕" w:cs="맑은 고딕" w:eastAsia="맑은 고딕" w:hAnsi="맑은 고딕"/>
          <w:i/>
          <w:iCs/>
          <w:color w:val="FF5252"/>
          <w:sz w:val="19"/>
          <w:szCs w:val="19"/>
        </w:rPr>
        <w:t xml:space="preserve">〔보완 필요〕 자체 교육장/PC 보유 현황 및 외부 샌드박스 제공 방식(계정 수·도구 종류)을 실제 가용 범위로 확정 기재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교육 중 오류·문의 대응 방안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보조강사 배치 : 실습 세션 중 회차당 보조강사를 배치하여 실시간 1:N 기술 지원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헬프데스크 운영 : 계정·접속·도구 오류에 대한 즉시 대응 채널 및 사전 점검 체크리스트 운영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사전 환경 점검 : 교육 전일 계정·도구 작동 사전 테스트로 당일 리스크 최소화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투입 인력 및 인프라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강사진 구성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회차별로 메인 강사 1인과 보조 강사를 배치하여 강의·실습·멘토링을 분담합니다. 강사진은 생성형 AI 실무 교육 경험과 금융·기업 교육 경험을 보유한 인력으로 구성합니다.</w:t>
      </w:r>
    </w:p>
    <w:p>
      <w:pPr>
        <w:spacing w:after="80" w:line="276"/>
        <w:ind w:left="360"/>
      </w:pPr>
      <w:r>
        <w:rPr>
          <w:rFonts w:ascii="맑은 고딕" w:cs="맑은 고딕" w:eastAsia="맑은 고딕" w:hAnsi="맑은 고딕"/>
          <w:i/>
          <w:iCs/>
          <w:color w:val="FF5252"/>
          <w:sz w:val="19"/>
          <w:szCs w:val="19"/>
        </w:rPr>
        <w:t xml:space="preserve">〔메인 강사 추천 : 김동학 / 풀스택 개발자, 하네스 엔지니어링 백과사전 저자, 바이브코딩 Facebook 커뮤니티 운영자, AI 에이전트 길드 운영진. 실무 중심 기업 AI 워크샵 다수 진행. ※ 보조 강사 프로필은 계약 확정 후 별도 제출 예정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동일 강사 장기 배정 운영안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우대조건(강사별 5회차 이상)에 대응하여, 강사별 회차 배정 매트릭스를 운영하여 동일 강사가 다회차를 연속 담당하도록 설계합니다. 이를 통해 회차 간 교육 품질의 편차를 줄이고 누적된 운영 노하우를 후속 회차에 반영합니다.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투입 인력 R&amp;R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담당 업무</w:t>
            </w:r>
          </w:p>
        </w:tc>
      </w:tr>
      <w:tr>
        <w:tc>
          <w:tcPr>
            <w:tcW w:type="dxa" w:w="2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총괄 PM</w:t>
            </w:r>
          </w:p>
        </w:tc>
        <w:tc>
          <w:tcPr>
            <w:tcW w:type="dxa" w:w="6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전체 일정·회차 운영 총괄, 고객 커뮤니케이션 단일 창구</w:t>
            </w:r>
          </w:p>
        </w:tc>
      </w:tr>
      <w:tr>
        <w:tc>
          <w:tcPr>
            <w:tcW w:type="dxa" w:w="2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메인 강사</w:t>
            </w:r>
          </w:p>
        </w:tc>
        <w:tc>
          <w:tcPr>
            <w:tcW w:type="dxa" w:w="6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강의·워크샵 진행, PoC 설계 지도</w:t>
            </w:r>
          </w:p>
        </w:tc>
      </w:tr>
      <w:tr>
        <w:tc>
          <w:tcPr>
            <w:tcW w:type="dxa" w:w="2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보조 강사</w:t>
            </w:r>
          </w:p>
        </w:tc>
        <w:tc>
          <w:tcPr>
            <w:tcW w:type="dxa" w:w="6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 밀착 지원, 오류·문의 실시간 대응</w:t>
            </w:r>
          </w:p>
        </w:tc>
      </w:tr>
      <w:tr>
        <w:tc>
          <w:tcPr>
            <w:tcW w:type="dxa" w:w="24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운영 매니저</w:t>
            </w:r>
          </w:p>
        </w:tc>
        <w:tc>
          <w:tcPr>
            <w:tcW w:type="dxa" w:w="66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교육환경 셋팅, 계정·장비 사전 점검, 출결·만족도 관리</w:t>
            </w:r>
          </w:p>
        </w:tc>
      </w:tr>
    </w:tbl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운영 일정 및 회차 운영 계획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회차 운영 시나리오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총 360명을 회차당 최소 30명 기준으로 편성하여 약 12회차로 운영합니다. 팀장~팀원급 혼합 편성을 기본으로 하되, 조직 구성에 따라 팀 단위 묶음 편성도 가능합니다.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총 대상</w:t>
            </w:r>
          </w:p>
        </w:tc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회차당 인원</w:t>
            </w:r>
          </w:p>
        </w:tc>
        <w:tc>
          <w:tcPr>
            <w:tcW w:type="dxa" w:w="3008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예상 회차</w:t>
            </w:r>
          </w:p>
        </w:tc>
      </w:tr>
      <w:tr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360명</w:t>
            </w:r>
          </w:p>
        </w:tc>
        <w:tc>
          <w:tcPr>
            <w:tcW w:type="dxa" w:w="3009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최소 30명</w:t>
            </w:r>
          </w:p>
        </w:tc>
        <w:tc>
          <w:tcPr>
            <w:tcW w:type="dxa" w:w="3008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12회차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착수 일정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7월 초 : 커리큘럼 최종 확정 및 1차 회차 사전 점검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7월 중 : 교육 개시 (RFP 희망 일정 충족)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이후 : 연간 계약 기간 내 회차별 순차 운영 (계약기간 예상 2026.6.22~2027.6.21)</w:t>
      </w:r>
    </w:p>
    <w:p>
      <w:pPr>
        <w:spacing w:after="80" w:line="276"/>
        <w:ind w:left="360"/>
      </w:pPr>
      <w:r>
        <w:rPr>
          <w:rFonts w:ascii="맑은 고딕" w:cs="맑은 고딕" w:eastAsia="맑은 고딕" w:hAnsi="맑은 고딕"/>
          <w:i/>
          <w:iCs/>
          <w:color w:val="FF5252"/>
          <w:sz w:val="19"/>
          <w:szCs w:val="19"/>
        </w:rPr>
        <w:t xml:space="preserve">〔보완 필요〕 현대카드/커머셜 교육 운영팀과 협의해 월별 회차 배정(예: 월 2~3회차) 확정 후 연간 운영 캘린더 첨부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8.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금융권 수행 포트폴리오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금융권 협업 경험</w:t>
      </w:r>
    </w:p>
    <w:p>
      <w:pPr>
        <w:spacing w:after="120" w:before="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모두의연구소는 금융결제 분야 기관과의 MOU 및 프로젝트 협업 경험을 보유하고 있으며, 금융권 특유의 보안·망분리 환경을 고려한 교육 설계 역량을 갖추고 있습니다.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FF5252"/>
          <w:sz w:val="22"/>
          <w:szCs w:val="22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주요 수행 실적 (최근 3년)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700"/>
        <w:gridCol w:w="2126"/>
      </w:tblGrid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고객사</w:t>
            </w:r>
          </w:p>
        </w:tc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교육 내용</w:t>
            </w:r>
          </w:p>
        </w:tc>
        <w:tc>
          <w:tcPr>
            <w:tcW w:type="dxa" w:w="17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대상/규모</w:t>
            </w:r>
          </w:p>
        </w:tc>
        <w:tc>
          <w:tcPr>
            <w:tcW w:type="dxa" w:w="21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5D8B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수행 시기</w:t>
            </w:r>
          </w:p>
        </w:tc>
      </w:tr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KCB (코리아크레딧뷰로)</w:t>
            </w:r>
          </w:p>
        </w:tc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업무 파트너 과정 — 비개발자·개발자 LLM 실무교육 (폐쇄망 Qwen Code 환경 설계)</w:t>
            </w:r>
          </w:p>
        </w:tc>
        <w:tc>
          <w:tcPr>
            <w:tcW w:type="dxa" w:w="17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비개발자·개발자 혼합</w:t>
            </w:r>
          </w:p>
        </w:tc>
        <w:tc>
          <w:tcPr>
            <w:tcW w:type="dxa" w:w="21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2026.05</w:t>
            </w:r>
          </w:p>
        </w:tc>
      </w:tr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카카오페이</w:t>
            </w:r>
          </w:p>
        </w:tc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단계별 AI 역량강화 교육 (프롬프트 엔지니어링 중급 · 인프라 기반 역량강화 · PM 대상 AI 활용)</w:t>
            </w:r>
          </w:p>
        </w:tc>
        <w:tc>
          <w:tcPr>
            <w:tcW w:type="dxa" w:w="17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PM·전직군</w:t>
            </w:r>
          </w:p>
        </w:tc>
        <w:tc>
          <w:tcPr>
            <w:tcW w:type="dxa" w:w="21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2025.09~2026.02</w:t>
            </w:r>
          </w:p>
        </w:tc>
      </w:tr>
      <w:tr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은행권청년창업재단 (디캠프)</w:t>
            </w:r>
          </w:p>
        </w:tc>
        <w:tc>
          <w:tcPr>
            <w:tcW w:type="dxa" w:w="26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AI 실무도구 활용 교육 — 클로드 코드 활용입문 3주 과정 (기획~산출물 도출 PBL 구조)</w:t>
            </w:r>
          </w:p>
        </w:tc>
        <w:tc>
          <w:tcPr>
            <w:tcW w:type="dxa" w:w="1700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전직군 약 20명</w:t>
            </w:r>
          </w:p>
        </w:tc>
        <w:tc>
          <w:tcPr>
            <w:tcW w:type="dxa" w:w="2126"/>
            <w:tcBorders>
              <w:top w:val="single" w:color="C8902A" w:sz="2"/>
              <w:left w:val="single" w:color="C8902A" w:sz="2"/>
              <w:bottom w:val="single" w:color="C8902A" w:sz="2"/>
              <w:right w:val="single" w:color="C8902A" w:sz="2"/>
            </w:tcBorders>
            <w:shd w:fill="FFFD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2026.04~05</w:t>
            </w:r>
          </w:p>
        </w:tc>
      </w:tr>
    </w:tbl>
    <w:p>
      <w:pPr>
        <w:spacing w:after="80" w:line="276"/>
        <w:ind w:left="360"/>
      </w:pPr>
      <w:r>
        <w:rPr>
          <w:rFonts w:ascii="맑은 고딕" w:cs="맑은 고딕" w:eastAsia="맑은 고딕" w:hAnsi="맑은 고딕"/>
          <w:i/>
          <w:iCs/>
          <w:color w:val="FF5252"/>
          <w:sz w:val="19"/>
          <w:szCs w:val="19"/>
        </w:rPr>
        <w:t xml:space="preserve">〔※ 상기 실적 외 금융결제원 MOU 기관 협업, 인터넷 전문은행 사내 AI 역량강화 세미나 등 비공개 레퍼런스 다수 보유. 비밀유지 대상 고객사는 발표회 Q&amp;A에서 별도 안내 가능합니다.</w:t>
      </w:r>
    </w:p>
    <w:p>
      <w:pPr>
        <w:pStyle w:val="Heading1"/>
        <w:pBdr>
          <w:bottom w:val="single" w:color="FF5252" w:sz="10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FF5252"/>
          <w:sz w:val="26"/>
          <w:szCs w:val="26"/>
        </w:rPr>
        <w:t xml:space="preserve">9. </w:t>
      </w: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사후 지원 방안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사후 교육자료 제공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강의자료·실습 가이드·프롬프트 모음 등 사후 학습자료 일체 제공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업무 적용 지원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교육 중 도출된 팀별 PoC의 후속 고도화를 위한 가이드 및 문의 대응 채널 운영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성과 측정·리포트 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회차별 만족도 조사 및 결과 리포트 제공(만족도·NPS·정성 피드백 포함)</w:t>
      </w:r>
    </w:p>
    <w:p>
      <w:pPr>
        <w:pBdr>
          <w:top w:val="single" w:color="C8902A" w:sz="8" w:space="8"/>
        </w:pBd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FF5252"/>
          <w:sz w:val="18"/>
          <w:szCs w:val="18"/>
        </w:rPr>
        <w:t xml:space="preserve">모두의연구소  |  Share Value, Grow Together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6E0" w:sz="4" w:space="4"/>
      </w:pBdr>
      <w:jc w:val="right"/>
    </w:pPr>
    <w:r>
      <w:rPr>
        <w:rFonts w:ascii="맑은 고딕" w:cs="맑은 고딕" w:eastAsia="맑은 고딕" w:hAnsi="맑은 고딕"/>
        <w:color w:val="888888"/>
        <w:sz w:val="15"/>
        <w:szCs w:val="15"/>
      </w:rPr>
      <w:t xml:space="preserve">현대카드/현대커머셜 2026 팀 세미나 제안서  |  모두의연구소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color w:val="FF5252"/>
      </w:r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2026-06-09T03:35:19.899Z</dcterms:created>
  <dcterms:modified xsi:type="dcterms:W3CDTF">2026-06-09T03:35:19.899Z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