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6AA0" w14:textId="0971A9D3" w:rsidR="00440E15" w:rsidRDefault="00CB3F21" w:rsidP="00EE1DC3">
      <w:pPr>
        <w:jc w:val="center"/>
        <w:rPr>
          <w:b/>
          <w:sz w:val="36"/>
          <w:szCs w:val="36"/>
          <w:u w:val="single"/>
        </w:rPr>
      </w:pPr>
      <w:r>
        <w:rPr>
          <w:b/>
          <w:sz w:val="36"/>
          <w:szCs w:val="36"/>
          <w:u w:val="single"/>
        </w:rPr>
        <w:t>Biost</w:t>
      </w:r>
      <w:r w:rsidR="005F46D8">
        <w:rPr>
          <w:b/>
          <w:sz w:val="36"/>
          <w:szCs w:val="36"/>
          <w:u w:val="single"/>
        </w:rPr>
        <w:t>at</w:t>
      </w:r>
      <w:r w:rsidR="003427A8">
        <w:rPr>
          <w:b/>
          <w:sz w:val="36"/>
          <w:szCs w:val="36"/>
          <w:u w:val="single"/>
        </w:rPr>
        <w:t>istics</w:t>
      </w:r>
      <w:r>
        <w:rPr>
          <w:b/>
          <w:sz w:val="36"/>
          <w:szCs w:val="36"/>
          <w:u w:val="single"/>
        </w:rPr>
        <w:t xml:space="preserve"> 521 </w:t>
      </w:r>
      <w:r w:rsidR="00EE1DC3" w:rsidRPr="00EE1DC3">
        <w:rPr>
          <w:b/>
          <w:sz w:val="36"/>
          <w:szCs w:val="36"/>
          <w:u w:val="single"/>
        </w:rPr>
        <w:t>Nutrition</w:t>
      </w:r>
      <w:r>
        <w:rPr>
          <w:b/>
          <w:sz w:val="36"/>
          <w:szCs w:val="36"/>
          <w:u w:val="single"/>
        </w:rPr>
        <w:t xml:space="preserve"> Lab</w:t>
      </w:r>
    </w:p>
    <w:p w14:paraId="78736563" w14:textId="4A4EA091" w:rsidR="008D4C60" w:rsidRPr="00D01023" w:rsidRDefault="008D4C60" w:rsidP="00EE1DC3">
      <w:pPr>
        <w:jc w:val="center"/>
        <w:rPr>
          <w:rFonts w:eastAsia="Times New Roman" w:cs="Times New Roman"/>
        </w:rPr>
      </w:pPr>
      <w:r>
        <w:rPr>
          <w:rFonts w:eastAsia="Times New Roman" w:cs="Times New Roman"/>
        </w:rPr>
        <w:t>Written by Andrew Guide, Matthew Zawistowski</w:t>
      </w:r>
    </w:p>
    <w:p w14:paraId="51FF701D" w14:textId="77777777" w:rsidR="00CC536C" w:rsidRDefault="00CC536C" w:rsidP="00EE1DC3">
      <w:r w:rsidRPr="00CB3F21">
        <w:rPr>
          <w:b/>
        </w:rPr>
        <w:t>NHANES Introduction</w:t>
      </w:r>
      <w:r>
        <w:t xml:space="preserve"> (</w:t>
      </w:r>
      <w:r w:rsidR="00CB3F21">
        <w:t xml:space="preserve">adapted from </w:t>
      </w:r>
      <w:hyperlink r:id="rId5" w:history="1">
        <w:r w:rsidR="00CB3F21" w:rsidRPr="0084659F">
          <w:rPr>
            <w:rStyle w:val="Hyperlink"/>
          </w:rPr>
          <w:t>https://www.cdc.gov/nchs/nhanes/about_nhanes.htm</w:t>
        </w:r>
      </w:hyperlink>
      <w:r>
        <w:t>)</w:t>
      </w:r>
    </w:p>
    <w:p w14:paraId="4F7CE944" w14:textId="70AD9D88" w:rsidR="0081461A" w:rsidRDefault="00CC536C" w:rsidP="0081461A">
      <w:pPr>
        <w:pStyle w:val="NormalWeb"/>
        <w:rPr>
          <w:rFonts w:asciiTheme="minorHAnsi" w:hAnsiTheme="minorHAnsi"/>
          <w:sz w:val="22"/>
          <w:szCs w:val="22"/>
        </w:rPr>
      </w:pPr>
      <w:r w:rsidRPr="0081461A">
        <w:rPr>
          <w:rFonts w:asciiTheme="minorHAnsi" w:hAnsiTheme="minorHAnsi"/>
          <w:sz w:val="22"/>
          <w:szCs w:val="22"/>
        </w:rPr>
        <w:tab/>
      </w:r>
      <w:bookmarkStart w:id="0" w:name="_Hlk17314764"/>
      <w:r w:rsidR="0081461A" w:rsidRPr="0081461A">
        <w:rPr>
          <w:rFonts w:asciiTheme="minorHAnsi" w:hAnsiTheme="minorHAnsi"/>
          <w:sz w:val="22"/>
          <w:szCs w:val="22"/>
        </w:rPr>
        <w:t xml:space="preserve">The National Health and Nutrition Examination Survey (NHANES) is a program of studies designed to assess the health and nutritional status of adults and children in the United States. The survey is unique in that it combines interviews and physical examinations. </w:t>
      </w:r>
      <w:r w:rsidR="00711579">
        <w:rPr>
          <w:rFonts w:asciiTheme="minorHAnsi" w:hAnsiTheme="minorHAnsi"/>
          <w:sz w:val="22"/>
          <w:szCs w:val="22"/>
        </w:rPr>
        <w:t xml:space="preserve">Since 1999 </w:t>
      </w:r>
      <w:r w:rsidR="0081461A" w:rsidRPr="0081461A">
        <w:rPr>
          <w:rFonts w:asciiTheme="minorHAnsi" w:hAnsiTheme="minorHAnsi"/>
          <w:sz w:val="22"/>
          <w:szCs w:val="22"/>
        </w:rPr>
        <w:t xml:space="preserve">NHANES </w:t>
      </w:r>
      <w:r w:rsidR="00711579">
        <w:rPr>
          <w:rFonts w:asciiTheme="minorHAnsi" w:hAnsiTheme="minorHAnsi"/>
          <w:sz w:val="22"/>
          <w:szCs w:val="22"/>
        </w:rPr>
        <w:t>ha</w:t>
      </w:r>
      <w:r w:rsidR="0081461A">
        <w:rPr>
          <w:rFonts w:asciiTheme="minorHAnsi" w:hAnsiTheme="minorHAnsi"/>
          <w:sz w:val="22"/>
          <w:szCs w:val="22"/>
        </w:rPr>
        <w:t xml:space="preserve">s </w:t>
      </w:r>
      <w:r w:rsidR="00711579">
        <w:rPr>
          <w:rFonts w:asciiTheme="minorHAnsi" w:hAnsiTheme="minorHAnsi"/>
          <w:sz w:val="22"/>
          <w:szCs w:val="22"/>
        </w:rPr>
        <w:t>been</w:t>
      </w:r>
      <w:r w:rsidR="0081461A" w:rsidRPr="0081461A">
        <w:rPr>
          <w:rFonts w:asciiTheme="minorHAnsi" w:hAnsiTheme="minorHAnsi"/>
          <w:sz w:val="22"/>
          <w:szCs w:val="22"/>
        </w:rPr>
        <w:t xml:space="preserve"> </w:t>
      </w:r>
      <w:r w:rsidR="00711579">
        <w:rPr>
          <w:rFonts w:asciiTheme="minorHAnsi" w:hAnsiTheme="minorHAnsi"/>
          <w:sz w:val="22"/>
          <w:szCs w:val="22"/>
        </w:rPr>
        <w:t xml:space="preserve">a </w:t>
      </w:r>
      <w:r w:rsidR="0081461A" w:rsidRPr="0081461A">
        <w:rPr>
          <w:rFonts w:asciiTheme="minorHAnsi" w:hAnsiTheme="minorHAnsi"/>
          <w:sz w:val="22"/>
          <w:szCs w:val="22"/>
        </w:rPr>
        <w:t>continuous</w:t>
      </w:r>
      <w:r w:rsidR="00711579">
        <w:rPr>
          <w:rFonts w:asciiTheme="minorHAnsi" w:hAnsiTheme="minorHAnsi"/>
          <w:sz w:val="22"/>
          <w:szCs w:val="22"/>
        </w:rPr>
        <w:t>ly run</w:t>
      </w:r>
      <w:r w:rsidR="0081461A" w:rsidRPr="0081461A">
        <w:rPr>
          <w:rFonts w:asciiTheme="minorHAnsi" w:hAnsiTheme="minorHAnsi"/>
          <w:sz w:val="22"/>
          <w:szCs w:val="22"/>
        </w:rPr>
        <w:t xml:space="preserve"> </w:t>
      </w:r>
      <w:r w:rsidR="00711579">
        <w:rPr>
          <w:rFonts w:asciiTheme="minorHAnsi" w:hAnsiTheme="minorHAnsi"/>
          <w:sz w:val="22"/>
          <w:szCs w:val="22"/>
        </w:rPr>
        <w:t>survey</w:t>
      </w:r>
      <w:r w:rsidR="0081461A" w:rsidRPr="0081461A">
        <w:rPr>
          <w:rFonts w:asciiTheme="minorHAnsi" w:hAnsiTheme="minorHAnsi"/>
          <w:sz w:val="22"/>
          <w:szCs w:val="22"/>
        </w:rPr>
        <w:t xml:space="preserve"> </w:t>
      </w:r>
      <w:r w:rsidR="00711579">
        <w:rPr>
          <w:rFonts w:asciiTheme="minorHAnsi" w:hAnsiTheme="minorHAnsi"/>
          <w:sz w:val="22"/>
          <w:szCs w:val="22"/>
        </w:rPr>
        <w:t>with</w:t>
      </w:r>
      <w:r w:rsidR="0081461A" w:rsidRPr="0081461A">
        <w:rPr>
          <w:rFonts w:asciiTheme="minorHAnsi" w:hAnsiTheme="minorHAnsi"/>
          <w:sz w:val="22"/>
          <w:szCs w:val="22"/>
        </w:rPr>
        <w:t xml:space="preserve"> changing focus on a variety of health and nutrition measurements to meet emerging needs. The survey </w:t>
      </w:r>
      <w:r w:rsidR="00406178">
        <w:rPr>
          <w:rFonts w:asciiTheme="minorHAnsi" w:hAnsiTheme="minorHAnsi"/>
          <w:sz w:val="22"/>
          <w:szCs w:val="22"/>
        </w:rPr>
        <w:t>collects data from</w:t>
      </w:r>
      <w:r w:rsidR="0081461A" w:rsidRPr="0081461A">
        <w:rPr>
          <w:rFonts w:asciiTheme="minorHAnsi" w:hAnsiTheme="minorHAnsi"/>
          <w:sz w:val="22"/>
          <w:szCs w:val="22"/>
        </w:rPr>
        <w:t xml:space="preserve"> a nationally representative sample of about 5,000 persons each year</w:t>
      </w:r>
      <w:r w:rsidR="00406178">
        <w:rPr>
          <w:rFonts w:asciiTheme="minorHAnsi" w:hAnsiTheme="minorHAnsi"/>
          <w:sz w:val="22"/>
          <w:szCs w:val="22"/>
        </w:rPr>
        <w:t>,</w:t>
      </w:r>
      <w:r w:rsidR="0081461A" w:rsidRPr="0081461A">
        <w:rPr>
          <w:rFonts w:asciiTheme="minorHAnsi" w:hAnsiTheme="minorHAnsi"/>
          <w:sz w:val="22"/>
          <w:szCs w:val="22"/>
        </w:rPr>
        <w:t xml:space="preserve"> located in counties across the country.</w:t>
      </w:r>
      <w:r w:rsidR="0081461A">
        <w:rPr>
          <w:rFonts w:asciiTheme="minorHAnsi" w:hAnsiTheme="minorHAnsi"/>
          <w:sz w:val="22"/>
          <w:szCs w:val="22"/>
        </w:rPr>
        <w:t xml:space="preserve"> </w:t>
      </w:r>
      <w:r w:rsidR="0081461A" w:rsidRPr="0081461A">
        <w:rPr>
          <w:rFonts w:asciiTheme="minorHAnsi" w:hAnsiTheme="minorHAnsi"/>
          <w:sz w:val="22"/>
          <w:szCs w:val="22"/>
        </w:rPr>
        <w:t>The NHANES interview includes demographic, socioeconomic, dietary, and health-related questions. The examination component consists of medical, dental, and physiological measurements, as well as laboratory tests administered by highly trained medical personnel.</w:t>
      </w:r>
      <w:r w:rsidR="0081461A">
        <w:rPr>
          <w:rFonts w:asciiTheme="minorHAnsi" w:hAnsiTheme="minorHAnsi"/>
          <w:sz w:val="22"/>
          <w:szCs w:val="22"/>
        </w:rPr>
        <w:t xml:space="preserve"> </w:t>
      </w:r>
      <w:r w:rsidR="00406178">
        <w:rPr>
          <w:rFonts w:asciiTheme="minorHAnsi" w:hAnsiTheme="minorHAnsi"/>
          <w:sz w:val="22"/>
          <w:szCs w:val="22"/>
        </w:rPr>
        <w:t>Data collected as part of</w:t>
      </w:r>
      <w:r w:rsidR="0081461A" w:rsidRPr="0081461A">
        <w:rPr>
          <w:rFonts w:asciiTheme="minorHAnsi" w:hAnsiTheme="minorHAnsi"/>
          <w:sz w:val="22"/>
          <w:szCs w:val="22"/>
        </w:rPr>
        <w:t xml:space="preserve"> </w:t>
      </w:r>
      <w:r w:rsidR="00406178">
        <w:rPr>
          <w:rFonts w:asciiTheme="minorHAnsi" w:hAnsiTheme="minorHAnsi"/>
          <w:sz w:val="22"/>
          <w:szCs w:val="22"/>
        </w:rPr>
        <w:t>NHANES</w:t>
      </w:r>
      <w:r w:rsidR="0081461A" w:rsidRPr="0081461A">
        <w:rPr>
          <w:rFonts w:asciiTheme="minorHAnsi" w:hAnsiTheme="minorHAnsi"/>
          <w:sz w:val="22"/>
          <w:szCs w:val="22"/>
        </w:rPr>
        <w:t xml:space="preserve"> </w:t>
      </w:r>
      <w:r w:rsidR="00406178">
        <w:rPr>
          <w:rFonts w:asciiTheme="minorHAnsi" w:hAnsiTheme="minorHAnsi"/>
          <w:sz w:val="22"/>
          <w:szCs w:val="22"/>
        </w:rPr>
        <w:t>is</w:t>
      </w:r>
      <w:r w:rsidR="0081461A" w:rsidRPr="0081461A">
        <w:rPr>
          <w:rFonts w:asciiTheme="minorHAnsi" w:hAnsiTheme="minorHAnsi"/>
          <w:sz w:val="22"/>
          <w:szCs w:val="22"/>
        </w:rPr>
        <w:t xml:space="preserve"> used to determine prevalence and risk factors </w:t>
      </w:r>
      <w:r w:rsidR="00406178">
        <w:rPr>
          <w:rFonts w:asciiTheme="minorHAnsi" w:hAnsiTheme="minorHAnsi"/>
          <w:sz w:val="22"/>
          <w:szCs w:val="22"/>
        </w:rPr>
        <w:t>of major</w:t>
      </w:r>
      <w:r w:rsidR="0081461A" w:rsidRPr="0081461A">
        <w:rPr>
          <w:rFonts w:asciiTheme="minorHAnsi" w:hAnsiTheme="minorHAnsi"/>
          <w:sz w:val="22"/>
          <w:szCs w:val="22"/>
        </w:rPr>
        <w:t xml:space="preserve"> diseases. Information will be used to assess nutritional status and its association with health promotion and disease prevention. NHANES findings are also the basis for national standards for such measurements as height, weight, and blood pressure. Data from this survey will be used in epidemiological studies and health sciences research, which help develop sound public health policy, direct and design health programs and services, and expand the health knowledge for the </w:t>
      </w:r>
      <w:r w:rsidR="0081461A">
        <w:rPr>
          <w:rFonts w:asciiTheme="minorHAnsi" w:hAnsiTheme="minorHAnsi"/>
          <w:sz w:val="22"/>
          <w:szCs w:val="22"/>
        </w:rPr>
        <w:t>US</w:t>
      </w:r>
      <w:r w:rsidR="0081461A" w:rsidRPr="0081461A">
        <w:rPr>
          <w:rFonts w:asciiTheme="minorHAnsi" w:hAnsiTheme="minorHAnsi"/>
          <w:sz w:val="22"/>
          <w:szCs w:val="22"/>
        </w:rPr>
        <w:t>.</w:t>
      </w:r>
    </w:p>
    <w:bookmarkEnd w:id="0"/>
    <w:p w14:paraId="060DC2A7" w14:textId="77777777" w:rsidR="005C00DE" w:rsidRDefault="005C00DE" w:rsidP="00A6587A">
      <w:pPr>
        <w:pStyle w:val="NormalWeb"/>
        <w:rPr>
          <w:rFonts w:asciiTheme="minorHAnsi" w:hAnsiTheme="minorHAnsi"/>
          <w:b/>
          <w:sz w:val="22"/>
          <w:szCs w:val="22"/>
        </w:rPr>
      </w:pPr>
      <w:r>
        <w:rPr>
          <w:rFonts w:asciiTheme="minorHAnsi" w:hAnsiTheme="minorHAnsi"/>
          <w:b/>
          <w:sz w:val="22"/>
          <w:szCs w:val="22"/>
        </w:rPr>
        <w:t>Introduction to the Problem</w:t>
      </w:r>
    </w:p>
    <w:p w14:paraId="58F13830" w14:textId="19B08F4A" w:rsidR="005C00DE" w:rsidRDefault="007827B7" w:rsidP="00A6587A">
      <w:pPr>
        <w:pStyle w:val="NormalWeb"/>
        <w:rPr>
          <w:rFonts w:asciiTheme="minorHAnsi" w:hAnsiTheme="minorHAnsi"/>
          <w:sz w:val="22"/>
          <w:szCs w:val="22"/>
        </w:rPr>
      </w:pPr>
      <w:r>
        <w:rPr>
          <w:rFonts w:asciiTheme="minorHAnsi" w:hAnsiTheme="minorHAnsi"/>
          <w:sz w:val="22"/>
          <w:szCs w:val="22"/>
        </w:rPr>
        <w:tab/>
      </w:r>
      <w:r w:rsidR="00132844">
        <w:rPr>
          <w:rFonts w:asciiTheme="minorHAnsi" w:hAnsiTheme="minorHAnsi"/>
          <w:sz w:val="22"/>
          <w:szCs w:val="22"/>
        </w:rPr>
        <w:t xml:space="preserve">The Nutrition dataset will explore the relationship between diet quality and kidney function among the NHANES cohort. </w:t>
      </w:r>
      <w:r w:rsidR="00406178">
        <w:rPr>
          <w:rFonts w:asciiTheme="minorHAnsi" w:hAnsiTheme="minorHAnsi"/>
          <w:sz w:val="22"/>
          <w:szCs w:val="22"/>
        </w:rPr>
        <w:t>Chronic Kidney D</w:t>
      </w:r>
      <w:r>
        <w:rPr>
          <w:rFonts w:asciiTheme="minorHAnsi" w:hAnsiTheme="minorHAnsi"/>
          <w:sz w:val="22"/>
          <w:szCs w:val="22"/>
        </w:rPr>
        <w:t xml:space="preserve">isease </w:t>
      </w:r>
      <w:r w:rsidR="00406178">
        <w:rPr>
          <w:rFonts w:asciiTheme="minorHAnsi" w:hAnsiTheme="minorHAnsi"/>
          <w:sz w:val="22"/>
          <w:szCs w:val="22"/>
        </w:rPr>
        <w:t xml:space="preserve">(CKD) </w:t>
      </w:r>
      <w:r>
        <w:rPr>
          <w:rFonts w:asciiTheme="minorHAnsi" w:hAnsiTheme="minorHAnsi"/>
          <w:sz w:val="22"/>
          <w:szCs w:val="22"/>
        </w:rPr>
        <w:t xml:space="preserve">is </w:t>
      </w:r>
      <w:r w:rsidR="00406178">
        <w:rPr>
          <w:rFonts w:asciiTheme="minorHAnsi" w:hAnsiTheme="minorHAnsi"/>
          <w:sz w:val="22"/>
          <w:szCs w:val="22"/>
        </w:rPr>
        <w:t>the deterioration of normal kidney function,</w:t>
      </w:r>
      <w:r>
        <w:rPr>
          <w:rFonts w:asciiTheme="minorHAnsi" w:hAnsiTheme="minorHAnsi"/>
          <w:sz w:val="22"/>
          <w:szCs w:val="22"/>
        </w:rPr>
        <w:t xml:space="preserve"> </w:t>
      </w:r>
      <w:r w:rsidR="00406178">
        <w:rPr>
          <w:rFonts w:asciiTheme="minorHAnsi" w:hAnsiTheme="minorHAnsi"/>
          <w:sz w:val="22"/>
          <w:szCs w:val="22"/>
        </w:rPr>
        <w:t>t</w:t>
      </w:r>
      <w:r>
        <w:rPr>
          <w:rFonts w:asciiTheme="minorHAnsi" w:hAnsiTheme="minorHAnsi"/>
          <w:sz w:val="22"/>
          <w:szCs w:val="22"/>
        </w:rPr>
        <w:t xml:space="preserve">he most severe form of </w:t>
      </w:r>
      <w:r w:rsidR="00406178">
        <w:rPr>
          <w:rFonts w:asciiTheme="minorHAnsi" w:hAnsiTheme="minorHAnsi"/>
          <w:sz w:val="22"/>
          <w:szCs w:val="22"/>
        </w:rPr>
        <w:t xml:space="preserve">which is </w:t>
      </w:r>
      <w:r>
        <w:rPr>
          <w:rFonts w:asciiTheme="minorHAnsi" w:hAnsiTheme="minorHAnsi"/>
          <w:sz w:val="22"/>
          <w:szCs w:val="22"/>
        </w:rPr>
        <w:t xml:space="preserve">End-Stage Renal Disease </w:t>
      </w:r>
      <w:r w:rsidR="00406178">
        <w:rPr>
          <w:rFonts w:asciiTheme="minorHAnsi" w:hAnsiTheme="minorHAnsi"/>
          <w:sz w:val="22"/>
          <w:szCs w:val="22"/>
        </w:rPr>
        <w:t>or</w:t>
      </w:r>
      <w:r>
        <w:rPr>
          <w:rFonts w:asciiTheme="minorHAnsi" w:hAnsiTheme="minorHAnsi"/>
          <w:sz w:val="22"/>
          <w:szCs w:val="22"/>
        </w:rPr>
        <w:t xml:space="preserve"> kidney failure. </w:t>
      </w:r>
      <w:r w:rsidR="00406178">
        <w:rPr>
          <w:rFonts w:asciiTheme="minorHAnsi" w:hAnsiTheme="minorHAnsi"/>
          <w:sz w:val="22"/>
          <w:szCs w:val="22"/>
        </w:rPr>
        <w:t>In t</w:t>
      </w:r>
      <w:r>
        <w:rPr>
          <w:rFonts w:asciiTheme="minorHAnsi" w:hAnsiTheme="minorHAnsi"/>
          <w:sz w:val="22"/>
          <w:szCs w:val="22"/>
        </w:rPr>
        <w:t>his condition</w:t>
      </w:r>
      <w:r w:rsidR="00406178">
        <w:rPr>
          <w:rFonts w:asciiTheme="minorHAnsi" w:hAnsiTheme="minorHAnsi"/>
          <w:sz w:val="22"/>
          <w:szCs w:val="22"/>
        </w:rPr>
        <w:t>,</w:t>
      </w:r>
      <w:r>
        <w:rPr>
          <w:rFonts w:asciiTheme="minorHAnsi" w:hAnsiTheme="minorHAnsi"/>
          <w:sz w:val="22"/>
          <w:szCs w:val="22"/>
        </w:rPr>
        <w:t xml:space="preserve"> the kidneys cease to </w:t>
      </w:r>
      <w:r w:rsidR="00406178">
        <w:rPr>
          <w:rFonts w:asciiTheme="minorHAnsi" w:hAnsiTheme="minorHAnsi"/>
          <w:sz w:val="22"/>
          <w:szCs w:val="22"/>
        </w:rPr>
        <w:t>function,</w:t>
      </w:r>
      <w:r>
        <w:rPr>
          <w:rFonts w:asciiTheme="minorHAnsi" w:hAnsiTheme="minorHAnsi"/>
          <w:sz w:val="22"/>
          <w:szCs w:val="22"/>
        </w:rPr>
        <w:t xml:space="preserve"> and the patient must undergo </w:t>
      </w:r>
      <w:r w:rsidR="00074F48">
        <w:rPr>
          <w:rFonts w:asciiTheme="minorHAnsi" w:hAnsiTheme="minorHAnsi"/>
          <w:sz w:val="22"/>
          <w:szCs w:val="22"/>
        </w:rPr>
        <w:t xml:space="preserve">regular </w:t>
      </w:r>
      <w:r>
        <w:rPr>
          <w:rFonts w:asciiTheme="minorHAnsi" w:hAnsiTheme="minorHAnsi"/>
          <w:sz w:val="22"/>
          <w:szCs w:val="22"/>
        </w:rPr>
        <w:t>dialysis</w:t>
      </w:r>
      <w:r w:rsidR="00074F48">
        <w:rPr>
          <w:rFonts w:asciiTheme="minorHAnsi" w:hAnsiTheme="minorHAnsi"/>
          <w:sz w:val="22"/>
          <w:szCs w:val="22"/>
        </w:rPr>
        <w:t xml:space="preserve"> to filter contaminants from the blood</w:t>
      </w:r>
      <w:r>
        <w:rPr>
          <w:rFonts w:asciiTheme="minorHAnsi" w:hAnsiTheme="minorHAnsi"/>
          <w:sz w:val="22"/>
          <w:szCs w:val="22"/>
        </w:rPr>
        <w:t xml:space="preserve">.  </w:t>
      </w:r>
      <w:r w:rsidR="00074F48">
        <w:rPr>
          <w:rFonts w:asciiTheme="minorHAnsi" w:hAnsiTheme="minorHAnsi"/>
          <w:sz w:val="22"/>
          <w:szCs w:val="22"/>
        </w:rPr>
        <w:t>End-Stage Renal Disease decreases both l</w:t>
      </w:r>
      <w:r>
        <w:rPr>
          <w:rFonts w:asciiTheme="minorHAnsi" w:hAnsiTheme="minorHAnsi"/>
          <w:sz w:val="22"/>
          <w:szCs w:val="22"/>
        </w:rPr>
        <w:t>ifespan and quality of life</w:t>
      </w:r>
      <w:r w:rsidR="00074F48">
        <w:rPr>
          <w:rFonts w:asciiTheme="minorHAnsi" w:hAnsiTheme="minorHAnsi"/>
          <w:sz w:val="22"/>
          <w:szCs w:val="22"/>
        </w:rPr>
        <w:t>.</w:t>
      </w:r>
      <w:r>
        <w:rPr>
          <w:rFonts w:asciiTheme="minorHAnsi" w:hAnsiTheme="minorHAnsi"/>
          <w:sz w:val="22"/>
          <w:szCs w:val="22"/>
        </w:rPr>
        <w:t xml:space="preserve"> </w:t>
      </w:r>
      <w:r w:rsidR="00132844">
        <w:rPr>
          <w:rFonts w:asciiTheme="minorHAnsi" w:hAnsiTheme="minorHAnsi"/>
          <w:sz w:val="22"/>
          <w:szCs w:val="22"/>
        </w:rPr>
        <w:t>CKD is a complex disease with genetic, demographic and lifestyle factors contributing to overall disease risk. A person’s age, race and exercise habits all factor into their risk. Diabetes and hypertension are additional major risk factors for developing renal disease. The goal of this lab is to determine if the nutritional value of the foods a person consumes also plays a role in kidney function.</w:t>
      </w:r>
    </w:p>
    <w:p w14:paraId="39057A21" w14:textId="0D08BDBC" w:rsidR="0021159D" w:rsidRDefault="0021159D" w:rsidP="00A6587A">
      <w:pPr>
        <w:pStyle w:val="NormalWeb"/>
        <w:rPr>
          <w:rFonts w:asciiTheme="minorHAnsi" w:hAnsiTheme="minorHAnsi"/>
          <w:sz w:val="22"/>
          <w:szCs w:val="22"/>
        </w:rPr>
      </w:pPr>
      <w:r>
        <w:rPr>
          <w:rFonts w:asciiTheme="minorHAnsi" w:hAnsiTheme="minorHAnsi"/>
          <w:sz w:val="22"/>
          <w:szCs w:val="22"/>
        </w:rPr>
        <w:tab/>
      </w:r>
      <w:r w:rsidR="00092978">
        <w:rPr>
          <w:rFonts w:asciiTheme="minorHAnsi" w:hAnsiTheme="minorHAnsi"/>
          <w:sz w:val="22"/>
          <w:szCs w:val="22"/>
        </w:rPr>
        <w:t>Direct assessment of renal function is challenging. Instead kidney health is typically monitored indirectly using</w:t>
      </w:r>
      <w:r w:rsidR="008D4C60">
        <w:rPr>
          <w:rFonts w:asciiTheme="minorHAnsi" w:hAnsiTheme="minorHAnsi"/>
          <w:sz w:val="22"/>
          <w:szCs w:val="22"/>
        </w:rPr>
        <w:t xml:space="preserve"> clinical</w:t>
      </w:r>
      <w:r w:rsidR="00092978">
        <w:rPr>
          <w:rFonts w:asciiTheme="minorHAnsi" w:hAnsiTheme="minorHAnsi"/>
          <w:sz w:val="22"/>
          <w:szCs w:val="22"/>
        </w:rPr>
        <w:t xml:space="preserve"> lab measurements </w:t>
      </w:r>
      <w:r w:rsidR="00774757">
        <w:rPr>
          <w:rFonts w:asciiTheme="minorHAnsi" w:hAnsiTheme="minorHAnsi"/>
          <w:sz w:val="22"/>
          <w:szCs w:val="22"/>
        </w:rPr>
        <w:t xml:space="preserve">such as </w:t>
      </w:r>
      <w:r w:rsidR="00092978">
        <w:rPr>
          <w:rFonts w:asciiTheme="minorHAnsi" w:hAnsiTheme="minorHAnsi"/>
          <w:sz w:val="22"/>
          <w:szCs w:val="22"/>
        </w:rPr>
        <w:t xml:space="preserve">albumin and creatinine. Albumin is </w:t>
      </w:r>
      <w:r w:rsidR="008D4C60">
        <w:rPr>
          <w:rFonts w:asciiTheme="minorHAnsi" w:hAnsiTheme="minorHAnsi"/>
          <w:sz w:val="22"/>
          <w:szCs w:val="22"/>
        </w:rPr>
        <w:t xml:space="preserve">a protein </w:t>
      </w:r>
      <w:r w:rsidR="00092978">
        <w:rPr>
          <w:rFonts w:asciiTheme="minorHAnsi" w:hAnsiTheme="minorHAnsi"/>
          <w:sz w:val="22"/>
          <w:szCs w:val="22"/>
        </w:rPr>
        <w:t>made by the liver</w:t>
      </w:r>
      <w:r w:rsidR="008D4C60">
        <w:rPr>
          <w:rFonts w:asciiTheme="minorHAnsi" w:hAnsiTheme="minorHAnsi"/>
          <w:sz w:val="22"/>
          <w:szCs w:val="22"/>
        </w:rPr>
        <w:t xml:space="preserve"> with the primary function of transporting </w:t>
      </w:r>
      <w:r w:rsidR="00092978">
        <w:rPr>
          <w:rFonts w:asciiTheme="minorHAnsi" w:hAnsiTheme="minorHAnsi"/>
          <w:sz w:val="22"/>
          <w:szCs w:val="22"/>
        </w:rPr>
        <w:t xml:space="preserve">hormones and enzymes throughout the body. </w:t>
      </w:r>
      <w:r w:rsidR="00092978" w:rsidRPr="00092978">
        <w:rPr>
          <w:rFonts w:asciiTheme="minorHAnsi" w:hAnsiTheme="minorHAnsi"/>
          <w:sz w:val="22"/>
          <w:szCs w:val="22"/>
        </w:rPr>
        <w:t xml:space="preserve">A healthy kidney </w:t>
      </w:r>
      <w:r w:rsidR="008D4C60">
        <w:rPr>
          <w:rFonts w:asciiTheme="minorHAnsi" w:hAnsiTheme="minorHAnsi"/>
          <w:sz w:val="22"/>
          <w:szCs w:val="22"/>
        </w:rPr>
        <w:t>prevents</w:t>
      </w:r>
      <w:r w:rsidR="00092978" w:rsidRPr="00092978">
        <w:rPr>
          <w:rFonts w:asciiTheme="minorHAnsi" w:hAnsiTheme="minorHAnsi"/>
          <w:sz w:val="22"/>
          <w:szCs w:val="22"/>
        </w:rPr>
        <w:t xml:space="preserve"> albumin </w:t>
      </w:r>
      <w:r w:rsidR="008D4C60">
        <w:rPr>
          <w:rFonts w:asciiTheme="minorHAnsi" w:hAnsiTheme="minorHAnsi"/>
          <w:sz w:val="22"/>
          <w:szCs w:val="22"/>
        </w:rPr>
        <w:t>from</w:t>
      </w:r>
      <w:r w:rsidR="00092978">
        <w:rPr>
          <w:rFonts w:asciiTheme="minorHAnsi" w:hAnsiTheme="minorHAnsi"/>
          <w:sz w:val="22"/>
          <w:szCs w:val="22"/>
        </w:rPr>
        <w:t xml:space="preserve"> </w:t>
      </w:r>
      <w:r w:rsidR="00092978" w:rsidRPr="00092978">
        <w:rPr>
          <w:rFonts w:asciiTheme="minorHAnsi" w:hAnsiTheme="minorHAnsi"/>
          <w:sz w:val="22"/>
          <w:szCs w:val="22"/>
        </w:rPr>
        <w:t>pass</w:t>
      </w:r>
      <w:r w:rsidR="008D4C60">
        <w:rPr>
          <w:rFonts w:asciiTheme="minorHAnsi" w:hAnsiTheme="minorHAnsi"/>
          <w:sz w:val="22"/>
          <w:szCs w:val="22"/>
        </w:rPr>
        <w:t>ing</w:t>
      </w:r>
      <w:r w:rsidR="00092978" w:rsidRPr="00092978">
        <w:rPr>
          <w:rFonts w:asciiTheme="minorHAnsi" w:hAnsiTheme="minorHAnsi"/>
          <w:sz w:val="22"/>
          <w:szCs w:val="22"/>
        </w:rPr>
        <w:t xml:space="preserve"> from the blood into the urine. </w:t>
      </w:r>
      <w:r w:rsidR="008D4C60">
        <w:rPr>
          <w:rFonts w:asciiTheme="minorHAnsi" w:hAnsiTheme="minorHAnsi"/>
          <w:sz w:val="22"/>
          <w:szCs w:val="22"/>
        </w:rPr>
        <w:t>As normal</w:t>
      </w:r>
      <w:r w:rsidR="00092978" w:rsidRPr="00092978">
        <w:rPr>
          <w:rFonts w:asciiTheme="minorHAnsi" w:hAnsiTheme="minorHAnsi"/>
          <w:sz w:val="22"/>
          <w:szCs w:val="22"/>
        </w:rPr>
        <w:t xml:space="preserve"> </w:t>
      </w:r>
      <w:r w:rsidR="00092978">
        <w:rPr>
          <w:rFonts w:asciiTheme="minorHAnsi" w:hAnsiTheme="minorHAnsi"/>
          <w:sz w:val="22"/>
          <w:szCs w:val="22"/>
        </w:rPr>
        <w:t>kid</w:t>
      </w:r>
      <w:r w:rsidR="008D4C60">
        <w:rPr>
          <w:rFonts w:asciiTheme="minorHAnsi" w:hAnsiTheme="minorHAnsi"/>
          <w:sz w:val="22"/>
          <w:szCs w:val="22"/>
        </w:rPr>
        <w:t>n</w:t>
      </w:r>
      <w:r w:rsidR="00092978">
        <w:rPr>
          <w:rFonts w:asciiTheme="minorHAnsi" w:hAnsiTheme="minorHAnsi"/>
          <w:sz w:val="22"/>
          <w:szCs w:val="22"/>
        </w:rPr>
        <w:t>ey function decline</w:t>
      </w:r>
      <w:r w:rsidR="008D4C60">
        <w:rPr>
          <w:rFonts w:asciiTheme="minorHAnsi" w:hAnsiTheme="minorHAnsi"/>
          <w:sz w:val="22"/>
          <w:szCs w:val="22"/>
        </w:rPr>
        <w:t>s</w:t>
      </w:r>
      <w:r w:rsidR="00092978">
        <w:rPr>
          <w:rFonts w:asciiTheme="minorHAnsi" w:hAnsiTheme="minorHAnsi"/>
          <w:sz w:val="22"/>
          <w:szCs w:val="22"/>
        </w:rPr>
        <w:t xml:space="preserve">, </w:t>
      </w:r>
      <w:r w:rsidR="00092978" w:rsidRPr="00092978">
        <w:rPr>
          <w:rFonts w:asciiTheme="minorHAnsi" w:hAnsiTheme="minorHAnsi"/>
          <w:sz w:val="22"/>
          <w:szCs w:val="22"/>
        </w:rPr>
        <w:t xml:space="preserve">albumin </w:t>
      </w:r>
      <w:r w:rsidR="00092978">
        <w:rPr>
          <w:rFonts w:asciiTheme="minorHAnsi" w:hAnsiTheme="minorHAnsi"/>
          <w:sz w:val="22"/>
          <w:szCs w:val="22"/>
        </w:rPr>
        <w:t xml:space="preserve">can </w:t>
      </w:r>
      <w:r w:rsidR="00092978" w:rsidRPr="00092978">
        <w:rPr>
          <w:rFonts w:asciiTheme="minorHAnsi" w:hAnsiTheme="minorHAnsi"/>
          <w:sz w:val="22"/>
          <w:szCs w:val="22"/>
        </w:rPr>
        <w:t>pass into the urine.</w:t>
      </w:r>
      <w:r w:rsidR="008D4C60">
        <w:rPr>
          <w:rFonts w:asciiTheme="minorHAnsi" w:hAnsiTheme="minorHAnsi"/>
          <w:sz w:val="22"/>
          <w:szCs w:val="22"/>
        </w:rPr>
        <w:t xml:space="preserve"> High levels of albumin present in a urine sample can therefore be indicative of kidney disease. </w:t>
      </w:r>
      <w:r w:rsidR="00092978">
        <w:rPr>
          <w:rFonts w:asciiTheme="minorHAnsi" w:hAnsiTheme="minorHAnsi"/>
          <w:sz w:val="22"/>
          <w:szCs w:val="22"/>
        </w:rPr>
        <w:t xml:space="preserve">Creatinine is a waste product </w:t>
      </w:r>
      <w:r w:rsidR="008D4C60">
        <w:rPr>
          <w:rFonts w:asciiTheme="minorHAnsi" w:hAnsiTheme="minorHAnsi"/>
          <w:sz w:val="22"/>
          <w:szCs w:val="22"/>
        </w:rPr>
        <w:t>of</w:t>
      </w:r>
      <w:r w:rsidR="00092978">
        <w:rPr>
          <w:rFonts w:asciiTheme="minorHAnsi" w:hAnsiTheme="minorHAnsi"/>
          <w:sz w:val="22"/>
          <w:szCs w:val="22"/>
        </w:rPr>
        <w:t xml:space="preserve"> muscle metabolism</w:t>
      </w:r>
      <w:r w:rsidR="00132844">
        <w:rPr>
          <w:rFonts w:asciiTheme="minorHAnsi" w:hAnsiTheme="minorHAnsi"/>
          <w:sz w:val="22"/>
          <w:szCs w:val="22"/>
        </w:rPr>
        <w:t xml:space="preserve"> which t</w:t>
      </w:r>
      <w:r w:rsidR="00092978">
        <w:rPr>
          <w:rFonts w:asciiTheme="minorHAnsi" w:hAnsiTheme="minorHAnsi"/>
          <w:sz w:val="22"/>
          <w:szCs w:val="22"/>
        </w:rPr>
        <w:t xml:space="preserve">he kidneys are responsible for removing from the body. </w:t>
      </w:r>
      <w:r w:rsidR="00705AB5" w:rsidRPr="00705AB5">
        <w:rPr>
          <w:rFonts w:asciiTheme="minorHAnsi" w:hAnsiTheme="minorHAnsi"/>
          <w:sz w:val="22"/>
          <w:szCs w:val="22"/>
        </w:rPr>
        <w:t>Normally, your kidneys filter creatinine from your blood and send it out of the body in your urine. If there is a problem with your kidneys, creatinine can build up in the blood and less will be released in urine.</w:t>
      </w:r>
      <w:r w:rsidR="00092978">
        <w:rPr>
          <w:rFonts w:asciiTheme="minorHAnsi" w:hAnsiTheme="minorHAnsi"/>
          <w:sz w:val="22"/>
          <w:szCs w:val="22"/>
        </w:rPr>
        <w:t xml:space="preserve"> </w:t>
      </w:r>
      <w:r w:rsidR="00705AB5">
        <w:rPr>
          <w:rFonts w:asciiTheme="minorHAnsi" w:hAnsiTheme="minorHAnsi"/>
          <w:sz w:val="22"/>
          <w:szCs w:val="22"/>
        </w:rPr>
        <w:t>Low</w:t>
      </w:r>
      <w:r w:rsidR="00092978">
        <w:rPr>
          <w:rFonts w:asciiTheme="minorHAnsi" w:hAnsiTheme="minorHAnsi"/>
          <w:sz w:val="22"/>
          <w:szCs w:val="22"/>
        </w:rPr>
        <w:t xml:space="preserve"> creatinine levels </w:t>
      </w:r>
      <w:r w:rsidR="00705AB5">
        <w:rPr>
          <w:rFonts w:asciiTheme="minorHAnsi" w:hAnsiTheme="minorHAnsi"/>
          <w:sz w:val="22"/>
          <w:szCs w:val="22"/>
        </w:rPr>
        <w:t xml:space="preserve">in urine </w:t>
      </w:r>
      <w:r w:rsidR="00092978">
        <w:rPr>
          <w:rFonts w:asciiTheme="minorHAnsi" w:hAnsiTheme="minorHAnsi"/>
          <w:sz w:val="22"/>
          <w:szCs w:val="22"/>
        </w:rPr>
        <w:t xml:space="preserve">are </w:t>
      </w:r>
      <w:r w:rsidR="00F9317C">
        <w:rPr>
          <w:rFonts w:asciiTheme="minorHAnsi" w:hAnsiTheme="minorHAnsi"/>
          <w:sz w:val="22"/>
          <w:szCs w:val="22"/>
        </w:rPr>
        <w:t>therefore a bio</w:t>
      </w:r>
      <w:r w:rsidR="00092978">
        <w:rPr>
          <w:rFonts w:asciiTheme="minorHAnsi" w:hAnsiTheme="minorHAnsi"/>
          <w:sz w:val="22"/>
          <w:szCs w:val="22"/>
        </w:rPr>
        <w:t xml:space="preserve">marker </w:t>
      </w:r>
      <w:r w:rsidR="00F9317C">
        <w:rPr>
          <w:rFonts w:asciiTheme="minorHAnsi" w:hAnsiTheme="minorHAnsi"/>
          <w:sz w:val="22"/>
          <w:szCs w:val="22"/>
        </w:rPr>
        <w:t>for declining kidney function.</w:t>
      </w:r>
      <w:r w:rsidR="00132844">
        <w:rPr>
          <w:rFonts w:asciiTheme="minorHAnsi" w:hAnsiTheme="minorHAnsi"/>
          <w:sz w:val="22"/>
          <w:szCs w:val="22"/>
        </w:rPr>
        <w:t xml:space="preserve"> Urine-based measurements of albumin and creatinine were collected in the laboratory portion of the NHANES survey and will be used as proxy measurements of kidney function. </w:t>
      </w:r>
    </w:p>
    <w:p w14:paraId="12B88F48" w14:textId="44239E99" w:rsidR="00163C34" w:rsidRDefault="007827B7" w:rsidP="0081461A">
      <w:pPr>
        <w:pStyle w:val="NormalWeb"/>
        <w:rPr>
          <w:rFonts w:asciiTheme="minorHAnsi" w:hAnsiTheme="minorHAnsi"/>
          <w:sz w:val="22"/>
          <w:szCs w:val="22"/>
        </w:rPr>
      </w:pPr>
      <w:r>
        <w:rPr>
          <w:rFonts w:asciiTheme="minorHAnsi" w:hAnsiTheme="minorHAnsi"/>
          <w:sz w:val="22"/>
          <w:szCs w:val="22"/>
        </w:rPr>
        <w:lastRenderedPageBreak/>
        <w:tab/>
        <w:t xml:space="preserve">  </w:t>
      </w:r>
      <w:r w:rsidR="007D5EE9">
        <w:rPr>
          <w:rFonts w:asciiTheme="minorHAnsi" w:hAnsiTheme="minorHAnsi"/>
          <w:sz w:val="22"/>
          <w:szCs w:val="22"/>
        </w:rPr>
        <w:t>The</w:t>
      </w:r>
      <w:r w:rsidR="00502825">
        <w:rPr>
          <w:rFonts w:asciiTheme="minorHAnsi" w:hAnsiTheme="minorHAnsi"/>
          <w:sz w:val="22"/>
          <w:szCs w:val="22"/>
        </w:rPr>
        <w:t xml:space="preserve"> Healthy Eating Index (HEI)</w:t>
      </w:r>
      <w:r w:rsidR="007D5EE9">
        <w:rPr>
          <w:rFonts w:asciiTheme="minorHAnsi" w:hAnsiTheme="minorHAnsi"/>
          <w:sz w:val="22"/>
          <w:szCs w:val="22"/>
        </w:rPr>
        <w:t xml:space="preserve"> is </w:t>
      </w:r>
      <w:r w:rsidR="007D5EE9" w:rsidRPr="007D5EE9">
        <w:rPr>
          <w:rFonts w:asciiTheme="minorHAnsi" w:hAnsiTheme="minorHAnsi"/>
          <w:sz w:val="22"/>
          <w:szCs w:val="22"/>
        </w:rPr>
        <w:t>a measure of diet quality used to assess how well a set of foods aligns with key recommendations of the Dietary Guidelines for Americans</w:t>
      </w:r>
      <w:r w:rsidR="00720A32">
        <w:rPr>
          <w:rFonts w:asciiTheme="minorHAnsi" w:hAnsiTheme="minorHAnsi"/>
          <w:sz w:val="22"/>
          <w:szCs w:val="22"/>
        </w:rPr>
        <w:t xml:space="preserve"> (DGA)</w:t>
      </w:r>
      <w:r w:rsidR="007D5EE9">
        <w:rPr>
          <w:rFonts w:asciiTheme="minorHAnsi" w:hAnsiTheme="minorHAnsi"/>
          <w:sz w:val="22"/>
          <w:szCs w:val="22"/>
        </w:rPr>
        <w:t xml:space="preserve">. </w:t>
      </w:r>
      <w:r w:rsidR="00502825">
        <w:rPr>
          <w:rFonts w:asciiTheme="minorHAnsi" w:hAnsiTheme="minorHAnsi"/>
          <w:sz w:val="22"/>
          <w:szCs w:val="22"/>
        </w:rPr>
        <w:t xml:space="preserve"> </w:t>
      </w:r>
      <w:r w:rsidR="007D5EE9">
        <w:rPr>
          <w:rFonts w:asciiTheme="minorHAnsi" w:hAnsiTheme="minorHAnsi"/>
          <w:sz w:val="22"/>
          <w:szCs w:val="22"/>
        </w:rPr>
        <w:t>The HEI takes</w:t>
      </w:r>
      <w:r w:rsidR="00502825">
        <w:rPr>
          <w:rFonts w:asciiTheme="minorHAnsi" w:hAnsiTheme="minorHAnsi"/>
          <w:sz w:val="22"/>
          <w:szCs w:val="22"/>
        </w:rPr>
        <w:t xml:space="preserve"> </w:t>
      </w:r>
      <w:r w:rsidR="007D5EE9">
        <w:rPr>
          <w:rFonts w:asciiTheme="minorHAnsi" w:hAnsiTheme="minorHAnsi"/>
          <w:sz w:val="22"/>
          <w:szCs w:val="22"/>
        </w:rPr>
        <w:t>thirteen different components of the human diet into account to create a score on the</w:t>
      </w:r>
      <w:r w:rsidR="00502825">
        <w:rPr>
          <w:rFonts w:asciiTheme="minorHAnsi" w:hAnsiTheme="minorHAnsi"/>
          <w:sz w:val="22"/>
          <w:szCs w:val="22"/>
        </w:rPr>
        <w:t xml:space="preserve"> scale from 0 </w:t>
      </w:r>
      <w:r w:rsidR="007D5EE9">
        <w:rPr>
          <w:rFonts w:asciiTheme="minorHAnsi" w:hAnsiTheme="minorHAnsi"/>
          <w:sz w:val="22"/>
          <w:szCs w:val="22"/>
        </w:rPr>
        <w:t xml:space="preserve">(least healthy) </w:t>
      </w:r>
      <w:r w:rsidR="00502825">
        <w:rPr>
          <w:rFonts w:asciiTheme="minorHAnsi" w:hAnsiTheme="minorHAnsi"/>
          <w:sz w:val="22"/>
          <w:szCs w:val="22"/>
        </w:rPr>
        <w:t xml:space="preserve">to 100 </w:t>
      </w:r>
      <w:r w:rsidR="007D5EE9">
        <w:rPr>
          <w:rFonts w:asciiTheme="minorHAnsi" w:hAnsiTheme="minorHAnsi"/>
          <w:sz w:val="22"/>
          <w:szCs w:val="22"/>
        </w:rPr>
        <w:t>(most healthy)</w:t>
      </w:r>
      <w:r w:rsidR="00502825">
        <w:rPr>
          <w:rFonts w:asciiTheme="minorHAnsi" w:hAnsiTheme="minorHAnsi"/>
          <w:sz w:val="22"/>
          <w:szCs w:val="22"/>
        </w:rPr>
        <w:t xml:space="preserve">.  </w:t>
      </w:r>
      <w:r w:rsidR="00AC4582">
        <w:rPr>
          <w:rFonts w:asciiTheme="minorHAnsi" w:hAnsiTheme="minorHAnsi"/>
          <w:sz w:val="22"/>
          <w:szCs w:val="22"/>
        </w:rPr>
        <w:t xml:space="preserve">The HEI-2015 score (based on the 2015 DGA) has been computed for individuals in the </w:t>
      </w:r>
      <w:r w:rsidR="00AC4582" w:rsidRPr="00720A32">
        <w:rPr>
          <w:rFonts w:asciiTheme="minorHAnsi" w:hAnsiTheme="minorHAnsi"/>
          <w:sz w:val="22"/>
          <w:szCs w:val="22"/>
        </w:rPr>
        <w:t>2015-2016 NHANES cohort</w:t>
      </w:r>
      <w:r w:rsidR="00AC4582">
        <w:rPr>
          <w:rFonts w:asciiTheme="minorHAnsi" w:hAnsiTheme="minorHAnsi"/>
          <w:sz w:val="22"/>
          <w:szCs w:val="22"/>
        </w:rPr>
        <w:t xml:space="preserve"> and will serve as our measurement for the nutritional quality of diet. </w:t>
      </w:r>
      <w:r w:rsidR="00163C34" w:rsidRPr="00163C34">
        <w:rPr>
          <w:rFonts w:asciiTheme="minorHAnsi" w:hAnsiTheme="minorHAnsi"/>
          <w:sz w:val="22"/>
          <w:szCs w:val="22"/>
        </w:rPr>
        <w:t xml:space="preserve">The total </w:t>
      </w:r>
      <w:r w:rsidR="00720A32">
        <w:rPr>
          <w:rFonts w:asciiTheme="minorHAnsi" w:hAnsiTheme="minorHAnsi"/>
          <w:sz w:val="22"/>
          <w:szCs w:val="22"/>
        </w:rPr>
        <w:t xml:space="preserve">average </w:t>
      </w:r>
      <w:r w:rsidR="00163C34" w:rsidRPr="00163C34">
        <w:rPr>
          <w:rFonts w:asciiTheme="minorHAnsi" w:hAnsiTheme="minorHAnsi"/>
          <w:sz w:val="22"/>
          <w:szCs w:val="22"/>
        </w:rPr>
        <w:t xml:space="preserve">HEI-2015 score for Americans </w:t>
      </w:r>
      <w:r w:rsidR="00720A32">
        <w:rPr>
          <w:rFonts w:asciiTheme="minorHAnsi" w:hAnsiTheme="minorHAnsi"/>
          <w:sz w:val="22"/>
          <w:szCs w:val="22"/>
        </w:rPr>
        <w:t>wa</w:t>
      </w:r>
      <w:r w:rsidR="00163C34" w:rsidRPr="00163C34">
        <w:rPr>
          <w:rFonts w:asciiTheme="minorHAnsi" w:hAnsiTheme="minorHAnsi"/>
          <w:sz w:val="22"/>
          <w:szCs w:val="22"/>
        </w:rPr>
        <w:t>s 59 out of 100</w:t>
      </w:r>
      <w:r w:rsidR="00AC4582">
        <w:rPr>
          <w:rFonts w:asciiTheme="minorHAnsi" w:hAnsiTheme="minorHAnsi"/>
          <w:sz w:val="22"/>
          <w:szCs w:val="22"/>
        </w:rPr>
        <w:t>,</w:t>
      </w:r>
      <w:r w:rsidR="00163C34" w:rsidRPr="00163C34">
        <w:rPr>
          <w:rFonts w:asciiTheme="minorHAnsi" w:hAnsiTheme="minorHAnsi"/>
          <w:sz w:val="22"/>
          <w:szCs w:val="22"/>
        </w:rPr>
        <w:t xml:space="preserve"> indicat</w:t>
      </w:r>
      <w:r w:rsidR="00AC4582">
        <w:rPr>
          <w:rFonts w:asciiTheme="minorHAnsi" w:hAnsiTheme="minorHAnsi"/>
          <w:sz w:val="22"/>
          <w:szCs w:val="22"/>
        </w:rPr>
        <w:t>ing</w:t>
      </w:r>
      <w:r w:rsidR="00163C34" w:rsidRPr="00163C34">
        <w:rPr>
          <w:rFonts w:asciiTheme="minorHAnsi" w:hAnsiTheme="minorHAnsi"/>
          <w:sz w:val="22"/>
          <w:szCs w:val="22"/>
        </w:rPr>
        <w:t xml:space="preserve"> that </w:t>
      </w:r>
      <w:r w:rsidR="00AC4582">
        <w:rPr>
          <w:rFonts w:asciiTheme="minorHAnsi" w:hAnsiTheme="minorHAnsi"/>
          <w:sz w:val="22"/>
          <w:szCs w:val="22"/>
        </w:rPr>
        <w:t xml:space="preserve">the </w:t>
      </w:r>
      <w:r w:rsidR="00163C34" w:rsidRPr="00163C34">
        <w:rPr>
          <w:rFonts w:asciiTheme="minorHAnsi" w:hAnsiTheme="minorHAnsi"/>
          <w:sz w:val="22"/>
          <w:szCs w:val="22"/>
        </w:rPr>
        <w:t xml:space="preserve">diet of </w:t>
      </w:r>
      <w:r w:rsidR="00AC4582">
        <w:rPr>
          <w:rFonts w:asciiTheme="minorHAnsi" w:hAnsiTheme="minorHAnsi"/>
          <w:sz w:val="22"/>
          <w:szCs w:val="22"/>
        </w:rPr>
        <w:t xml:space="preserve">the average </w:t>
      </w:r>
      <w:r w:rsidR="00163C34" w:rsidRPr="00163C34">
        <w:rPr>
          <w:rFonts w:asciiTheme="minorHAnsi" w:hAnsiTheme="minorHAnsi"/>
          <w:sz w:val="22"/>
          <w:szCs w:val="22"/>
        </w:rPr>
        <w:t>American d</w:t>
      </w:r>
      <w:r w:rsidR="00AC4582">
        <w:rPr>
          <w:rFonts w:asciiTheme="minorHAnsi" w:hAnsiTheme="minorHAnsi"/>
          <w:sz w:val="22"/>
          <w:szCs w:val="22"/>
        </w:rPr>
        <w:t>id</w:t>
      </w:r>
      <w:r w:rsidR="00163C34" w:rsidRPr="00163C34">
        <w:rPr>
          <w:rFonts w:asciiTheme="minorHAnsi" w:hAnsiTheme="minorHAnsi"/>
          <w:sz w:val="22"/>
          <w:szCs w:val="22"/>
        </w:rPr>
        <w:t xml:space="preserve"> not </w:t>
      </w:r>
      <w:r w:rsidR="00AC4582">
        <w:rPr>
          <w:rFonts w:asciiTheme="minorHAnsi" w:hAnsiTheme="minorHAnsi"/>
          <w:sz w:val="22"/>
          <w:szCs w:val="22"/>
        </w:rPr>
        <w:t>meet</w:t>
      </w:r>
      <w:r w:rsidR="00163C34" w:rsidRPr="00163C34">
        <w:rPr>
          <w:rFonts w:asciiTheme="minorHAnsi" w:hAnsiTheme="minorHAnsi"/>
          <w:sz w:val="22"/>
          <w:szCs w:val="22"/>
        </w:rPr>
        <w:t xml:space="preserve"> dietary recommendations. </w:t>
      </w:r>
    </w:p>
    <w:p w14:paraId="4D5D878F" w14:textId="6762C502" w:rsidR="009B7A9C" w:rsidRDefault="009B7A9C" w:rsidP="0081461A">
      <w:pPr>
        <w:pStyle w:val="NormalWeb"/>
        <w:rPr>
          <w:rFonts w:asciiTheme="minorHAnsi" w:hAnsiTheme="minorHAnsi"/>
          <w:sz w:val="22"/>
          <w:szCs w:val="22"/>
        </w:rPr>
      </w:pPr>
      <w:r>
        <w:rPr>
          <w:rFonts w:asciiTheme="minorHAnsi" w:hAnsiTheme="minorHAnsi"/>
          <w:sz w:val="22"/>
          <w:szCs w:val="22"/>
        </w:rPr>
        <w:tab/>
        <w:t xml:space="preserve">The table below illustrates the </w:t>
      </w:r>
      <w:r w:rsidR="00720A32">
        <w:rPr>
          <w:rFonts w:asciiTheme="minorHAnsi" w:hAnsiTheme="minorHAnsi"/>
          <w:sz w:val="22"/>
          <w:szCs w:val="22"/>
        </w:rPr>
        <w:t xml:space="preserve">thirteen </w:t>
      </w:r>
      <w:r>
        <w:rPr>
          <w:rFonts w:asciiTheme="minorHAnsi" w:hAnsiTheme="minorHAnsi"/>
          <w:sz w:val="22"/>
          <w:szCs w:val="22"/>
        </w:rPr>
        <w:t xml:space="preserve">components of the HEI score and guidelines </w:t>
      </w:r>
      <w:r w:rsidR="007924FE">
        <w:rPr>
          <w:rFonts w:asciiTheme="minorHAnsi" w:hAnsiTheme="minorHAnsi"/>
          <w:sz w:val="22"/>
          <w:szCs w:val="22"/>
        </w:rPr>
        <w:t>for</w:t>
      </w:r>
      <w:r>
        <w:rPr>
          <w:rFonts w:asciiTheme="minorHAnsi" w:hAnsiTheme="minorHAnsi"/>
          <w:sz w:val="22"/>
          <w:szCs w:val="22"/>
        </w:rPr>
        <w:t xml:space="preserve"> minimum </w:t>
      </w:r>
      <w:r w:rsidR="007924FE">
        <w:rPr>
          <w:rFonts w:asciiTheme="minorHAnsi" w:hAnsiTheme="minorHAnsi"/>
          <w:sz w:val="22"/>
          <w:szCs w:val="22"/>
        </w:rPr>
        <w:t xml:space="preserve">and maximum </w:t>
      </w:r>
      <w:r>
        <w:rPr>
          <w:rFonts w:asciiTheme="minorHAnsi" w:hAnsiTheme="minorHAnsi"/>
          <w:sz w:val="22"/>
          <w:szCs w:val="22"/>
        </w:rPr>
        <w:t>HEI scores.</w:t>
      </w:r>
      <w:r w:rsidR="004135FF">
        <w:rPr>
          <w:rFonts w:asciiTheme="minorHAnsi" w:hAnsiTheme="minorHAnsi"/>
          <w:sz w:val="22"/>
          <w:szCs w:val="22"/>
        </w:rPr>
        <w:t xml:space="preserve"> (</w:t>
      </w:r>
      <w:r w:rsidR="004135FF" w:rsidRPr="004135FF">
        <w:rPr>
          <w:rFonts w:asciiTheme="minorHAnsi" w:hAnsiTheme="minorHAnsi" w:cstheme="minorHAnsi"/>
          <w:sz w:val="22"/>
          <w:szCs w:val="22"/>
        </w:rPr>
        <w:t xml:space="preserve">See </w:t>
      </w:r>
      <w:hyperlink r:id="rId6" w:anchor="2015" w:history="1">
        <w:r w:rsidR="004135FF" w:rsidRPr="004135FF">
          <w:rPr>
            <w:rStyle w:val="Hyperlink"/>
            <w:rFonts w:asciiTheme="minorHAnsi" w:hAnsiTheme="minorHAnsi" w:cstheme="minorHAnsi"/>
            <w:sz w:val="22"/>
            <w:szCs w:val="22"/>
          </w:rPr>
          <w:t>https://epi.grants.cancer.gov/hei/developing.html#2015</w:t>
        </w:r>
      </w:hyperlink>
      <w:r w:rsidR="004135FF">
        <w:t>)</w:t>
      </w:r>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89"/>
        <w:gridCol w:w="2880"/>
        <w:gridCol w:w="2880"/>
      </w:tblGrid>
      <w:tr w:rsidR="009B7A9C" w:rsidRPr="004062CB" w14:paraId="55EC2C5A" w14:textId="77777777" w:rsidTr="006222DE">
        <w:trPr>
          <w:jc w:val="center"/>
        </w:trPr>
        <w:tc>
          <w:tcPr>
            <w:tcW w:w="2880" w:type="dxa"/>
            <w:tcBorders>
              <w:bottom w:val="single" w:sz="4" w:space="0" w:color="auto"/>
            </w:tcBorders>
            <w:shd w:val="clear" w:color="auto" w:fill="DBE5F1"/>
            <w:vAlign w:val="center"/>
          </w:tcPr>
          <w:p w14:paraId="182660F4" w14:textId="77777777" w:rsidR="009B7A9C" w:rsidRPr="004062CB" w:rsidRDefault="009B7A9C" w:rsidP="006222DE">
            <w:pPr>
              <w:pStyle w:val="Default"/>
              <w:jc w:val="center"/>
              <w:rPr>
                <w:rFonts w:ascii="Calibri" w:hAnsi="Calibri" w:cs="Calibri"/>
                <w:sz w:val="22"/>
                <w:szCs w:val="22"/>
              </w:rPr>
            </w:pPr>
            <w:r w:rsidRPr="004062CB">
              <w:rPr>
                <w:rFonts w:ascii="Calibri" w:hAnsi="Calibri" w:cs="Calibri"/>
                <w:b/>
                <w:bCs/>
                <w:sz w:val="22"/>
                <w:szCs w:val="22"/>
              </w:rPr>
              <w:t>Component</w:t>
            </w:r>
          </w:p>
        </w:tc>
        <w:tc>
          <w:tcPr>
            <w:tcW w:w="789" w:type="dxa"/>
            <w:tcBorders>
              <w:bottom w:val="single" w:sz="4" w:space="0" w:color="auto"/>
            </w:tcBorders>
            <w:shd w:val="clear" w:color="auto" w:fill="DBE5F1"/>
            <w:vAlign w:val="center"/>
          </w:tcPr>
          <w:p w14:paraId="1362289D" w14:textId="77777777" w:rsidR="009B7A9C" w:rsidRPr="004062CB" w:rsidRDefault="009B7A9C" w:rsidP="006222DE">
            <w:pPr>
              <w:pStyle w:val="Default"/>
              <w:jc w:val="center"/>
              <w:rPr>
                <w:rFonts w:ascii="Calibri" w:hAnsi="Calibri" w:cs="Calibri"/>
                <w:sz w:val="22"/>
                <w:szCs w:val="22"/>
              </w:rPr>
            </w:pPr>
            <w:r w:rsidRPr="004062CB">
              <w:rPr>
                <w:rFonts w:ascii="Calibri" w:hAnsi="Calibri" w:cs="Calibri"/>
                <w:b/>
                <w:bCs/>
                <w:sz w:val="22"/>
                <w:szCs w:val="22"/>
              </w:rPr>
              <w:t>Max points</w:t>
            </w:r>
          </w:p>
        </w:tc>
        <w:tc>
          <w:tcPr>
            <w:tcW w:w="2880" w:type="dxa"/>
            <w:tcBorders>
              <w:bottom w:val="single" w:sz="4" w:space="0" w:color="auto"/>
            </w:tcBorders>
            <w:shd w:val="clear" w:color="auto" w:fill="DBE5F1"/>
            <w:vAlign w:val="center"/>
          </w:tcPr>
          <w:p w14:paraId="37BCDCD0" w14:textId="77777777" w:rsidR="009B7A9C" w:rsidRPr="004062CB" w:rsidRDefault="009B7A9C" w:rsidP="006222DE">
            <w:pPr>
              <w:pStyle w:val="Default"/>
              <w:jc w:val="center"/>
              <w:rPr>
                <w:rFonts w:ascii="Calibri" w:hAnsi="Calibri" w:cs="Calibri"/>
                <w:sz w:val="22"/>
                <w:szCs w:val="22"/>
              </w:rPr>
            </w:pPr>
            <w:r w:rsidRPr="004062CB">
              <w:rPr>
                <w:rFonts w:ascii="Calibri" w:hAnsi="Calibri" w:cs="Calibri"/>
                <w:b/>
                <w:bCs/>
                <w:sz w:val="22"/>
                <w:szCs w:val="22"/>
              </w:rPr>
              <w:t>Standard for maximum score</w:t>
            </w:r>
          </w:p>
        </w:tc>
        <w:tc>
          <w:tcPr>
            <w:tcW w:w="2880" w:type="dxa"/>
            <w:shd w:val="clear" w:color="auto" w:fill="DBE5F1"/>
            <w:vAlign w:val="center"/>
          </w:tcPr>
          <w:p w14:paraId="636FDFDE" w14:textId="77777777" w:rsidR="009B7A9C" w:rsidRPr="004062CB" w:rsidRDefault="009B7A9C" w:rsidP="006222DE">
            <w:pPr>
              <w:pStyle w:val="Default"/>
              <w:jc w:val="center"/>
              <w:rPr>
                <w:rFonts w:ascii="Calibri" w:hAnsi="Calibri" w:cs="Calibri"/>
                <w:sz w:val="22"/>
                <w:szCs w:val="22"/>
              </w:rPr>
            </w:pPr>
            <w:r w:rsidRPr="004062CB">
              <w:rPr>
                <w:rFonts w:ascii="Calibri" w:hAnsi="Calibri" w:cs="Calibri"/>
                <w:b/>
                <w:bCs/>
                <w:sz w:val="22"/>
                <w:szCs w:val="22"/>
              </w:rPr>
              <w:t>Standard for minimum score of zero</w:t>
            </w:r>
          </w:p>
        </w:tc>
      </w:tr>
      <w:tr w:rsidR="009B7A9C" w:rsidRPr="00FD41B6" w14:paraId="5370A729" w14:textId="77777777" w:rsidTr="006222DE">
        <w:trPr>
          <w:jc w:val="center"/>
        </w:trPr>
        <w:tc>
          <w:tcPr>
            <w:tcW w:w="2880" w:type="dxa"/>
            <w:tcBorders>
              <w:right w:val="nil"/>
            </w:tcBorders>
            <w:shd w:val="clear" w:color="auto" w:fill="EEECE1"/>
            <w:vAlign w:val="center"/>
          </w:tcPr>
          <w:p w14:paraId="606E5754" w14:textId="77777777" w:rsidR="009B7A9C" w:rsidRPr="00FD41B6" w:rsidRDefault="009B7A9C" w:rsidP="006222DE">
            <w:pPr>
              <w:pStyle w:val="Default"/>
              <w:rPr>
                <w:rFonts w:ascii="Calibri" w:hAnsi="Calibri" w:cs="Calibri"/>
                <w:b/>
                <w:sz w:val="22"/>
                <w:szCs w:val="22"/>
              </w:rPr>
            </w:pPr>
            <w:r w:rsidRPr="00FD41B6">
              <w:rPr>
                <w:rFonts w:ascii="Calibri" w:hAnsi="Calibri" w:cs="Calibri"/>
                <w:b/>
                <w:sz w:val="22"/>
                <w:szCs w:val="22"/>
              </w:rPr>
              <w:t>Adequacy:</w:t>
            </w:r>
          </w:p>
        </w:tc>
        <w:tc>
          <w:tcPr>
            <w:tcW w:w="789" w:type="dxa"/>
            <w:tcBorders>
              <w:left w:val="nil"/>
              <w:right w:val="nil"/>
            </w:tcBorders>
            <w:shd w:val="clear" w:color="auto" w:fill="EEECE1"/>
          </w:tcPr>
          <w:p w14:paraId="04191B2B" w14:textId="77777777" w:rsidR="009B7A9C" w:rsidRPr="00FD41B6" w:rsidRDefault="009B7A9C" w:rsidP="006222DE">
            <w:pPr>
              <w:pStyle w:val="Default"/>
              <w:rPr>
                <w:rFonts w:ascii="Calibri" w:hAnsi="Calibri" w:cs="Calibri"/>
                <w:sz w:val="22"/>
                <w:szCs w:val="22"/>
              </w:rPr>
            </w:pPr>
          </w:p>
        </w:tc>
        <w:tc>
          <w:tcPr>
            <w:tcW w:w="2880" w:type="dxa"/>
            <w:tcBorders>
              <w:left w:val="nil"/>
              <w:right w:val="nil"/>
            </w:tcBorders>
            <w:shd w:val="clear" w:color="auto" w:fill="EEECE1"/>
          </w:tcPr>
          <w:p w14:paraId="5233F871" w14:textId="77777777" w:rsidR="009B7A9C" w:rsidRPr="00FD41B6" w:rsidRDefault="009B7A9C" w:rsidP="006222DE">
            <w:pPr>
              <w:pStyle w:val="Default"/>
              <w:rPr>
                <w:rFonts w:ascii="Calibri" w:hAnsi="Calibri" w:cs="Calibri"/>
                <w:sz w:val="22"/>
                <w:szCs w:val="22"/>
              </w:rPr>
            </w:pPr>
          </w:p>
        </w:tc>
        <w:tc>
          <w:tcPr>
            <w:tcW w:w="2880" w:type="dxa"/>
            <w:tcBorders>
              <w:left w:val="nil"/>
            </w:tcBorders>
            <w:shd w:val="clear" w:color="auto" w:fill="EEECE1"/>
          </w:tcPr>
          <w:p w14:paraId="2ECEED41" w14:textId="77777777" w:rsidR="009B7A9C" w:rsidRPr="00FD41B6" w:rsidRDefault="009B7A9C" w:rsidP="006222DE">
            <w:pPr>
              <w:pStyle w:val="Default"/>
              <w:rPr>
                <w:rFonts w:ascii="Calibri" w:hAnsi="Calibri" w:cs="Calibri"/>
                <w:sz w:val="22"/>
                <w:szCs w:val="22"/>
              </w:rPr>
            </w:pPr>
          </w:p>
        </w:tc>
      </w:tr>
      <w:tr w:rsidR="009B7A9C" w:rsidRPr="004062CB" w14:paraId="2F9417FF" w14:textId="77777777" w:rsidTr="006222DE">
        <w:trPr>
          <w:jc w:val="center"/>
        </w:trPr>
        <w:tc>
          <w:tcPr>
            <w:tcW w:w="2880" w:type="dxa"/>
            <w:shd w:val="clear" w:color="auto" w:fill="auto"/>
            <w:vAlign w:val="center"/>
          </w:tcPr>
          <w:p w14:paraId="23C9B3DA" w14:textId="3F5F9C2C" w:rsidR="009B7A9C" w:rsidRPr="001501BA" w:rsidRDefault="009B7A9C" w:rsidP="006222DE">
            <w:pPr>
              <w:spacing w:after="0" w:line="240" w:lineRule="auto"/>
              <w:rPr>
                <w:rFonts w:cs="Calibri"/>
                <w:b/>
                <w:bCs/>
              </w:rPr>
            </w:pPr>
            <w:r w:rsidRPr="00FD41B6">
              <w:rPr>
                <w:rFonts w:cs="Calibri"/>
                <w:b/>
                <w:bCs/>
              </w:rPr>
              <w:t>Total Fruits</w:t>
            </w:r>
          </w:p>
        </w:tc>
        <w:tc>
          <w:tcPr>
            <w:tcW w:w="789" w:type="dxa"/>
            <w:shd w:val="clear" w:color="auto" w:fill="auto"/>
            <w:vAlign w:val="center"/>
          </w:tcPr>
          <w:p w14:paraId="0C057183" w14:textId="77777777" w:rsidR="009B7A9C" w:rsidRPr="004062CB" w:rsidRDefault="009B7A9C" w:rsidP="006222DE">
            <w:pPr>
              <w:spacing w:after="0" w:line="240" w:lineRule="auto"/>
              <w:rPr>
                <w:rFonts w:cs="Calibri"/>
              </w:rPr>
            </w:pPr>
            <w:r w:rsidRPr="004062CB">
              <w:rPr>
                <w:rFonts w:cs="Calibri"/>
              </w:rPr>
              <w:t>5</w:t>
            </w:r>
          </w:p>
        </w:tc>
        <w:tc>
          <w:tcPr>
            <w:tcW w:w="2880" w:type="dxa"/>
            <w:shd w:val="clear" w:color="auto" w:fill="auto"/>
            <w:vAlign w:val="center"/>
          </w:tcPr>
          <w:p w14:paraId="47E074B9" w14:textId="77777777" w:rsidR="009B7A9C" w:rsidRPr="004062CB" w:rsidRDefault="009B7A9C" w:rsidP="006222DE">
            <w:pPr>
              <w:spacing w:after="0" w:line="240" w:lineRule="auto"/>
              <w:rPr>
                <w:rFonts w:cs="Calibri"/>
              </w:rPr>
            </w:pPr>
            <w:r w:rsidRPr="004062CB">
              <w:rPr>
                <w:rFonts w:cs="Calibri"/>
              </w:rPr>
              <w:t>≥0.8 cup equiv. per 1,000 kcal</w:t>
            </w:r>
          </w:p>
        </w:tc>
        <w:tc>
          <w:tcPr>
            <w:tcW w:w="2880" w:type="dxa"/>
            <w:shd w:val="clear" w:color="auto" w:fill="auto"/>
            <w:vAlign w:val="center"/>
          </w:tcPr>
          <w:p w14:paraId="08EAB7A6" w14:textId="77777777" w:rsidR="009B7A9C" w:rsidRPr="004062CB" w:rsidRDefault="009B7A9C" w:rsidP="006222DE">
            <w:pPr>
              <w:spacing w:after="0" w:line="240" w:lineRule="auto"/>
              <w:rPr>
                <w:rFonts w:cs="Calibri"/>
              </w:rPr>
            </w:pPr>
            <w:r w:rsidRPr="004062CB">
              <w:rPr>
                <w:rFonts w:cs="Calibri"/>
              </w:rPr>
              <w:t>No Fruits</w:t>
            </w:r>
          </w:p>
        </w:tc>
      </w:tr>
      <w:tr w:rsidR="009B7A9C" w:rsidRPr="004062CB" w14:paraId="415D8986" w14:textId="77777777" w:rsidTr="006222DE">
        <w:trPr>
          <w:jc w:val="center"/>
        </w:trPr>
        <w:tc>
          <w:tcPr>
            <w:tcW w:w="2880" w:type="dxa"/>
            <w:shd w:val="clear" w:color="auto" w:fill="auto"/>
            <w:vAlign w:val="center"/>
          </w:tcPr>
          <w:p w14:paraId="5F69706B" w14:textId="51F7114F" w:rsidR="009B7A9C" w:rsidRPr="001501BA" w:rsidRDefault="009B7A9C" w:rsidP="006222DE">
            <w:pPr>
              <w:spacing w:after="0" w:line="240" w:lineRule="auto"/>
              <w:rPr>
                <w:rFonts w:cs="Calibri"/>
                <w:b/>
                <w:bCs/>
              </w:rPr>
            </w:pPr>
            <w:r w:rsidRPr="00FD41B6">
              <w:rPr>
                <w:rFonts w:cs="Calibri"/>
                <w:b/>
                <w:bCs/>
              </w:rPr>
              <w:t>Whole Fruits</w:t>
            </w:r>
          </w:p>
        </w:tc>
        <w:tc>
          <w:tcPr>
            <w:tcW w:w="789" w:type="dxa"/>
            <w:shd w:val="clear" w:color="auto" w:fill="auto"/>
            <w:vAlign w:val="center"/>
          </w:tcPr>
          <w:p w14:paraId="6B0AB074" w14:textId="77777777" w:rsidR="009B7A9C" w:rsidRPr="004062CB" w:rsidRDefault="009B7A9C" w:rsidP="006222DE">
            <w:pPr>
              <w:spacing w:after="0" w:line="240" w:lineRule="auto"/>
              <w:rPr>
                <w:rFonts w:cs="Calibri"/>
              </w:rPr>
            </w:pPr>
            <w:r w:rsidRPr="004062CB">
              <w:rPr>
                <w:rFonts w:cs="Calibri"/>
              </w:rPr>
              <w:t>5</w:t>
            </w:r>
          </w:p>
        </w:tc>
        <w:tc>
          <w:tcPr>
            <w:tcW w:w="2880" w:type="dxa"/>
            <w:shd w:val="clear" w:color="auto" w:fill="auto"/>
            <w:vAlign w:val="center"/>
          </w:tcPr>
          <w:p w14:paraId="14204E73" w14:textId="77777777" w:rsidR="009B7A9C" w:rsidRPr="004062CB" w:rsidRDefault="009B7A9C" w:rsidP="006222DE">
            <w:pPr>
              <w:spacing w:after="0" w:line="240" w:lineRule="auto"/>
              <w:rPr>
                <w:rFonts w:cs="Calibri"/>
              </w:rPr>
            </w:pPr>
            <w:r w:rsidRPr="004062CB">
              <w:rPr>
                <w:rFonts w:cs="Calibri"/>
              </w:rPr>
              <w:t>≥0.4 cup equiv. per 1,000 kcal</w:t>
            </w:r>
          </w:p>
        </w:tc>
        <w:tc>
          <w:tcPr>
            <w:tcW w:w="2880" w:type="dxa"/>
            <w:shd w:val="clear" w:color="auto" w:fill="auto"/>
            <w:vAlign w:val="center"/>
          </w:tcPr>
          <w:p w14:paraId="366E5271" w14:textId="77777777" w:rsidR="009B7A9C" w:rsidRPr="004062CB" w:rsidRDefault="009B7A9C" w:rsidP="006222DE">
            <w:pPr>
              <w:spacing w:after="0" w:line="240" w:lineRule="auto"/>
              <w:rPr>
                <w:rFonts w:cs="Calibri"/>
              </w:rPr>
            </w:pPr>
            <w:r w:rsidRPr="004062CB">
              <w:rPr>
                <w:rFonts w:cs="Calibri"/>
              </w:rPr>
              <w:t>No Whole Fruits</w:t>
            </w:r>
          </w:p>
        </w:tc>
      </w:tr>
      <w:tr w:rsidR="009B7A9C" w:rsidRPr="004062CB" w14:paraId="79E896A5" w14:textId="77777777" w:rsidTr="006222DE">
        <w:trPr>
          <w:jc w:val="center"/>
        </w:trPr>
        <w:tc>
          <w:tcPr>
            <w:tcW w:w="2880" w:type="dxa"/>
            <w:shd w:val="clear" w:color="auto" w:fill="auto"/>
            <w:vAlign w:val="center"/>
          </w:tcPr>
          <w:p w14:paraId="3C71B6AB" w14:textId="0E5FEEED" w:rsidR="009B7A9C" w:rsidRPr="001501BA" w:rsidRDefault="009B7A9C" w:rsidP="006222DE">
            <w:pPr>
              <w:spacing w:after="0" w:line="240" w:lineRule="auto"/>
              <w:rPr>
                <w:rFonts w:cs="Calibri"/>
                <w:b/>
                <w:bCs/>
              </w:rPr>
            </w:pPr>
            <w:r w:rsidRPr="00FD41B6">
              <w:rPr>
                <w:rFonts w:cs="Calibri"/>
                <w:b/>
                <w:bCs/>
              </w:rPr>
              <w:t>Total Vegetables</w:t>
            </w:r>
          </w:p>
        </w:tc>
        <w:tc>
          <w:tcPr>
            <w:tcW w:w="789" w:type="dxa"/>
            <w:shd w:val="clear" w:color="auto" w:fill="auto"/>
            <w:vAlign w:val="center"/>
          </w:tcPr>
          <w:p w14:paraId="7179818E" w14:textId="77777777" w:rsidR="009B7A9C" w:rsidRPr="004062CB" w:rsidRDefault="009B7A9C" w:rsidP="006222DE">
            <w:pPr>
              <w:spacing w:after="0" w:line="240" w:lineRule="auto"/>
              <w:rPr>
                <w:rFonts w:cs="Calibri"/>
              </w:rPr>
            </w:pPr>
            <w:r w:rsidRPr="004062CB">
              <w:rPr>
                <w:rFonts w:cs="Calibri"/>
              </w:rPr>
              <w:t>5</w:t>
            </w:r>
          </w:p>
        </w:tc>
        <w:tc>
          <w:tcPr>
            <w:tcW w:w="2880" w:type="dxa"/>
            <w:shd w:val="clear" w:color="auto" w:fill="auto"/>
            <w:vAlign w:val="center"/>
          </w:tcPr>
          <w:p w14:paraId="5D6C10B5" w14:textId="77777777" w:rsidR="009B7A9C" w:rsidRPr="004062CB" w:rsidRDefault="009B7A9C" w:rsidP="006222DE">
            <w:pPr>
              <w:spacing w:after="0" w:line="240" w:lineRule="auto"/>
              <w:rPr>
                <w:rFonts w:cs="Calibri"/>
              </w:rPr>
            </w:pPr>
            <w:r w:rsidRPr="004062CB">
              <w:rPr>
                <w:rFonts w:cs="Calibri"/>
              </w:rPr>
              <w:t xml:space="preserve">≥1.1 cup equiv. per 1,000 kcal </w:t>
            </w:r>
          </w:p>
        </w:tc>
        <w:tc>
          <w:tcPr>
            <w:tcW w:w="2880" w:type="dxa"/>
            <w:shd w:val="clear" w:color="auto" w:fill="auto"/>
            <w:vAlign w:val="center"/>
          </w:tcPr>
          <w:p w14:paraId="15C9CDCB" w14:textId="77777777" w:rsidR="009B7A9C" w:rsidRPr="004062CB" w:rsidRDefault="009B7A9C" w:rsidP="006222DE">
            <w:pPr>
              <w:spacing w:after="0" w:line="240" w:lineRule="auto"/>
              <w:rPr>
                <w:rFonts w:cs="Calibri"/>
              </w:rPr>
            </w:pPr>
            <w:r w:rsidRPr="004062CB">
              <w:rPr>
                <w:rFonts w:cs="Calibri"/>
              </w:rPr>
              <w:t>No Vegetables</w:t>
            </w:r>
          </w:p>
        </w:tc>
      </w:tr>
      <w:tr w:rsidR="009B7A9C" w:rsidRPr="004062CB" w14:paraId="7A67FAD4" w14:textId="77777777" w:rsidTr="006222DE">
        <w:trPr>
          <w:jc w:val="center"/>
        </w:trPr>
        <w:tc>
          <w:tcPr>
            <w:tcW w:w="2880" w:type="dxa"/>
            <w:shd w:val="clear" w:color="auto" w:fill="auto"/>
            <w:vAlign w:val="center"/>
          </w:tcPr>
          <w:p w14:paraId="6AE83718" w14:textId="115DAACE" w:rsidR="009B7A9C" w:rsidRPr="001501BA" w:rsidRDefault="009B7A9C" w:rsidP="006222DE">
            <w:pPr>
              <w:spacing w:after="0" w:line="240" w:lineRule="auto"/>
              <w:rPr>
                <w:rFonts w:cs="Calibri"/>
                <w:b/>
                <w:bCs/>
              </w:rPr>
            </w:pPr>
            <w:r w:rsidRPr="00FD41B6">
              <w:rPr>
                <w:rFonts w:cs="Calibri"/>
                <w:b/>
                <w:bCs/>
              </w:rPr>
              <w:t>Greens and Beans</w:t>
            </w:r>
          </w:p>
        </w:tc>
        <w:tc>
          <w:tcPr>
            <w:tcW w:w="789" w:type="dxa"/>
            <w:shd w:val="clear" w:color="auto" w:fill="auto"/>
            <w:vAlign w:val="center"/>
          </w:tcPr>
          <w:p w14:paraId="699676FF" w14:textId="77777777" w:rsidR="009B7A9C" w:rsidRPr="004062CB" w:rsidRDefault="009B7A9C" w:rsidP="006222DE">
            <w:pPr>
              <w:spacing w:after="0" w:line="240" w:lineRule="auto"/>
              <w:rPr>
                <w:rFonts w:cs="Calibri"/>
              </w:rPr>
            </w:pPr>
            <w:r w:rsidRPr="004062CB">
              <w:rPr>
                <w:rFonts w:cs="Calibri"/>
              </w:rPr>
              <w:t>5</w:t>
            </w:r>
          </w:p>
        </w:tc>
        <w:tc>
          <w:tcPr>
            <w:tcW w:w="2880" w:type="dxa"/>
            <w:shd w:val="clear" w:color="auto" w:fill="auto"/>
            <w:vAlign w:val="center"/>
          </w:tcPr>
          <w:p w14:paraId="4C600867" w14:textId="77777777" w:rsidR="009B7A9C" w:rsidRPr="004062CB" w:rsidRDefault="009B7A9C" w:rsidP="006222DE">
            <w:pPr>
              <w:spacing w:after="0" w:line="240" w:lineRule="auto"/>
              <w:rPr>
                <w:rFonts w:cs="Calibri"/>
              </w:rPr>
            </w:pPr>
            <w:r w:rsidRPr="004062CB">
              <w:rPr>
                <w:rFonts w:cs="Calibri"/>
              </w:rPr>
              <w:t>≥0.2 cup equiv. per 1,000 kcal</w:t>
            </w:r>
          </w:p>
        </w:tc>
        <w:tc>
          <w:tcPr>
            <w:tcW w:w="2880" w:type="dxa"/>
            <w:shd w:val="clear" w:color="auto" w:fill="auto"/>
            <w:vAlign w:val="center"/>
          </w:tcPr>
          <w:p w14:paraId="1B2F233F" w14:textId="77777777" w:rsidR="009B7A9C" w:rsidRPr="004062CB" w:rsidRDefault="009B7A9C" w:rsidP="006222DE">
            <w:pPr>
              <w:spacing w:after="0" w:line="240" w:lineRule="auto"/>
              <w:rPr>
                <w:rFonts w:cs="Calibri"/>
              </w:rPr>
            </w:pPr>
            <w:r w:rsidRPr="004062CB">
              <w:rPr>
                <w:rFonts w:cs="Calibri"/>
              </w:rPr>
              <w:t>No Greens and Beans</w:t>
            </w:r>
          </w:p>
        </w:tc>
      </w:tr>
      <w:tr w:rsidR="009B7A9C" w:rsidRPr="00FD41B6" w14:paraId="7CA0D7A5" w14:textId="77777777" w:rsidTr="006222DE">
        <w:trPr>
          <w:jc w:val="center"/>
        </w:trPr>
        <w:tc>
          <w:tcPr>
            <w:tcW w:w="2880" w:type="dxa"/>
            <w:shd w:val="clear" w:color="auto" w:fill="auto"/>
            <w:vAlign w:val="center"/>
          </w:tcPr>
          <w:p w14:paraId="020E9A25" w14:textId="77777777" w:rsidR="009B7A9C" w:rsidRPr="00FD41B6" w:rsidRDefault="009B7A9C" w:rsidP="006222DE">
            <w:pPr>
              <w:spacing w:after="0" w:line="240" w:lineRule="auto"/>
              <w:rPr>
                <w:rFonts w:cs="Calibri"/>
                <w:b/>
                <w:bCs/>
              </w:rPr>
            </w:pPr>
            <w:r w:rsidRPr="00FD41B6">
              <w:rPr>
                <w:rFonts w:cs="Calibri"/>
                <w:b/>
                <w:bCs/>
              </w:rPr>
              <w:t>Whole Grains</w:t>
            </w:r>
          </w:p>
        </w:tc>
        <w:tc>
          <w:tcPr>
            <w:tcW w:w="789" w:type="dxa"/>
            <w:shd w:val="clear" w:color="auto" w:fill="auto"/>
            <w:vAlign w:val="center"/>
          </w:tcPr>
          <w:p w14:paraId="053C2C20" w14:textId="77777777" w:rsidR="009B7A9C" w:rsidRPr="00FD41B6" w:rsidRDefault="009B7A9C" w:rsidP="006222DE">
            <w:pPr>
              <w:spacing w:after="0" w:line="240" w:lineRule="auto"/>
              <w:rPr>
                <w:rFonts w:cs="Calibri"/>
              </w:rPr>
            </w:pPr>
            <w:r w:rsidRPr="00FD41B6">
              <w:rPr>
                <w:rFonts w:cs="Calibri"/>
              </w:rPr>
              <w:t>10</w:t>
            </w:r>
          </w:p>
        </w:tc>
        <w:tc>
          <w:tcPr>
            <w:tcW w:w="2880" w:type="dxa"/>
            <w:shd w:val="clear" w:color="auto" w:fill="auto"/>
            <w:vAlign w:val="center"/>
          </w:tcPr>
          <w:p w14:paraId="70758152" w14:textId="77777777" w:rsidR="009B7A9C" w:rsidRPr="00FD41B6" w:rsidRDefault="009B7A9C" w:rsidP="006222DE">
            <w:pPr>
              <w:spacing w:after="0" w:line="240" w:lineRule="auto"/>
              <w:rPr>
                <w:rFonts w:cs="Calibri"/>
              </w:rPr>
            </w:pPr>
            <w:r w:rsidRPr="00FD41B6">
              <w:rPr>
                <w:rFonts w:cs="Calibri"/>
              </w:rPr>
              <w:t>≥1.5 oz equiv. per 1,000 kcal</w:t>
            </w:r>
          </w:p>
        </w:tc>
        <w:tc>
          <w:tcPr>
            <w:tcW w:w="2880" w:type="dxa"/>
            <w:shd w:val="clear" w:color="auto" w:fill="auto"/>
            <w:vAlign w:val="center"/>
          </w:tcPr>
          <w:p w14:paraId="66EF1260" w14:textId="77777777" w:rsidR="009B7A9C" w:rsidRPr="00FD41B6" w:rsidRDefault="009B7A9C" w:rsidP="006222DE">
            <w:pPr>
              <w:spacing w:after="0" w:line="240" w:lineRule="auto"/>
              <w:rPr>
                <w:rFonts w:cs="Calibri"/>
              </w:rPr>
            </w:pPr>
            <w:r w:rsidRPr="00FD41B6">
              <w:rPr>
                <w:rFonts w:cs="Calibri"/>
              </w:rPr>
              <w:t>No Whole Grains</w:t>
            </w:r>
          </w:p>
        </w:tc>
      </w:tr>
      <w:tr w:rsidR="009B7A9C" w:rsidRPr="004062CB" w14:paraId="41CB6147" w14:textId="77777777" w:rsidTr="006222DE">
        <w:trPr>
          <w:jc w:val="center"/>
        </w:trPr>
        <w:tc>
          <w:tcPr>
            <w:tcW w:w="2880" w:type="dxa"/>
            <w:shd w:val="clear" w:color="auto" w:fill="auto"/>
            <w:vAlign w:val="center"/>
          </w:tcPr>
          <w:p w14:paraId="417DCEED" w14:textId="516E56DC" w:rsidR="009B7A9C" w:rsidRPr="001501BA" w:rsidRDefault="009B7A9C" w:rsidP="006222DE">
            <w:pPr>
              <w:spacing w:after="0" w:line="240" w:lineRule="auto"/>
              <w:rPr>
                <w:rFonts w:cs="Calibri"/>
                <w:b/>
                <w:bCs/>
              </w:rPr>
            </w:pPr>
            <w:r w:rsidRPr="00FD41B6">
              <w:rPr>
                <w:rFonts w:cs="Calibri"/>
                <w:b/>
                <w:bCs/>
              </w:rPr>
              <w:t>Dairy</w:t>
            </w:r>
          </w:p>
        </w:tc>
        <w:tc>
          <w:tcPr>
            <w:tcW w:w="789" w:type="dxa"/>
            <w:shd w:val="clear" w:color="auto" w:fill="auto"/>
            <w:vAlign w:val="center"/>
          </w:tcPr>
          <w:p w14:paraId="127828DA" w14:textId="77777777" w:rsidR="009B7A9C" w:rsidRPr="004062CB" w:rsidRDefault="009B7A9C" w:rsidP="006222DE">
            <w:pPr>
              <w:spacing w:after="0" w:line="240" w:lineRule="auto"/>
              <w:rPr>
                <w:rFonts w:cs="Calibri"/>
              </w:rPr>
            </w:pPr>
            <w:r w:rsidRPr="004062CB">
              <w:rPr>
                <w:rFonts w:cs="Calibri"/>
              </w:rPr>
              <w:t>10</w:t>
            </w:r>
          </w:p>
        </w:tc>
        <w:tc>
          <w:tcPr>
            <w:tcW w:w="2880" w:type="dxa"/>
            <w:shd w:val="clear" w:color="auto" w:fill="auto"/>
            <w:vAlign w:val="center"/>
          </w:tcPr>
          <w:p w14:paraId="26C3E300" w14:textId="77777777" w:rsidR="009B7A9C" w:rsidRPr="004062CB" w:rsidRDefault="009B7A9C" w:rsidP="006222DE">
            <w:pPr>
              <w:spacing w:after="0" w:line="240" w:lineRule="auto"/>
              <w:rPr>
                <w:rFonts w:cs="Calibri"/>
              </w:rPr>
            </w:pPr>
            <w:r w:rsidRPr="004062CB">
              <w:rPr>
                <w:rFonts w:cs="Calibri"/>
              </w:rPr>
              <w:t xml:space="preserve">≥1.3 cup equiv. per 1,000 kcal </w:t>
            </w:r>
          </w:p>
        </w:tc>
        <w:tc>
          <w:tcPr>
            <w:tcW w:w="2880" w:type="dxa"/>
            <w:shd w:val="clear" w:color="auto" w:fill="auto"/>
            <w:vAlign w:val="center"/>
          </w:tcPr>
          <w:p w14:paraId="43E84C7E" w14:textId="77777777" w:rsidR="009B7A9C" w:rsidRPr="004062CB" w:rsidRDefault="009B7A9C" w:rsidP="006222DE">
            <w:pPr>
              <w:spacing w:after="0" w:line="240" w:lineRule="auto"/>
              <w:rPr>
                <w:rFonts w:cs="Calibri"/>
              </w:rPr>
            </w:pPr>
            <w:r w:rsidRPr="004062CB">
              <w:rPr>
                <w:rFonts w:cs="Calibri"/>
              </w:rPr>
              <w:t>No Dairy</w:t>
            </w:r>
          </w:p>
        </w:tc>
      </w:tr>
      <w:tr w:rsidR="009B7A9C" w:rsidRPr="004062CB" w14:paraId="0031144A" w14:textId="77777777" w:rsidTr="006222DE">
        <w:trPr>
          <w:jc w:val="center"/>
        </w:trPr>
        <w:tc>
          <w:tcPr>
            <w:tcW w:w="2880" w:type="dxa"/>
            <w:shd w:val="clear" w:color="auto" w:fill="auto"/>
            <w:vAlign w:val="center"/>
          </w:tcPr>
          <w:p w14:paraId="325FC306" w14:textId="11070E57" w:rsidR="009B7A9C" w:rsidRPr="001501BA" w:rsidRDefault="009B7A9C" w:rsidP="006222DE">
            <w:pPr>
              <w:spacing w:after="0" w:line="240" w:lineRule="auto"/>
              <w:rPr>
                <w:rFonts w:cs="Calibri"/>
                <w:b/>
                <w:bCs/>
              </w:rPr>
            </w:pPr>
            <w:r w:rsidRPr="00FD41B6">
              <w:rPr>
                <w:rFonts w:cs="Calibri"/>
                <w:b/>
                <w:bCs/>
              </w:rPr>
              <w:t>Total Protein Foods</w:t>
            </w:r>
          </w:p>
        </w:tc>
        <w:tc>
          <w:tcPr>
            <w:tcW w:w="789" w:type="dxa"/>
            <w:shd w:val="clear" w:color="auto" w:fill="auto"/>
            <w:vAlign w:val="center"/>
          </w:tcPr>
          <w:p w14:paraId="1EC99C0B" w14:textId="77777777" w:rsidR="009B7A9C" w:rsidRPr="004062CB" w:rsidRDefault="009B7A9C" w:rsidP="006222DE">
            <w:pPr>
              <w:spacing w:after="0" w:line="240" w:lineRule="auto"/>
              <w:rPr>
                <w:rFonts w:cs="Calibri"/>
              </w:rPr>
            </w:pPr>
            <w:r w:rsidRPr="004062CB">
              <w:rPr>
                <w:rFonts w:cs="Calibri"/>
              </w:rPr>
              <w:t>5</w:t>
            </w:r>
          </w:p>
        </w:tc>
        <w:tc>
          <w:tcPr>
            <w:tcW w:w="2880" w:type="dxa"/>
            <w:shd w:val="clear" w:color="auto" w:fill="auto"/>
            <w:vAlign w:val="center"/>
          </w:tcPr>
          <w:p w14:paraId="377403D3" w14:textId="77777777" w:rsidR="009B7A9C" w:rsidRPr="004062CB" w:rsidRDefault="009B7A9C" w:rsidP="006222DE">
            <w:pPr>
              <w:spacing w:after="0" w:line="240" w:lineRule="auto"/>
              <w:rPr>
                <w:rFonts w:cs="Calibri"/>
              </w:rPr>
            </w:pPr>
            <w:r w:rsidRPr="004062CB">
              <w:rPr>
                <w:rFonts w:cs="Calibri"/>
              </w:rPr>
              <w:t>≥2.5 oz equiv. per 1,000 kcal</w:t>
            </w:r>
          </w:p>
        </w:tc>
        <w:tc>
          <w:tcPr>
            <w:tcW w:w="2880" w:type="dxa"/>
            <w:shd w:val="clear" w:color="auto" w:fill="auto"/>
            <w:vAlign w:val="center"/>
          </w:tcPr>
          <w:p w14:paraId="78C38779" w14:textId="77777777" w:rsidR="009B7A9C" w:rsidRPr="004062CB" w:rsidRDefault="009B7A9C" w:rsidP="006222DE">
            <w:pPr>
              <w:spacing w:after="0" w:line="240" w:lineRule="auto"/>
              <w:rPr>
                <w:rFonts w:cs="Calibri"/>
              </w:rPr>
            </w:pPr>
            <w:r w:rsidRPr="004062CB">
              <w:rPr>
                <w:rFonts w:cs="Calibri"/>
              </w:rPr>
              <w:t>No Protein Foods</w:t>
            </w:r>
          </w:p>
        </w:tc>
      </w:tr>
      <w:tr w:rsidR="009B7A9C" w:rsidRPr="004062CB" w14:paraId="19BC5D67" w14:textId="77777777" w:rsidTr="006222DE">
        <w:trPr>
          <w:jc w:val="center"/>
        </w:trPr>
        <w:tc>
          <w:tcPr>
            <w:tcW w:w="2880" w:type="dxa"/>
            <w:shd w:val="clear" w:color="auto" w:fill="auto"/>
            <w:vAlign w:val="center"/>
          </w:tcPr>
          <w:p w14:paraId="75E3FA93" w14:textId="56BDDFF8" w:rsidR="009B7A9C" w:rsidRPr="001501BA" w:rsidRDefault="009B7A9C" w:rsidP="006222DE">
            <w:pPr>
              <w:spacing w:after="0" w:line="240" w:lineRule="auto"/>
              <w:rPr>
                <w:rFonts w:cs="Calibri"/>
                <w:b/>
                <w:bCs/>
              </w:rPr>
            </w:pPr>
            <w:r w:rsidRPr="00FD41B6">
              <w:rPr>
                <w:rFonts w:cs="Calibri"/>
                <w:b/>
                <w:bCs/>
              </w:rPr>
              <w:t>Seafood and Plant Proteins</w:t>
            </w:r>
          </w:p>
        </w:tc>
        <w:tc>
          <w:tcPr>
            <w:tcW w:w="789" w:type="dxa"/>
            <w:shd w:val="clear" w:color="auto" w:fill="auto"/>
            <w:vAlign w:val="center"/>
          </w:tcPr>
          <w:p w14:paraId="4610D33D" w14:textId="77777777" w:rsidR="009B7A9C" w:rsidRPr="004062CB" w:rsidRDefault="009B7A9C" w:rsidP="006222DE">
            <w:pPr>
              <w:spacing w:after="0" w:line="240" w:lineRule="auto"/>
              <w:rPr>
                <w:rFonts w:cs="Calibri"/>
              </w:rPr>
            </w:pPr>
            <w:r w:rsidRPr="004062CB">
              <w:rPr>
                <w:rFonts w:cs="Calibri"/>
              </w:rPr>
              <w:t>5</w:t>
            </w:r>
          </w:p>
        </w:tc>
        <w:tc>
          <w:tcPr>
            <w:tcW w:w="2880" w:type="dxa"/>
            <w:shd w:val="clear" w:color="auto" w:fill="auto"/>
            <w:vAlign w:val="center"/>
          </w:tcPr>
          <w:p w14:paraId="0E849A5D" w14:textId="77777777" w:rsidR="009B7A9C" w:rsidRPr="004062CB" w:rsidRDefault="009B7A9C" w:rsidP="006222DE">
            <w:pPr>
              <w:spacing w:after="0" w:line="240" w:lineRule="auto"/>
              <w:rPr>
                <w:rFonts w:cs="Calibri"/>
              </w:rPr>
            </w:pPr>
            <w:r w:rsidRPr="004062CB">
              <w:rPr>
                <w:rFonts w:cs="Calibri"/>
              </w:rPr>
              <w:t>≥0.8 oz equiv. per 1,000 kcal</w:t>
            </w:r>
          </w:p>
        </w:tc>
        <w:tc>
          <w:tcPr>
            <w:tcW w:w="2880" w:type="dxa"/>
            <w:shd w:val="clear" w:color="auto" w:fill="auto"/>
            <w:vAlign w:val="center"/>
          </w:tcPr>
          <w:p w14:paraId="1022950A" w14:textId="77777777" w:rsidR="009B7A9C" w:rsidRPr="004062CB" w:rsidRDefault="009B7A9C" w:rsidP="006222DE">
            <w:pPr>
              <w:spacing w:after="0" w:line="240" w:lineRule="auto"/>
              <w:rPr>
                <w:rFonts w:cs="Calibri"/>
              </w:rPr>
            </w:pPr>
            <w:r w:rsidRPr="004062CB">
              <w:rPr>
                <w:rFonts w:cs="Calibri"/>
              </w:rPr>
              <w:t>No Seafood or Plant Proteins</w:t>
            </w:r>
          </w:p>
        </w:tc>
      </w:tr>
      <w:tr w:rsidR="009B7A9C" w:rsidRPr="004062CB" w14:paraId="570ACB53" w14:textId="77777777" w:rsidTr="006222DE">
        <w:trPr>
          <w:jc w:val="center"/>
        </w:trPr>
        <w:tc>
          <w:tcPr>
            <w:tcW w:w="2880" w:type="dxa"/>
            <w:tcBorders>
              <w:bottom w:val="single" w:sz="4" w:space="0" w:color="auto"/>
            </w:tcBorders>
            <w:shd w:val="clear" w:color="auto" w:fill="auto"/>
            <w:vAlign w:val="center"/>
          </w:tcPr>
          <w:p w14:paraId="6A57F7CE" w14:textId="4D46080E" w:rsidR="009B7A9C" w:rsidRPr="001501BA" w:rsidRDefault="009B7A9C" w:rsidP="006222DE">
            <w:pPr>
              <w:spacing w:after="0" w:line="240" w:lineRule="auto"/>
              <w:rPr>
                <w:rFonts w:cs="Calibri"/>
                <w:b/>
                <w:bCs/>
              </w:rPr>
            </w:pPr>
            <w:r w:rsidRPr="00FD41B6">
              <w:rPr>
                <w:rFonts w:cs="Calibri"/>
                <w:b/>
                <w:bCs/>
              </w:rPr>
              <w:t>Fatty Acids</w:t>
            </w:r>
          </w:p>
        </w:tc>
        <w:tc>
          <w:tcPr>
            <w:tcW w:w="789" w:type="dxa"/>
            <w:tcBorders>
              <w:bottom w:val="single" w:sz="4" w:space="0" w:color="auto"/>
            </w:tcBorders>
            <w:shd w:val="clear" w:color="auto" w:fill="auto"/>
            <w:vAlign w:val="center"/>
          </w:tcPr>
          <w:p w14:paraId="4BCA8D4D" w14:textId="77777777" w:rsidR="009B7A9C" w:rsidRPr="004062CB" w:rsidRDefault="009B7A9C" w:rsidP="006222DE">
            <w:pPr>
              <w:spacing w:after="0" w:line="240" w:lineRule="auto"/>
              <w:rPr>
                <w:rFonts w:cs="Calibri"/>
              </w:rPr>
            </w:pPr>
            <w:r w:rsidRPr="004062CB">
              <w:rPr>
                <w:rFonts w:cs="Calibri"/>
              </w:rPr>
              <w:t>10</w:t>
            </w:r>
          </w:p>
        </w:tc>
        <w:tc>
          <w:tcPr>
            <w:tcW w:w="2880" w:type="dxa"/>
            <w:tcBorders>
              <w:bottom w:val="single" w:sz="4" w:space="0" w:color="auto"/>
            </w:tcBorders>
            <w:shd w:val="clear" w:color="auto" w:fill="auto"/>
            <w:vAlign w:val="center"/>
          </w:tcPr>
          <w:p w14:paraId="349B994B" w14:textId="77777777" w:rsidR="009B7A9C" w:rsidRPr="004062CB" w:rsidRDefault="009B7A9C" w:rsidP="006222DE">
            <w:pPr>
              <w:spacing w:after="0" w:line="240" w:lineRule="auto"/>
              <w:rPr>
                <w:rFonts w:cs="Calibri"/>
              </w:rPr>
            </w:pPr>
            <w:r w:rsidRPr="004062CB">
              <w:rPr>
                <w:rFonts w:cs="Calibri"/>
              </w:rPr>
              <w:t>(PUFAs + MUFAs)/SFAs ≥2.5</w:t>
            </w:r>
          </w:p>
        </w:tc>
        <w:tc>
          <w:tcPr>
            <w:tcW w:w="2880" w:type="dxa"/>
            <w:shd w:val="clear" w:color="auto" w:fill="auto"/>
            <w:vAlign w:val="center"/>
          </w:tcPr>
          <w:p w14:paraId="50548F50" w14:textId="77777777" w:rsidR="009B7A9C" w:rsidRPr="004062CB" w:rsidRDefault="009B7A9C" w:rsidP="006222DE">
            <w:pPr>
              <w:spacing w:after="0" w:line="240" w:lineRule="auto"/>
              <w:rPr>
                <w:rFonts w:cs="Calibri"/>
              </w:rPr>
            </w:pPr>
            <w:r w:rsidRPr="004062CB">
              <w:rPr>
                <w:rFonts w:cs="Calibri"/>
              </w:rPr>
              <w:t>(PUFAs + MUFAs)/SFAs ≤1.2</w:t>
            </w:r>
          </w:p>
        </w:tc>
      </w:tr>
      <w:tr w:rsidR="009B7A9C" w:rsidRPr="00FD41B6" w14:paraId="203A5B08" w14:textId="77777777" w:rsidTr="006222DE">
        <w:trPr>
          <w:jc w:val="center"/>
        </w:trPr>
        <w:tc>
          <w:tcPr>
            <w:tcW w:w="2880" w:type="dxa"/>
            <w:tcBorders>
              <w:right w:val="nil"/>
            </w:tcBorders>
            <w:shd w:val="clear" w:color="auto" w:fill="EEECE1"/>
            <w:vAlign w:val="center"/>
          </w:tcPr>
          <w:p w14:paraId="54271222" w14:textId="77777777" w:rsidR="009B7A9C" w:rsidRPr="00FD41B6" w:rsidRDefault="009B7A9C" w:rsidP="006222DE">
            <w:pPr>
              <w:pStyle w:val="Default"/>
              <w:rPr>
                <w:rFonts w:ascii="Calibri" w:hAnsi="Calibri" w:cs="Calibri"/>
                <w:b/>
                <w:sz w:val="22"/>
                <w:szCs w:val="22"/>
              </w:rPr>
            </w:pPr>
            <w:r w:rsidRPr="00FD41B6">
              <w:rPr>
                <w:rFonts w:ascii="Calibri" w:hAnsi="Calibri" w:cs="Calibri"/>
                <w:b/>
                <w:sz w:val="22"/>
                <w:szCs w:val="22"/>
              </w:rPr>
              <w:t>Moderation:</w:t>
            </w:r>
          </w:p>
        </w:tc>
        <w:tc>
          <w:tcPr>
            <w:tcW w:w="789" w:type="dxa"/>
            <w:tcBorders>
              <w:left w:val="nil"/>
              <w:right w:val="nil"/>
            </w:tcBorders>
            <w:shd w:val="clear" w:color="auto" w:fill="EEECE1"/>
          </w:tcPr>
          <w:p w14:paraId="79EF7A2A" w14:textId="77777777" w:rsidR="009B7A9C" w:rsidRPr="00FD41B6" w:rsidRDefault="009B7A9C" w:rsidP="006222DE">
            <w:pPr>
              <w:pStyle w:val="Default"/>
              <w:rPr>
                <w:rFonts w:ascii="Calibri" w:hAnsi="Calibri" w:cs="Calibri"/>
                <w:sz w:val="22"/>
                <w:szCs w:val="22"/>
              </w:rPr>
            </w:pPr>
          </w:p>
        </w:tc>
        <w:tc>
          <w:tcPr>
            <w:tcW w:w="2880" w:type="dxa"/>
            <w:tcBorders>
              <w:left w:val="nil"/>
              <w:right w:val="nil"/>
            </w:tcBorders>
            <w:shd w:val="clear" w:color="auto" w:fill="EEECE1"/>
          </w:tcPr>
          <w:p w14:paraId="732E98F6" w14:textId="77777777" w:rsidR="009B7A9C" w:rsidRPr="00FD41B6" w:rsidRDefault="009B7A9C" w:rsidP="006222DE">
            <w:pPr>
              <w:pStyle w:val="Default"/>
              <w:rPr>
                <w:rFonts w:ascii="Calibri" w:hAnsi="Calibri" w:cs="Calibri"/>
                <w:sz w:val="22"/>
                <w:szCs w:val="22"/>
              </w:rPr>
            </w:pPr>
          </w:p>
        </w:tc>
        <w:tc>
          <w:tcPr>
            <w:tcW w:w="2880" w:type="dxa"/>
            <w:tcBorders>
              <w:left w:val="nil"/>
            </w:tcBorders>
            <w:shd w:val="clear" w:color="auto" w:fill="EEECE1"/>
          </w:tcPr>
          <w:p w14:paraId="5DAF115F" w14:textId="77777777" w:rsidR="009B7A9C" w:rsidRPr="00FD41B6" w:rsidRDefault="009B7A9C" w:rsidP="006222DE">
            <w:pPr>
              <w:pStyle w:val="Default"/>
              <w:rPr>
                <w:rFonts w:ascii="Calibri" w:hAnsi="Calibri" w:cs="Calibri"/>
                <w:sz w:val="22"/>
                <w:szCs w:val="22"/>
              </w:rPr>
            </w:pPr>
          </w:p>
        </w:tc>
      </w:tr>
      <w:tr w:rsidR="009B7A9C" w:rsidRPr="00FD41B6" w14:paraId="6A6F67A6" w14:textId="77777777" w:rsidTr="006222DE">
        <w:trPr>
          <w:jc w:val="center"/>
        </w:trPr>
        <w:tc>
          <w:tcPr>
            <w:tcW w:w="2880" w:type="dxa"/>
            <w:shd w:val="clear" w:color="auto" w:fill="auto"/>
            <w:vAlign w:val="center"/>
          </w:tcPr>
          <w:p w14:paraId="79C2FC7F" w14:textId="77777777" w:rsidR="009B7A9C" w:rsidRPr="00FD41B6" w:rsidRDefault="009B7A9C" w:rsidP="006222DE">
            <w:pPr>
              <w:spacing w:after="0" w:line="240" w:lineRule="auto"/>
              <w:rPr>
                <w:rFonts w:cs="Calibri"/>
                <w:b/>
                <w:bCs/>
              </w:rPr>
            </w:pPr>
            <w:r w:rsidRPr="00FD41B6">
              <w:rPr>
                <w:rFonts w:cs="Calibri"/>
                <w:b/>
                <w:bCs/>
              </w:rPr>
              <w:t>Refined Grains</w:t>
            </w:r>
          </w:p>
        </w:tc>
        <w:tc>
          <w:tcPr>
            <w:tcW w:w="789" w:type="dxa"/>
            <w:shd w:val="clear" w:color="auto" w:fill="auto"/>
            <w:vAlign w:val="center"/>
          </w:tcPr>
          <w:p w14:paraId="485D95FD" w14:textId="77777777" w:rsidR="009B7A9C" w:rsidRPr="00FD41B6" w:rsidRDefault="009B7A9C" w:rsidP="006222DE">
            <w:pPr>
              <w:spacing w:after="0" w:line="240" w:lineRule="auto"/>
              <w:rPr>
                <w:rFonts w:cs="Calibri"/>
              </w:rPr>
            </w:pPr>
            <w:r w:rsidRPr="00FD41B6">
              <w:rPr>
                <w:rFonts w:cs="Calibri"/>
              </w:rPr>
              <w:t>10</w:t>
            </w:r>
          </w:p>
        </w:tc>
        <w:tc>
          <w:tcPr>
            <w:tcW w:w="2880" w:type="dxa"/>
            <w:shd w:val="clear" w:color="auto" w:fill="auto"/>
            <w:vAlign w:val="center"/>
          </w:tcPr>
          <w:p w14:paraId="494FDC82" w14:textId="77777777" w:rsidR="009B7A9C" w:rsidRPr="00FD41B6" w:rsidRDefault="009B7A9C" w:rsidP="006222DE">
            <w:pPr>
              <w:spacing w:after="0" w:line="240" w:lineRule="auto"/>
              <w:rPr>
                <w:rFonts w:cs="Calibri"/>
              </w:rPr>
            </w:pPr>
            <w:r w:rsidRPr="00FD41B6">
              <w:rPr>
                <w:rFonts w:cs="Calibri"/>
              </w:rPr>
              <w:t>≤1.8 oz equiv. per 1,000 kcal</w:t>
            </w:r>
          </w:p>
        </w:tc>
        <w:tc>
          <w:tcPr>
            <w:tcW w:w="2880" w:type="dxa"/>
            <w:shd w:val="clear" w:color="auto" w:fill="auto"/>
            <w:vAlign w:val="center"/>
          </w:tcPr>
          <w:p w14:paraId="17CB39A7" w14:textId="77777777" w:rsidR="009B7A9C" w:rsidRPr="00FD41B6" w:rsidRDefault="009B7A9C" w:rsidP="006222DE">
            <w:pPr>
              <w:spacing w:after="0" w:line="240" w:lineRule="auto"/>
              <w:rPr>
                <w:rFonts w:cs="Calibri"/>
              </w:rPr>
            </w:pPr>
            <w:r w:rsidRPr="00FD41B6">
              <w:rPr>
                <w:rFonts w:cs="Calibri"/>
              </w:rPr>
              <w:t xml:space="preserve">≥4.3 oz equiv. per 1,000 kcal </w:t>
            </w:r>
          </w:p>
        </w:tc>
      </w:tr>
      <w:tr w:rsidR="009B7A9C" w:rsidRPr="00FD41B6" w14:paraId="6458E39D" w14:textId="77777777" w:rsidTr="006222DE">
        <w:trPr>
          <w:jc w:val="center"/>
        </w:trPr>
        <w:tc>
          <w:tcPr>
            <w:tcW w:w="2880" w:type="dxa"/>
            <w:shd w:val="clear" w:color="auto" w:fill="auto"/>
            <w:vAlign w:val="center"/>
          </w:tcPr>
          <w:p w14:paraId="4EE83D0C" w14:textId="77777777" w:rsidR="009B7A9C" w:rsidRPr="00FD41B6" w:rsidRDefault="009B7A9C" w:rsidP="006222DE">
            <w:pPr>
              <w:spacing w:after="0" w:line="240" w:lineRule="auto"/>
              <w:rPr>
                <w:rFonts w:cs="Calibri"/>
                <w:b/>
                <w:bCs/>
              </w:rPr>
            </w:pPr>
            <w:r w:rsidRPr="00FD41B6">
              <w:rPr>
                <w:rFonts w:cs="Calibri"/>
                <w:b/>
                <w:bCs/>
              </w:rPr>
              <w:t>Sodium</w:t>
            </w:r>
          </w:p>
        </w:tc>
        <w:tc>
          <w:tcPr>
            <w:tcW w:w="789" w:type="dxa"/>
            <w:shd w:val="clear" w:color="auto" w:fill="auto"/>
            <w:vAlign w:val="center"/>
          </w:tcPr>
          <w:p w14:paraId="3E7AC4DC" w14:textId="77777777" w:rsidR="009B7A9C" w:rsidRPr="00FD41B6" w:rsidRDefault="009B7A9C" w:rsidP="006222DE">
            <w:pPr>
              <w:spacing w:after="0" w:line="240" w:lineRule="auto"/>
              <w:rPr>
                <w:rFonts w:cs="Calibri"/>
              </w:rPr>
            </w:pPr>
            <w:r w:rsidRPr="00FD41B6">
              <w:rPr>
                <w:rFonts w:cs="Calibri"/>
              </w:rPr>
              <w:t>10</w:t>
            </w:r>
          </w:p>
        </w:tc>
        <w:tc>
          <w:tcPr>
            <w:tcW w:w="2880" w:type="dxa"/>
            <w:shd w:val="clear" w:color="auto" w:fill="auto"/>
            <w:vAlign w:val="center"/>
          </w:tcPr>
          <w:p w14:paraId="06DEFB0D" w14:textId="77777777" w:rsidR="009B7A9C" w:rsidRPr="00FD41B6" w:rsidRDefault="009B7A9C" w:rsidP="006222DE">
            <w:pPr>
              <w:spacing w:after="0" w:line="240" w:lineRule="auto"/>
              <w:rPr>
                <w:rFonts w:cs="Calibri"/>
              </w:rPr>
            </w:pPr>
            <w:r w:rsidRPr="00FD41B6">
              <w:rPr>
                <w:rFonts w:cs="Calibri"/>
              </w:rPr>
              <w:t>≤1.1 gram per 1,000 kcal</w:t>
            </w:r>
          </w:p>
        </w:tc>
        <w:tc>
          <w:tcPr>
            <w:tcW w:w="2880" w:type="dxa"/>
            <w:shd w:val="clear" w:color="auto" w:fill="auto"/>
            <w:vAlign w:val="center"/>
          </w:tcPr>
          <w:p w14:paraId="3351CE02" w14:textId="77777777" w:rsidR="009B7A9C" w:rsidRPr="00FD41B6" w:rsidRDefault="009B7A9C" w:rsidP="006222DE">
            <w:pPr>
              <w:spacing w:after="0" w:line="240" w:lineRule="auto"/>
              <w:rPr>
                <w:rFonts w:cs="Calibri"/>
              </w:rPr>
            </w:pPr>
            <w:r w:rsidRPr="00FD41B6">
              <w:rPr>
                <w:rFonts w:cs="Calibri"/>
              </w:rPr>
              <w:t>≥2.0 grams per 1,000 kcal</w:t>
            </w:r>
          </w:p>
        </w:tc>
      </w:tr>
      <w:tr w:rsidR="009B7A9C" w:rsidRPr="00FD41B6" w14:paraId="6BC13B8C" w14:textId="77777777" w:rsidTr="006222DE">
        <w:trPr>
          <w:jc w:val="center"/>
        </w:trPr>
        <w:tc>
          <w:tcPr>
            <w:tcW w:w="2880" w:type="dxa"/>
            <w:shd w:val="clear" w:color="auto" w:fill="auto"/>
            <w:vAlign w:val="center"/>
          </w:tcPr>
          <w:p w14:paraId="4120E36A" w14:textId="77777777" w:rsidR="009B7A9C" w:rsidRPr="00FD41B6" w:rsidRDefault="009B7A9C" w:rsidP="006222DE">
            <w:pPr>
              <w:spacing w:after="0" w:line="240" w:lineRule="auto"/>
              <w:rPr>
                <w:rFonts w:cs="Calibri"/>
                <w:b/>
                <w:bCs/>
              </w:rPr>
            </w:pPr>
            <w:r w:rsidRPr="00FD41B6">
              <w:rPr>
                <w:rFonts w:cs="Calibri"/>
                <w:b/>
                <w:bCs/>
              </w:rPr>
              <w:t>Added Sugars</w:t>
            </w:r>
          </w:p>
        </w:tc>
        <w:tc>
          <w:tcPr>
            <w:tcW w:w="789" w:type="dxa"/>
            <w:shd w:val="clear" w:color="auto" w:fill="auto"/>
            <w:vAlign w:val="center"/>
          </w:tcPr>
          <w:p w14:paraId="25C12A22" w14:textId="77777777" w:rsidR="009B7A9C" w:rsidRPr="00FD41B6" w:rsidRDefault="009B7A9C" w:rsidP="006222DE">
            <w:pPr>
              <w:spacing w:after="0" w:line="240" w:lineRule="auto"/>
              <w:rPr>
                <w:rFonts w:cs="Calibri"/>
              </w:rPr>
            </w:pPr>
            <w:r w:rsidRPr="00FD41B6">
              <w:rPr>
                <w:rFonts w:cs="Calibri"/>
              </w:rPr>
              <w:t>10</w:t>
            </w:r>
          </w:p>
        </w:tc>
        <w:tc>
          <w:tcPr>
            <w:tcW w:w="2880" w:type="dxa"/>
            <w:shd w:val="clear" w:color="auto" w:fill="auto"/>
            <w:vAlign w:val="center"/>
          </w:tcPr>
          <w:p w14:paraId="7E7A1EE8" w14:textId="77777777" w:rsidR="009B7A9C" w:rsidRPr="00FD41B6" w:rsidRDefault="009B7A9C" w:rsidP="006222DE">
            <w:pPr>
              <w:spacing w:after="0" w:line="240" w:lineRule="auto"/>
              <w:rPr>
                <w:rFonts w:cs="Calibri"/>
              </w:rPr>
            </w:pPr>
            <w:r w:rsidRPr="00FD41B6">
              <w:rPr>
                <w:rFonts w:cs="Calibri"/>
              </w:rPr>
              <w:t>≤6.5% of energy</w:t>
            </w:r>
          </w:p>
        </w:tc>
        <w:tc>
          <w:tcPr>
            <w:tcW w:w="2880" w:type="dxa"/>
            <w:shd w:val="clear" w:color="auto" w:fill="auto"/>
            <w:vAlign w:val="center"/>
          </w:tcPr>
          <w:p w14:paraId="2E00B234" w14:textId="77777777" w:rsidR="009B7A9C" w:rsidRPr="00FD41B6" w:rsidRDefault="009B7A9C" w:rsidP="006222DE">
            <w:pPr>
              <w:spacing w:after="0" w:line="240" w:lineRule="auto"/>
              <w:rPr>
                <w:rFonts w:cs="Calibri"/>
              </w:rPr>
            </w:pPr>
            <w:r w:rsidRPr="00FD41B6">
              <w:rPr>
                <w:rFonts w:cs="Calibri"/>
              </w:rPr>
              <w:t>≥26% of energy</w:t>
            </w:r>
          </w:p>
        </w:tc>
      </w:tr>
      <w:tr w:rsidR="009B7A9C" w:rsidRPr="00FD41B6" w14:paraId="21D94E60" w14:textId="77777777" w:rsidTr="006222DE">
        <w:trPr>
          <w:jc w:val="center"/>
        </w:trPr>
        <w:tc>
          <w:tcPr>
            <w:tcW w:w="2880" w:type="dxa"/>
            <w:shd w:val="clear" w:color="auto" w:fill="auto"/>
            <w:vAlign w:val="center"/>
          </w:tcPr>
          <w:p w14:paraId="6F164EB6" w14:textId="77777777" w:rsidR="009B7A9C" w:rsidRPr="00FD41B6" w:rsidRDefault="009B7A9C" w:rsidP="006222DE">
            <w:pPr>
              <w:spacing w:after="0" w:line="240" w:lineRule="auto"/>
              <w:rPr>
                <w:rFonts w:cs="Calibri"/>
                <w:b/>
                <w:bCs/>
              </w:rPr>
            </w:pPr>
            <w:r w:rsidRPr="00FD41B6">
              <w:rPr>
                <w:rFonts w:cs="Calibri"/>
                <w:b/>
                <w:bCs/>
              </w:rPr>
              <w:t>Saturated Fats</w:t>
            </w:r>
          </w:p>
        </w:tc>
        <w:tc>
          <w:tcPr>
            <w:tcW w:w="789" w:type="dxa"/>
            <w:shd w:val="clear" w:color="auto" w:fill="auto"/>
            <w:vAlign w:val="center"/>
          </w:tcPr>
          <w:p w14:paraId="45D688D7" w14:textId="77777777" w:rsidR="009B7A9C" w:rsidRPr="00FD41B6" w:rsidRDefault="009B7A9C" w:rsidP="006222DE">
            <w:pPr>
              <w:spacing w:after="0" w:line="240" w:lineRule="auto"/>
              <w:rPr>
                <w:rFonts w:cs="Calibri"/>
              </w:rPr>
            </w:pPr>
            <w:r w:rsidRPr="00FD41B6">
              <w:rPr>
                <w:rFonts w:cs="Calibri"/>
              </w:rPr>
              <w:t>10</w:t>
            </w:r>
          </w:p>
        </w:tc>
        <w:tc>
          <w:tcPr>
            <w:tcW w:w="2880" w:type="dxa"/>
            <w:shd w:val="clear" w:color="auto" w:fill="auto"/>
            <w:vAlign w:val="center"/>
          </w:tcPr>
          <w:p w14:paraId="524C6929" w14:textId="77777777" w:rsidR="009B7A9C" w:rsidRPr="00FD41B6" w:rsidRDefault="009B7A9C" w:rsidP="006222DE">
            <w:pPr>
              <w:spacing w:after="0" w:line="240" w:lineRule="auto"/>
              <w:rPr>
                <w:rFonts w:cs="Calibri"/>
              </w:rPr>
            </w:pPr>
            <w:r w:rsidRPr="00FD41B6">
              <w:rPr>
                <w:rFonts w:cs="Calibri"/>
              </w:rPr>
              <w:t>≤8% of energy</w:t>
            </w:r>
          </w:p>
        </w:tc>
        <w:tc>
          <w:tcPr>
            <w:tcW w:w="2880" w:type="dxa"/>
            <w:shd w:val="clear" w:color="auto" w:fill="auto"/>
            <w:vAlign w:val="center"/>
          </w:tcPr>
          <w:p w14:paraId="586B278E" w14:textId="77777777" w:rsidR="009B7A9C" w:rsidRPr="00FD41B6" w:rsidRDefault="009B7A9C" w:rsidP="006222DE">
            <w:pPr>
              <w:spacing w:after="0" w:line="240" w:lineRule="auto"/>
              <w:rPr>
                <w:rFonts w:cs="Calibri"/>
              </w:rPr>
            </w:pPr>
            <w:r w:rsidRPr="00FD41B6">
              <w:rPr>
                <w:rFonts w:cs="Calibri"/>
              </w:rPr>
              <w:t>≥16% of energy</w:t>
            </w:r>
          </w:p>
        </w:tc>
      </w:tr>
    </w:tbl>
    <w:p w14:paraId="28A07FE9" w14:textId="77777777" w:rsidR="007827B7" w:rsidRDefault="007827B7" w:rsidP="00EE1DC3">
      <w:pPr>
        <w:rPr>
          <w:b/>
        </w:rPr>
      </w:pPr>
    </w:p>
    <w:p w14:paraId="406A26C2" w14:textId="53E32D91" w:rsidR="00720A32" w:rsidRDefault="00720A32" w:rsidP="00720A32">
      <w:r>
        <w:tab/>
        <w:t xml:space="preserve">In this lab, you will </w:t>
      </w:r>
      <w:r w:rsidR="00B90FE5">
        <w:t>study the relationship between the</w:t>
      </w:r>
      <w:r>
        <w:t xml:space="preserve"> nutritional quality of a person’s diet, measured by HEI, </w:t>
      </w:r>
      <w:r w:rsidR="00B90FE5">
        <w:t>and</w:t>
      </w:r>
      <w:r>
        <w:t xml:space="preserve"> </w:t>
      </w:r>
      <w:r w:rsidR="00B90FE5">
        <w:t>kidney</w:t>
      </w:r>
      <w:r>
        <w:t xml:space="preserve"> function</w:t>
      </w:r>
      <w:r w:rsidR="00B90FE5">
        <w:t xml:space="preserve">, measured by </w:t>
      </w:r>
      <w:r w:rsidR="00B90FE5" w:rsidRPr="00EC3D66">
        <w:t xml:space="preserve">albumin </w:t>
      </w:r>
      <w:r w:rsidR="00B90FE5">
        <w:t xml:space="preserve">lab tests. Since renal function is known to be influenced by </w:t>
      </w:r>
      <w:r w:rsidR="00EA74F2">
        <w:t>several</w:t>
      </w:r>
      <w:r w:rsidR="00B90FE5">
        <w:t xml:space="preserve"> risk factors </w:t>
      </w:r>
      <w:r>
        <w:t xml:space="preserve">you </w:t>
      </w:r>
      <w:r w:rsidR="00D01023">
        <w:t>must</w:t>
      </w:r>
      <w:r w:rsidR="00B90FE5">
        <w:t xml:space="preserve"> also</w:t>
      </w:r>
      <w:r>
        <w:t xml:space="preserve"> consider the effects of </w:t>
      </w:r>
      <w:r w:rsidR="00B90FE5">
        <w:t>additional variables</w:t>
      </w:r>
      <w:r w:rsidR="00D01023">
        <w:t xml:space="preserve">. For example, </w:t>
      </w:r>
      <w:r w:rsidR="004135FF">
        <w:t xml:space="preserve">risk of </w:t>
      </w:r>
      <w:r w:rsidR="004135FF" w:rsidRPr="00B90FE5">
        <w:t>kidney disease</w:t>
      </w:r>
      <w:r w:rsidR="004135FF">
        <w:t xml:space="preserve"> in</w:t>
      </w:r>
      <w:r w:rsidR="00D01023">
        <w:t>creases with age</w:t>
      </w:r>
      <w:r w:rsidR="004135FF">
        <w:t>, and is more common in</w:t>
      </w:r>
      <w:r w:rsidR="00D01023">
        <w:t xml:space="preserve"> </w:t>
      </w:r>
      <w:r w:rsidR="00D01023" w:rsidRPr="00B90FE5">
        <w:t>African Americans.</w:t>
      </w:r>
      <w:r w:rsidR="00B90FE5">
        <w:t xml:space="preserve"> </w:t>
      </w:r>
      <w:r w:rsidR="00D01023">
        <w:t xml:space="preserve">The dataset therefore also </w:t>
      </w:r>
      <w:r w:rsidR="00B90FE5">
        <w:t>includ</w:t>
      </w:r>
      <w:r w:rsidR="00D01023">
        <w:t>es</w:t>
      </w:r>
      <w:r>
        <w:t xml:space="preserve"> </w:t>
      </w:r>
      <w:r w:rsidR="00D01023">
        <w:t xml:space="preserve">the following potential risk factors: </w:t>
      </w:r>
      <w:r>
        <w:t>age, sex, race, socioeconomic status, hypertension, diabetes, alcohol consumption and BMI</w:t>
      </w:r>
      <w:r w:rsidR="00D01023">
        <w:t>.</w:t>
      </w:r>
      <w:r>
        <w:t xml:space="preserve">  </w:t>
      </w:r>
    </w:p>
    <w:p w14:paraId="435DBA2A" w14:textId="7F6DA3A8" w:rsidR="00720A32" w:rsidRDefault="00D01023" w:rsidP="00720A32">
      <w:pPr>
        <w:pStyle w:val="NormalWeb"/>
        <w:rPr>
          <w:rFonts w:asciiTheme="minorHAnsi" w:hAnsiTheme="minorHAnsi"/>
          <w:sz w:val="22"/>
          <w:szCs w:val="22"/>
        </w:rPr>
      </w:pPr>
      <w:r>
        <w:rPr>
          <w:rFonts w:asciiTheme="minorHAnsi" w:hAnsiTheme="minorHAnsi"/>
          <w:sz w:val="22"/>
          <w:szCs w:val="22"/>
        </w:rPr>
        <w:t>Sources and additional reading:</w:t>
      </w:r>
    </w:p>
    <w:p w14:paraId="2C2C6C8D" w14:textId="68786519" w:rsidR="00D01023" w:rsidRDefault="00EC3D66" w:rsidP="00720A32">
      <w:pPr>
        <w:pStyle w:val="NormalWeb"/>
        <w:rPr>
          <w:rFonts w:asciiTheme="minorHAnsi" w:hAnsiTheme="minorHAnsi"/>
          <w:sz w:val="22"/>
          <w:szCs w:val="22"/>
        </w:rPr>
      </w:pPr>
      <w:hyperlink r:id="rId7" w:history="1">
        <w:r w:rsidR="00D01023">
          <w:rPr>
            <w:rStyle w:val="Hyperlink"/>
          </w:rPr>
          <w:t>https://www.fns.usda.gov/resource/healthy-eating-index-hei</w:t>
        </w:r>
      </w:hyperlink>
    </w:p>
    <w:p w14:paraId="27DBCFB1" w14:textId="54EC5373" w:rsidR="00720A32" w:rsidRDefault="00EC3D66" w:rsidP="00720A32">
      <w:pPr>
        <w:pStyle w:val="NormalWeb"/>
        <w:rPr>
          <w:rFonts w:asciiTheme="minorHAnsi" w:hAnsiTheme="minorHAnsi"/>
          <w:sz w:val="22"/>
          <w:szCs w:val="22"/>
        </w:rPr>
      </w:pPr>
      <w:hyperlink r:id="rId8" w:history="1">
        <w:r w:rsidR="00720A32" w:rsidRPr="00524135">
          <w:rPr>
            <w:rStyle w:val="Hyperlink"/>
            <w:rFonts w:asciiTheme="minorHAnsi" w:hAnsiTheme="minorHAnsi"/>
            <w:sz w:val="22"/>
            <w:szCs w:val="22"/>
          </w:rPr>
          <w:t>https://www.urmc.rochester.edu/encyclopedia/content.aspx?contenttypeid=167&amp;contentid=albumin_blood</w:t>
        </w:r>
      </w:hyperlink>
    </w:p>
    <w:p w14:paraId="7366F03A" w14:textId="77777777" w:rsidR="00D01023" w:rsidRDefault="00D01023">
      <w:pPr>
        <w:rPr>
          <w:rFonts w:eastAsia="Times New Roman" w:cs="Times New Roman"/>
          <w:b/>
        </w:rPr>
      </w:pPr>
      <w:r>
        <w:rPr>
          <w:b/>
        </w:rPr>
        <w:br w:type="page"/>
      </w:r>
    </w:p>
    <w:p w14:paraId="533132F5" w14:textId="47D28C8E" w:rsidR="00720A32" w:rsidRPr="00A6587A" w:rsidRDefault="00D01023" w:rsidP="00720A32">
      <w:pPr>
        <w:pStyle w:val="NormalWeb"/>
        <w:rPr>
          <w:rFonts w:asciiTheme="minorHAnsi" w:hAnsiTheme="minorHAnsi"/>
          <w:b/>
          <w:sz w:val="22"/>
          <w:szCs w:val="22"/>
        </w:rPr>
      </w:pPr>
      <w:r>
        <w:rPr>
          <w:rFonts w:asciiTheme="minorHAnsi" w:hAnsiTheme="minorHAnsi"/>
          <w:b/>
          <w:sz w:val="22"/>
          <w:szCs w:val="22"/>
        </w:rPr>
        <w:lastRenderedPageBreak/>
        <w:t xml:space="preserve">Main </w:t>
      </w:r>
      <w:r w:rsidR="00720A32" w:rsidRPr="00A6587A">
        <w:rPr>
          <w:rFonts w:asciiTheme="minorHAnsi" w:hAnsiTheme="minorHAnsi"/>
          <w:b/>
          <w:sz w:val="22"/>
          <w:szCs w:val="22"/>
        </w:rPr>
        <w:t>Scientific Questions</w:t>
      </w:r>
    </w:p>
    <w:p w14:paraId="217CD213" w14:textId="337F8FDE" w:rsidR="00720A32" w:rsidRDefault="00D01023" w:rsidP="00720A32">
      <w:pPr>
        <w:pStyle w:val="ListParagraph"/>
        <w:numPr>
          <w:ilvl w:val="0"/>
          <w:numId w:val="1"/>
        </w:numPr>
      </w:pPr>
      <w:r>
        <w:t>Is</w:t>
      </w:r>
      <w:r w:rsidR="00720A32">
        <w:t xml:space="preserve"> </w:t>
      </w:r>
      <w:r>
        <w:t xml:space="preserve">diet quality associated with kidney function? That is, is the </w:t>
      </w:r>
      <w:r w:rsidR="00720A32">
        <w:t xml:space="preserve">Healthy Eating Index (HEI) </w:t>
      </w:r>
      <w:r w:rsidR="00EA74F2">
        <w:t xml:space="preserve">score </w:t>
      </w:r>
      <w:r>
        <w:t xml:space="preserve">associated with </w:t>
      </w:r>
      <w:r w:rsidR="00720A32">
        <w:t xml:space="preserve">levels of </w:t>
      </w:r>
      <w:r w:rsidR="00720A32" w:rsidRPr="00EC3D66">
        <w:t>albumin</w:t>
      </w:r>
      <w:r>
        <w:t xml:space="preserve"> in the urine</w:t>
      </w:r>
      <w:r w:rsidR="00720A32">
        <w:t>?</w:t>
      </w:r>
    </w:p>
    <w:p w14:paraId="4C93DA0D" w14:textId="53F66415" w:rsidR="00720A32" w:rsidRDefault="00720A32" w:rsidP="00720A32">
      <w:pPr>
        <w:pStyle w:val="ListParagraph"/>
        <w:numPr>
          <w:ilvl w:val="0"/>
          <w:numId w:val="1"/>
        </w:numPr>
      </w:pPr>
      <w:r>
        <w:t xml:space="preserve">Does </w:t>
      </w:r>
      <w:r w:rsidR="00D01023">
        <w:t>diet quality</w:t>
      </w:r>
      <w:r>
        <w:t xml:space="preserve"> contribut</w:t>
      </w:r>
      <w:r w:rsidR="00D01023">
        <w:t>e to kidney function even after</w:t>
      </w:r>
      <w:r>
        <w:t xml:space="preserve"> </w:t>
      </w:r>
      <w:r w:rsidR="00D01023">
        <w:t>adjusting</w:t>
      </w:r>
      <w:r>
        <w:t xml:space="preserve"> for potential confounding factors such as age, sex, race, socioeconomic status, hypertension, diabetes, high alcohol consumption, and BMI?</w:t>
      </w:r>
    </w:p>
    <w:p w14:paraId="5F20F292" w14:textId="4FD5B8A4" w:rsidR="00720A32" w:rsidRDefault="00720A32" w:rsidP="00720A32">
      <w:pPr>
        <w:pStyle w:val="ListParagraph"/>
        <w:numPr>
          <w:ilvl w:val="0"/>
          <w:numId w:val="1"/>
        </w:numPr>
      </w:pPr>
      <w:r>
        <w:t>What confounding roles do the additional variables play (</w:t>
      </w:r>
      <w:proofErr w:type="gramStart"/>
      <w:r>
        <w:t>i.e.</w:t>
      </w:r>
      <w:proofErr w:type="gramEnd"/>
      <w:r>
        <w:t xml:space="preserve"> do they weaken or strengthen the relationship between HEI and </w:t>
      </w:r>
      <w:r w:rsidR="00EC3D66">
        <w:t>albumin</w:t>
      </w:r>
      <w:r>
        <w:t>?</w:t>
      </w:r>
      <w:r w:rsidR="007E2C33">
        <w:t>)</w:t>
      </w:r>
    </w:p>
    <w:p w14:paraId="7A70A558" w14:textId="77777777" w:rsidR="00D45EB0" w:rsidRDefault="00D45EB0" w:rsidP="00EE1DC3">
      <w:pPr>
        <w:rPr>
          <w:b/>
        </w:rPr>
      </w:pPr>
    </w:p>
    <w:p w14:paraId="4E8423B8" w14:textId="33066689" w:rsidR="00EE1DC3" w:rsidRPr="00A9309C" w:rsidRDefault="00EE1DC3" w:rsidP="00EE1DC3">
      <w:r w:rsidRPr="00CB3F21">
        <w:rPr>
          <w:b/>
        </w:rPr>
        <w:t>Variable</w:t>
      </w:r>
      <w:r w:rsidR="005F46D8">
        <w:rPr>
          <w:b/>
        </w:rPr>
        <w:t>s</w:t>
      </w:r>
      <w:r w:rsidRPr="00CB3F21">
        <w:rPr>
          <w:b/>
        </w:rPr>
        <w:t xml:space="preserve"> </w:t>
      </w:r>
      <w:r w:rsidR="00D01023">
        <w:rPr>
          <w:b/>
        </w:rPr>
        <w:t>contained in the Nutrition Dataset</w:t>
      </w:r>
    </w:p>
    <w:p w14:paraId="3E5B2256" w14:textId="77777777" w:rsidR="00D9763A" w:rsidRPr="00D9763A" w:rsidRDefault="00D9763A" w:rsidP="00EE1DC3">
      <w:r>
        <w:t>This dataset comes from the 2015-2016 NHANES cohort</w:t>
      </w:r>
    </w:p>
    <w:tbl>
      <w:tblPr>
        <w:tblStyle w:val="TableGrid"/>
        <w:tblW w:w="0" w:type="auto"/>
        <w:tblLook w:val="04A0" w:firstRow="1" w:lastRow="0" w:firstColumn="1" w:lastColumn="0" w:noHBand="0" w:noVBand="1"/>
      </w:tblPr>
      <w:tblGrid>
        <w:gridCol w:w="3316"/>
        <w:gridCol w:w="3110"/>
        <w:gridCol w:w="2924"/>
      </w:tblGrid>
      <w:tr w:rsidR="00A9309C" w14:paraId="7228B4ED" w14:textId="77777777" w:rsidTr="00A9309C">
        <w:tc>
          <w:tcPr>
            <w:tcW w:w="3316" w:type="dxa"/>
          </w:tcPr>
          <w:p w14:paraId="49410493" w14:textId="77777777" w:rsidR="00A9309C" w:rsidRPr="00EE1DC3" w:rsidRDefault="00A9309C" w:rsidP="00E53ED1">
            <w:pPr>
              <w:rPr>
                <w:b/>
              </w:rPr>
            </w:pPr>
            <w:r>
              <w:rPr>
                <w:b/>
              </w:rPr>
              <w:t xml:space="preserve">NHANES </w:t>
            </w:r>
            <w:r w:rsidRPr="00EE1DC3">
              <w:rPr>
                <w:b/>
              </w:rPr>
              <w:t>Variable Name</w:t>
            </w:r>
          </w:p>
        </w:tc>
        <w:tc>
          <w:tcPr>
            <w:tcW w:w="3110" w:type="dxa"/>
          </w:tcPr>
          <w:p w14:paraId="5E59523E" w14:textId="77777777" w:rsidR="00A9309C" w:rsidRPr="00EE1DC3" w:rsidRDefault="00A9309C" w:rsidP="00EE1DC3">
            <w:pPr>
              <w:rPr>
                <w:b/>
              </w:rPr>
            </w:pPr>
            <w:r w:rsidRPr="00EE1DC3">
              <w:rPr>
                <w:b/>
              </w:rPr>
              <w:t>Variable Definition</w:t>
            </w:r>
          </w:p>
        </w:tc>
        <w:tc>
          <w:tcPr>
            <w:tcW w:w="2924" w:type="dxa"/>
          </w:tcPr>
          <w:p w14:paraId="23B5025F" w14:textId="55C296D8" w:rsidR="00A9309C" w:rsidRPr="00EE1DC3" w:rsidRDefault="00A96F0E" w:rsidP="00EE1DC3">
            <w:pPr>
              <w:rPr>
                <w:b/>
              </w:rPr>
            </w:pPr>
            <w:r>
              <w:rPr>
                <w:b/>
              </w:rPr>
              <w:t>Description</w:t>
            </w:r>
          </w:p>
        </w:tc>
      </w:tr>
      <w:tr w:rsidR="00A9309C" w14:paraId="6DC6B51F" w14:textId="77777777" w:rsidTr="00A9309C">
        <w:tc>
          <w:tcPr>
            <w:tcW w:w="3316" w:type="dxa"/>
          </w:tcPr>
          <w:p w14:paraId="1EB1CDB4" w14:textId="77777777" w:rsidR="00A9309C" w:rsidRDefault="00A9309C" w:rsidP="00EE1DC3">
            <w:r>
              <w:t>SEQN</w:t>
            </w:r>
          </w:p>
        </w:tc>
        <w:tc>
          <w:tcPr>
            <w:tcW w:w="3110" w:type="dxa"/>
          </w:tcPr>
          <w:p w14:paraId="262D318F" w14:textId="77777777" w:rsidR="00A9309C" w:rsidRDefault="00A9309C" w:rsidP="00EE1DC3">
            <w:r>
              <w:t>Respondent’s sequence number (ID) in NHANES study</w:t>
            </w:r>
          </w:p>
        </w:tc>
        <w:tc>
          <w:tcPr>
            <w:tcW w:w="2924" w:type="dxa"/>
          </w:tcPr>
          <w:p w14:paraId="2ED2F326" w14:textId="77777777" w:rsidR="00A9309C" w:rsidRDefault="00A9309C" w:rsidP="00EE1DC3">
            <w:r>
              <w:t>ID Number</w:t>
            </w:r>
          </w:p>
        </w:tc>
      </w:tr>
      <w:tr w:rsidR="00A9309C" w14:paraId="29FE12F8" w14:textId="77777777" w:rsidTr="00A9309C">
        <w:tc>
          <w:tcPr>
            <w:tcW w:w="3316" w:type="dxa"/>
          </w:tcPr>
          <w:p w14:paraId="7B1F4890" w14:textId="77777777" w:rsidR="00A9309C" w:rsidRPr="00EC3D66" w:rsidRDefault="00A9309C" w:rsidP="00A9309C">
            <w:r w:rsidRPr="00EC3D66">
              <w:t>URXUMS</w:t>
            </w:r>
          </w:p>
        </w:tc>
        <w:tc>
          <w:tcPr>
            <w:tcW w:w="3110" w:type="dxa"/>
          </w:tcPr>
          <w:p w14:paraId="7A2FC880" w14:textId="77777777" w:rsidR="00A9309C" w:rsidRPr="00EC3D66" w:rsidRDefault="00A9309C" w:rsidP="00A9309C">
            <w:r w:rsidRPr="00EC3D66">
              <w:t>Albumin levels from urine (mg/L)</w:t>
            </w:r>
          </w:p>
        </w:tc>
        <w:tc>
          <w:tcPr>
            <w:tcW w:w="2924" w:type="dxa"/>
          </w:tcPr>
          <w:p w14:paraId="162BD103" w14:textId="77777777" w:rsidR="00A9309C" w:rsidRPr="00EC3D66" w:rsidRDefault="00A9309C" w:rsidP="00A9309C">
            <w:r w:rsidRPr="00EC3D66">
              <w:t>Outcome</w:t>
            </w:r>
          </w:p>
        </w:tc>
      </w:tr>
      <w:tr w:rsidR="00A9309C" w14:paraId="54258C6F" w14:textId="77777777" w:rsidTr="00A9309C">
        <w:tc>
          <w:tcPr>
            <w:tcW w:w="3316" w:type="dxa"/>
          </w:tcPr>
          <w:p w14:paraId="2E4E7711" w14:textId="77777777" w:rsidR="00A9309C" w:rsidRPr="00EE1DC3" w:rsidRDefault="00A9309C" w:rsidP="00A9309C">
            <w:r w:rsidRPr="00380312">
              <w:t>HEI2015_TOTAL_SCORE</w:t>
            </w:r>
          </w:p>
        </w:tc>
        <w:tc>
          <w:tcPr>
            <w:tcW w:w="3110" w:type="dxa"/>
          </w:tcPr>
          <w:p w14:paraId="133AA00B" w14:textId="77777777" w:rsidR="00A9309C" w:rsidRDefault="00A9309C" w:rsidP="00A9309C">
            <w:r>
              <w:t>HEI Total Score</w:t>
            </w:r>
          </w:p>
        </w:tc>
        <w:tc>
          <w:tcPr>
            <w:tcW w:w="2924" w:type="dxa"/>
          </w:tcPr>
          <w:p w14:paraId="4B1A89CE" w14:textId="77777777" w:rsidR="00A9309C" w:rsidRDefault="00A9309C" w:rsidP="00A9309C">
            <w:r>
              <w:t>Exposure of Interest</w:t>
            </w:r>
          </w:p>
        </w:tc>
      </w:tr>
      <w:tr w:rsidR="00A9309C" w14:paraId="46663FA1" w14:textId="77777777" w:rsidTr="00A9309C">
        <w:tc>
          <w:tcPr>
            <w:tcW w:w="3316" w:type="dxa"/>
          </w:tcPr>
          <w:p w14:paraId="3F896E0B" w14:textId="77777777" w:rsidR="00A9309C" w:rsidRPr="00EE1DC3" w:rsidRDefault="00A9309C" w:rsidP="00A9309C">
            <w:r>
              <w:t>RIAGENDR</w:t>
            </w:r>
          </w:p>
        </w:tc>
        <w:tc>
          <w:tcPr>
            <w:tcW w:w="3110" w:type="dxa"/>
          </w:tcPr>
          <w:p w14:paraId="164F6F2B" w14:textId="6649A466" w:rsidR="00A9309C" w:rsidRDefault="002C184D" w:rsidP="00C762B2">
            <w:r>
              <w:t>Sex</w:t>
            </w:r>
            <w:r w:rsidR="00A9309C">
              <w:t xml:space="preserve"> (Male, Female)</w:t>
            </w:r>
          </w:p>
        </w:tc>
        <w:tc>
          <w:tcPr>
            <w:tcW w:w="2924" w:type="dxa"/>
          </w:tcPr>
          <w:p w14:paraId="00688FEE" w14:textId="77777777" w:rsidR="00A9309C" w:rsidRDefault="00A9309C" w:rsidP="00A9309C">
            <w:r>
              <w:t>Potential Confounder</w:t>
            </w:r>
          </w:p>
        </w:tc>
      </w:tr>
      <w:tr w:rsidR="00A9309C" w14:paraId="141A0768" w14:textId="77777777" w:rsidTr="00A9309C">
        <w:tc>
          <w:tcPr>
            <w:tcW w:w="3316" w:type="dxa"/>
          </w:tcPr>
          <w:p w14:paraId="5BA3D6BC" w14:textId="77777777" w:rsidR="00A9309C" w:rsidRPr="00EE1DC3" w:rsidRDefault="00A9309C" w:rsidP="00A9309C">
            <w:r>
              <w:t>RIDAGEYR</w:t>
            </w:r>
          </w:p>
        </w:tc>
        <w:tc>
          <w:tcPr>
            <w:tcW w:w="3110" w:type="dxa"/>
          </w:tcPr>
          <w:p w14:paraId="3771CAF5" w14:textId="77777777" w:rsidR="00A9309C" w:rsidRDefault="00A9309C" w:rsidP="00A9309C">
            <w:r>
              <w:t>Age (years)</w:t>
            </w:r>
          </w:p>
        </w:tc>
        <w:tc>
          <w:tcPr>
            <w:tcW w:w="2924" w:type="dxa"/>
          </w:tcPr>
          <w:p w14:paraId="2383D89F" w14:textId="77777777" w:rsidR="00A9309C" w:rsidRDefault="00A9309C" w:rsidP="00A9309C">
            <w:r>
              <w:t>Potential Confounder</w:t>
            </w:r>
          </w:p>
        </w:tc>
      </w:tr>
      <w:tr w:rsidR="00A9309C" w14:paraId="0FDAEDB9" w14:textId="77777777" w:rsidTr="00A9309C">
        <w:tc>
          <w:tcPr>
            <w:tcW w:w="3316" w:type="dxa"/>
          </w:tcPr>
          <w:p w14:paraId="459AEABC" w14:textId="77777777" w:rsidR="00A9309C" w:rsidRPr="00EE1DC3" w:rsidRDefault="00A9309C" w:rsidP="00A9309C">
            <w:r>
              <w:t>RIDRETH3</w:t>
            </w:r>
          </w:p>
        </w:tc>
        <w:tc>
          <w:tcPr>
            <w:tcW w:w="3110" w:type="dxa"/>
          </w:tcPr>
          <w:p w14:paraId="632C12D9" w14:textId="77777777" w:rsidR="00A9309C" w:rsidRDefault="00A9309C" w:rsidP="00A9309C">
            <w:r>
              <w:t>Race</w:t>
            </w:r>
          </w:p>
        </w:tc>
        <w:tc>
          <w:tcPr>
            <w:tcW w:w="2924" w:type="dxa"/>
          </w:tcPr>
          <w:p w14:paraId="2CDC05E5" w14:textId="77777777" w:rsidR="00A9309C" w:rsidRDefault="00A9309C" w:rsidP="00A9309C">
            <w:r>
              <w:t>Potential Confounder</w:t>
            </w:r>
          </w:p>
        </w:tc>
      </w:tr>
      <w:tr w:rsidR="00A9309C" w14:paraId="008299C1" w14:textId="77777777" w:rsidTr="00A9309C">
        <w:tc>
          <w:tcPr>
            <w:tcW w:w="3316" w:type="dxa"/>
          </w:tcPr>
          <w:p w14:paraId="5CDE8947" w14:textId="77777777" w:rsidR="00A9309C" w:rsidRPr="00EE1DC3" w:rsidRDefault="00A9309C" w:rsidP="00A9309C">
            <w:r>
              <w:t>DMDEDUC2</w:t>
            </w:r>
          </w:p>
        </w:tc>
        <w:tc>
          <w:tcPr>
            <w:tcW w:w="3110" w:type="dxa"/>
          </w:tcPr>
          <w:p w14:paraId="60455609" w14:textId="77777777" w:rsidR="00A9309C" w:rsidRDefault="00A9309C" w:rsidP="00A9309C">
            <w:r>
              <w:t>Education level</w:t>
            </w:r>
          </w:p>
        </w:tc>
        <w:tc>
          <w:tcPr>
            <w:tcW w:w="2924" w:type="dxa"/>
          </w:tcPr>
          <w:p w14:paraId="5F029107" w14:textId="77777777" w:rsidR="00A9309C" w:rsidRDefault="00A9309C" w:rsidP="00A9309C">
            <w:r>
              <w:t>Potential Confounder</w:t>
            </w:r>
          </w:p>
        </w:tc>
      </w:tr>
      <w:tr w:rsidR="00A9309C" w14:paraId="169BCE39" w14:textId="77777777" w:rsidTr="00A9309C">
        <w:tc>
          <w:tcPr>
            <w:tcW w:w="3316" w:type="dxa"/>
          </w:tcPr>
          <w:p w14:paraId="2D513D48" w14:textId="77777777" w:rsidR="00A9309C" w:rsidRPr="00EE1DC3" w:rsidRDefault="00A9309C" w:rsidP="00A9309C">
            <w:r>
              <w:t>BMXBMI</w:t>
            </w:r>
          </w:p>
        </w:tc>
        <w:tc>
          <w:tcPr>
            <w:tcW w:w="3110" w:type="dxa"/>
          </w:tcPr>
          <w:p w14:paraId="20A8C787" w14:textId="77777777" w:rsidR="00A9309C" w:rsidRDefault="00A9309C" w:rsidP="00A9309C">
            <w:r>
              <w:t>BMI</w:t>
            </w:r>
          </w:p>
        </w:tc>
        <w:tc>
          <w:tcPr>
            <w:tcW w:w="2924" w:type="dxa"/>
          </w:tcPr>
          <w:p w14:paraId="05FB5941" w14:textId="77777777" w:rsidR="00A9309C" w:rsidRDefault="00A9309C" w:rsidP="00A9309C">
            <w:r>
              <w:t>Potential Confounder</w:t>
            </w:r>
          </w:p>
        </w:tc>
      </w:tr>
      <w:tr w:rsidR="00A9309C" w14:paraId="07C0FFF3" w14:textId="77777777" w:rsidTr="00A9309C">
        <w:trPr>
          <w:trHeight w:val="305"/>
        </w:trPr>
        <w:tc>
          <w:tcPr>
            <w:tcW w:w="3316" w:type="dxa"/>
          </w:tcPr>
          <w:p w14:paraId="724313FE" w14:textId="77777777" w:rsidR="00A9309C" w:rsidRPr="00EE1DC3" w:rsidRDefault="00A9309C" w:rsidP="00A9309C">
            <w:r>
              <w:t>BPXSY1</w:t>
            </w:r>
          </w:p>
        </w:tc>
        <w:tc>
          <w:tcPr>
            <w:tcW w:w="3110" w:type="dxa"/>
          </w:tcPr>
          <w:p w14:paraId="1262F113" w14:textId="77777777" w:rsidR="00A9309C" w:rsidRDefault="00A9309C" w:rsidP="00A9309C">
            <w:r>
              <w:t>Systolic blood pressure</w:t>
            </w:r>
          </w:p>
        </w:tc>
        <w:tc>
          <w:tcPr>
            <w:tcW w:w="2924" w:type="dxa"/>
          </w:tcPr>
          <w:p w14:paraId="78C71015" w14:textId="77777777" w:rsidR="00A9309C" w:rsidRDefault="00A9309C" w:rsidP="00A9309C">
            <w:r>
              <w:t>Potential Confounder</w:t>
            </w:r>
          </w:p>
        </w:tc>
      </w:tr>
      <w:tr w:rsidR="00A9309C" w14:paraId="3A4FE7D0" w14:textId="77777777" w:rsidTr="00A9309C">
        <w:trPr>
          <w:trHeight w:val="305"/>
        </w:trPr>
        <w:tc>
          <w:tcPr>
            <w:tcW w:w="3316" w:type="dxa"/>
          </w:tcPr>
          <w:p w14:paraId="1227CCBF" w14:textId="77777777" w:rsidR="00A9309C" w:rsidRDefault="00A9309C" w:rsidP="00A9309C">
            <w:r>
              <w:t>DIQ010</w:t>
            </w:r>
          </w:p>
        </w:tc>
        <w:tc>
          <w:tcPr>
            <w:tcW w:w="3110" w:type="dxa"/>
          </w:tcPr>
          <w:p w14:paraId="1BE66918" w14:textId="15211841" w:rsidR="00A9309C" w:rsidRDefault="00A9309C" w:rsidP="00C762B2">
            <w:r>
              <w:t>Diabetes (Yes, No, Borderline)</w:t>
            </w:r>
          </w:p>
        </w:tc>
        <w:tc>
          <w:tcPr>
            <w:tcW w:w="2924" w:type="dxa"/>
          </w:tcPr>
          <w:p w14:paraId="715A8FEA" w14:textId="77777777" w:rsidR="00A9309C" w:rsidRDefault="00A9309C" w:rsidP="00A9309C">
            <w:r>
              <w:t>Potential Confounder</w:t>
            </w:r>
          </w:p>
        </w:tc>
      </w:tr>
      <w:tr w:rsidR="00F705B7" w14:paraId="4EFA9FEF" w14:textId="77777777" w:rsidTr="00A9309C">
        <w:trPr>
          <w:trHeight w:val="305"/>
        </w:trPr>
        <w:tc>
          <w:tcPr>
            <w:tcW w:w="3316" w:type="dxa"/>
          </w:tcPr>
          <w:p w14:paraId="4E4CAEC9" w14:textId="77777777" w:rsidR="00F705B7" w:rsidRDefault="00F705B7" w:rsidP="00F705B7">
            <w:proofErr w:type="spellStart"/>
            <w:r w:rsidRPr="00B81E5A">
              <w:t>WkAlcDays</w:t>
            </w:r>
            <w:proofErr w:type="spellEnd"/>
          </w:p>
          <w:p w14:paraId="267CEE4E" w14:textId="6EDA2D22" w:rsidR="00F705B7" w:rsidRDefault="00F705B7" w:rsidP="00F705B7">
            <w:r>
              <w:t xml:space="preserve">(Based on the NHANES variables </w:t>
            </w:r>
            <w:r w:rsidRPr="00B81E5A">
              <w:t>ALQ120</w:t>
            </w:r>
            <w:r>
              <w:t xml:space="preserve">Q and </w:t>
            </w:r>
            <w:r w:rsidRPr="00B81E5A">
              <w:t>ALQ120U</w:t>
            </w:r>
            <w:r>
              <w:t>)</w:t>
            </w:r>
          </w:p>
        </w:tc>
        <w:tc>
          <w:tcPr>
            <w:tcW w:w="3110" w:type="dxa"/>
          </w:tcPr>
          <w:p w14:paraId="21CEF4B7" w14:textId="4D8C4033" w:rsidR="00F705B7" w:rsidRDefault="00F705B7" w:rsidP="00F705B7">
            <w:r>
              <w:t>Number of alcoholic drinks per week</w:t>
            </w:r>
          </w:p>
        </w:tc>
        <w:tc>
          <w:tcPr>
            <w:tcW w:w="2924" w:type="dxa"/>
          </w:tcPr>
          <w:p w14:paraId="1B8EC3CF" w14:textId="28A224B6" w:rsidR="00F705B7" w:rsidRDefault="00F705B7" w:rsidP="00F705B7">
            <w:r>
              <w:t>Potential Confounder</w:t>
            </w:r>
          </w:p>
        </w:tc>
      </w:tr>
    </w:tbl>
    <w:p w14:paraId="7FD67574" w14:textId="77777777" w:rsidR="00CB3F21" w:rsidRDefault="00CB3F21" w:rsidP="00EE1DC3">
      <w:pPr>
        <w:rPr>
          <w:b/>
          <w:u w:val="single"/>
        </w:rPr>
      </w:pPr>
    </w:p>
    <w:p w14:paraId="6164D6FA" w14:textId="77777777" w:rsidR="00EE1DC3" w:rsidRDefault="00CB3F21" w:rsidP="00EE1DC3">
      <w:pPr>
        <w:rPr>
          <w:b/>
          <w:u w:val="single"/>
        </w:rPr>
      </w:pPr>
      <w:bookmarkStart w:id="1" w:name="_Hlk11073580"/>
      <w:r>
        <w:rPr>
          <w:b/>
          <w:u w:val="single"/>
        </w:rPr>
        <w:t>Levels for Categorical Variables</w:t>
      </w:r>
    </w:p>
    <w:p w14:paraId="47A36A98" w14:textId="77777777" w:rsidR="00EA74F2" w:rsidRDefault="00EA74F2" w:rsidP="00EE1DC3">
      <w:pPr>
        <w:rPr>
          <w:b/>
        </w:rPr>
        <w:sectPr w:rsidR="00EA74F2">
          <w:pgSz w:w="12240" w:h="15840"/>
          <w:pgMar w:top="1440" w:right="1440" w:bottom="1440" w:left="1440" w:header="720" w:footer="720" w:gutter="0"/>
          <w:cols w:space="720"/>
          <w:docGrid w:linePitch="360"/>
        </w:sectPr>
      </w:pPr>
    </w:p>
    <w:p w14:paraId="74982E20" w14:textId="39BDF66C" w:rsidR="001E1FE3" w:rsidRPr="00CB3F21" w:rsidRDefault="001E1FE3" w:rsidP="00EE1DC3">
      <w:pPr>
        <w:rPr>
          <w:b/>
        </w:rPr>
      </w:pPr>
      <w:r w:rsidRPr="00CB3F21">
        <w:rPr>
          <w:b/>
        </w:rPr>
        <w:t>Race</w:t>
      </w:r>
    </w:p>
    <w:tbl>
      <w:tblPr>
        <w:tblStyle w:val="TableGrid"/>
        <w:tblW w:w="0" w:type="auto"/>
        <w:tblLook w:val="04A0" w:firstRow="1" w:lastRow="0" w:firstColumn="1" w:lastColumn="0" w:noHBand="0" w:noVBand="1"/>
      </w:tblPr>
      <w:tblGrid>
        <w:gridCol w:w="2007"/>
      </w:tblGrid>
      <w:tr w:rsidR="00C762B2" w14:paraId="531DE1CE" w14:textId="77777777" w:rsidTr="001E1FE3">
        <w:tc>
          <w:tcPr>
            <w:tcW w:w="2007" w:type="dxa"/>
          </w:tcPr>
          <w:p w14:paraId="4CA78ECB" w14:textId="34B408E6" w:rsidR="00C762B2" w:rsidRDefault="00C762B2" w:rsidP="00C762B2">
            <w:proofErr w:type="spellStart"/>
            <w:r>
              <w:t>MexicanAmerican</w:t>
            </w:r>
            <w:proofErr w:type="spellEnd"/>
          </w:p>
        </w:tc>
      </w:tr>
      <w:tr w:rsidR="00C762B2" w14:paraId="5FAFB65C" w14:textId="77777777" w:rsidTr="001E1FE3">
        <w:tc>
          <w:tcPr>
            <w:tcW w:w="2007" w:type="dxa"/>
          </w:tcPr>
          <w:p w14:paraId="27220893" w14:textId="79C634D2" w:rsidR="00C762B2" w:rsidRDefault="00C762B2" w:rsidP="00C762B2">
            <w:proofErr w:type="spellStart"/>
            <w:r>
              <w:t>OtherHispanic</w:t>
            </w:r>
            <w:proofErr w:type="spellEnd"/>
          </w:p>
        </w:tc>
      </w:tr>
      <w:tr w:rsidR="00C762B2" w14:paraId="10CFA6CB" w14:textId="77777777" w:rsidTr="001E1FE3">
        <w:tc>
          <w:tcPr>
            <w:tcW w:w="2007" w:type="dxa"/>
          </w:tcPr>
          <w:p w14:paraId="0C5E181C" w14:textId="77777777" w:rsidR="00C762B2" w:rsidRDefault="00C762B2" w:rsidP="00EE1DC3">
            <w:r>
              <w:t>White</w:t>
            </w:r>
          </w:p>
        </w:tc>
      </w:tr>
      <w:tr w:rsidR="00C762B2" w14:paraId="27953895" w14:textId="77777777" w:rsidTr="001E1FE3">
        <w:tc>
          <w:tcPr>
            <w:tcW w:w="2007" w:type="dxa"/>
          </w:tcPr>
          <w:p w14:paraId="3AA358DF" w14:textId="77777777" w:rsidR="00C762B2" w:rsidRDefault="00C762B2" w:rsidP="00EE1DC3">
            <w:r>
              <w:t>Black</w:t>
            </w:r>
          </w:p>
        </w:tc>
      </w:tr>
      <w:tr w:rsidR="00C762B2" w14:paraId="5751E04D" w14:textId="77777777" w:rsidTr="001E1FE3">
        <w:tc>
          <w:tcPr>
            <w:tcW w:w="2007" w:type="dxa"/>
          </w:tcPr>
          <w:p w14:paraId="32E6B245" w14:textId="77777777" w:rsidR="00C762B2" w:rsidRDefault="00C762B2" w:rsidP="00EE1DC3">
            <w:r>
              <w:t>Asian</w:t>
            </w:r>
          </w:p>
        </w:tc>
      </w:tr>
      <w:tr w:rsidR="00C762B2" w14:paraId="387A50CE" w14:textId="77777777" w:rsidTr="001E1FE3">
        <w:tc>
          <w:tcPr>
            <w:tcW w:w="2007" w:type="dxa"/>
          </w:tcPr>
          <w:p w14:paraId="329C7D29" w14:textId="43E55141" w:rsidR="00C762B2" w:rsidRDefault="00C762B2" w:rsidP="00C762B2">
            <w:r>
              <w:t>Other</w:t>
            </w:r>
          </w:p>
        </w:tc>
      </w:tr>
      <w:bookmarkEnd w:id="1"/>
    </w:tbl>
    <w:p w14:paraId="477AD08B" w14:textId="77777777" w:rsidR="001E1FE3" w:rsidRDefault="001E1FE3" w:rsidP="00EE1DC3"/>
    <w:p w14:paraId="70584439" w14:textId="77777777" w:rsidR="0087092C" w:rsidRDefault="0087092C" w:rsidP="00EE1DC3">
      <w:r>
        <w:rPr>
          <w:b/>
        </w:rPr>
        <w:t>Education Level</w:t>
      </w:r>
    </w:p>
    <w:tbl>
      <w:tblPr>
        <w:tblStyle w:val="TableGrid"/>
        <w:tblW w:w="0" w:type="auto"/>
        <w:tblLook w:val="04A0" w:firstRow="1" w:lastRow="0" w:firstColumn="1" w:lastColumn="0" w:noHBand="0" w:noVBand="1"/>
      </w:tblPr>
      <w:tblGrid>
        <w:gridCol w:w="445"/>
        <w:gridCol w:w="3060"/>
      </w:tblGrid>
      <w:tr w:rsidR="0087092C" w14:paraId="39F11A36" w14:textId="77777777" w:rsidTr="0087092C">
        <w:tc>
          <w:tcPr>
            <w:tcW w:w="445" w:type="dxa"/>
          </w:tcPr>
          <w:p w14:paraId="053E3446" w14:textId="77777777" w:rsidR="0087092C" w:rsidRDefault="0087092C" w:rsidP="00EE1DC3">
            <w:r>
              <w:t>1</w:t>
            </w:r>
          </w:p>
        </w:tc>
        <w:tc>
          <w:tcPr>
            <w:tcW w:w="3060" w:type="dxa"/>
          </w:tcPr>
          <w:p w14:paraId="3E6814C2" w14:textId="36DC5F4A" w:rsidR="0087092C" w:rsidRDefault="00C762B2" w:rsidP="00C762B2">
            <w:proofErr w:type="spellStart"/>
            <w:r>
              <w:t>NoH</w:t>
            </w:r>
            <w:r w:rsidR="0087092C">
              <w:t>igh</w:t>
            </w:r>
            <w:r>
              <w:t>S</w:t>
            </w:r>
            <w:r w:rsidR="0087092C">
              <w:t>chool</w:t>
            </w:r>
            <w:proofErr w:type="spellEnd"/>
          </w:p>
        </w:tc>
      </w:tr>
      <w:tr w:rsidR="0087092C" w14:paraId="37750984" w14:textId="77777777" w:rsidTr="0087092C">
        <w:tc>
          <w:tcPr>
            <w:tcW w:w="445" w:type="dxa"/>
          </w:tcPr>
          <w:p w14:paraId="71876B3F" w14:textId="77777777" w:rsidR="0087092C" w:rsidRDefault="0087092C" w:rsidP="00EE1DC3">
            <w:r>
              <w:t>2</w:t>
            </w:r>
          </w:p>
        </w:tc>
        <w:tc>
          <w:tcPr>
            <w:tcW w:w="3060" w:type="dxa"/>
          </w:tcPr>
          <w:p w14:paraId="732A43B9" w14:textId="77BA7492" w:rsidR="0087092C" w:rsidRDefault="0087092C" w:rsidP="00C762B2">
            <w:proofErr w:type="spellStart"/>
            <w:r>
              <w:t>Some</w:t>
            </w:r>
            <w:r w:rsidR="00C762B2">
              <w:t>H</w:t>
            </w:r>
            <w:r>
              <w:t>igh</w:t>
            </w:r>
            <w:r w:rsidR="00C762B2">
              <w:t>S</w:t>
            </w:r>
            <w:r>
              <w:t>chool</w:t>
            </w:r>
            <w:proofErr w:type="spellEnd"/>
            <w:r w:rsidR="00C762B2">
              <w:t xml:space="preserve"> (no degree)</w:t>
            </w:r>
          </w:p>
        </w:tc>
      </w:tr>
      <w:tr w:rsidR="0087092C" w14:paraId="11AD2CE4" w14:textId="77777777" w:rsidTr="0087092C">
        <w:tc>
          <w:tcPr>
            <w:tcW w:w="445" w:type="dxa"/>
          </w:tcPr>
          <w:p w14:paraId="1FFAE9CB" w14:textId="77777777" w:rsidR="0087092C" w:rsidRDefault="0087092C" w:rsidP="00EE1DC3">
            <w:r>
              <w:t>3</w:t>
            </w:r>
          </w:p>
        </w:tc>
        <w:tc>
          <w:tcPr>
            <w:tcW w:w="3060" w:type="dxa"/>
          </w:tcPr>
          <w:p w14:paraId="77E7C63E" w14:textId="592FA54C" w:rsidR="0087092C" w:rsidRDefault="0087092C" w:rsidP="00C762B2">
            <w:proofErr w:type="spellStart"/>
            <w:r>
              <w:t>High</w:t>
            </w:r>
            <w:r w:rsidR="00C762B2">
              <w:t>S</w:t>
            </w:r>
            <w:r>
              <w:t>chool</w:t>
            </w:r>
            <w:proofErr w:type="spellEnd"/>
          </w:p>
        </w:tc>
      </w:tr>
      <w:tr w:rsidR="0087092C" w14:paraId="615B9116" w14:textId="77777777" w:rsidTr="0087092C">
        <w:tc>
          <w:tcPr>
            <w:tcW w:w="445" w:type="dxa"/>
          </w:tcPr>
          <w:p w14:paraId="3B9FDDC0" w14:textId="77777777" w:rsidR="0087092C" w:rsidRDefault="0087092C" w:rsidP="00EE1DC3">
            <w:r>
              <w:t>4</w:t>
            </w:r>
          </w:p>
        </w:tc>
        <w:tc>
          <w:tcPr>
            <w:tcW w:w="3060" w:type="dxa"/>
          </w:tcPr>
          <w:p w14:paraId="7F0AEE0E" w14:textId="5C41CBC8" w:rsidR="0087092C" w:rsidRDefault="0087092C" w:rsidP="00C762B2">
            <w:proofErr w:type="spellStart"/>
            <w:r>
              <w:t>Some</w:t>
            </w:r>
            <w:r w:rsidR="00C762B2">
              <w:t>C</w:t>
            </w:r>
            <w:r>
              <w:t>ollege</w:t>
            </w:r>
            <w:proofErr w:type="spellEnd"/>
            <w:r>
              <w:t xml:space="preserve"> (no degree)</w:t>
            </w:r>
          </w:p>
        </w:tc>
      </w:tr>
      <w:tr w:rsidR="0087092C" w14:paraId="1454C6CE" w14:textId="77777777" w:rsidTr="0087092C">
        <w:tc>
          <w:tcPr>
            <w:tcW w:w="445" w:type="dxa"/>
          </w:tcPr>
          <w:p w14:paraId="10D9D887" w14:textId="77777777" w:rsidR="0087092C" w:rsidRDefault="0087092C" w:rsidP="00EE1DC3">
            <w:r>
              <w:t>5</w:t>
            </w:r>
          </w:p>
        </w:tc>
        <w:tc>
          <w:tcPr>
            <w:tcW w:w="3060" w:type="dxa"/>
          </w:tcPr>
          <w:p w14:paraId="10547D3A" w14:textId="25A4268D" w:rsidR="0087092C" w:rsidRDefault="0087092C" w:rsidP="00C762B2">
            <w:r>
              <w:t xml:space="preserve">College </w:t>
            </w:r>
            <w:r w:rsidR="00C762B2">
              <w:t>(</w:t>
            </w:r>
            <w:r>
              <w:t>graduate</w:t>
            </w:r>
            <w:r w:rsidR="00C762B2">
              <w:t>)</w:t>
            </w:r>
          </w:p>
        </w:tc>
      </w:tr>
    </w:tbl>
    <w:p w14:paraId="3D53F2A7" w14:textId="77777777" w:rsidR="00EA74F2" w:rsidRDefault="00EA74F2" w:rsidP="00EE1DC3">
      <w:pPr>
        <w:sectPr w:rsidR="00EA74F2" w:rsidSect="00EA74F2">
          <w:type w:val="continuous"/>
          <w:pgSz w:w="12240" w:h="15840"/>
          <w:pgMar w:top="1440" w:right="1440" w:bottom="1440" w:left="1440" w:header="720" w:footer="720" w:gutter="0"/>
          <w:cols w:num="2" w:space="900"/>
          <w:docGrid w:linePitch="360"/>
        </w:sectPr>
      </w:pPr>
    </w:p>
    <w:p w14:paraId="135B912C" w14:textId="633D2F7E" w:rsidR="0087092C" w:rsidRPr="0087092C" w:rsidRDefault="0087092C" w:rsidP="00EE1DC3"/>
    <w:sectPr w:rsidR="0087092C" w:rsidRPr="0087092C" w:rsidSect="00EA74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49C"/>
    <w:multiLevelType w:val="hybridMultilevel"/>
    <w:tmpl w:val="53181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09"/>
    <w:rsid w:val="00074F48"/>
    <w:rsid w:val="00092978"/>
    <w:rsid w:val="00132844"/>
    <w:rsid w:val="00163C34"/>
    <w:rsid w:val="001A18BB"/>
    <w:rsid w:val="001E1FE3"/>
    <w:rsid w:val="0021159D"/>
    <w:rsid w:val="002C184D"/>
    <w:rsid w:val="003427A8"/>
    <w:rsid w:val="00380312"/>
    <w:rsid w:val="00406178"/>
    <w:rsid w:val="004135FF"/>
    <w:rsid w:val="00440E15"/>
    <w:rsid w:val="004874B6"/>
    <w:rsid w:val="004D1EF9"/>
    <w:rsid w:val="00502825"/>
    <w:rsid w:val="005C00DE"/>
    <w:rsid w:val="005F46D8"/>
    <w:rsid w:val="006223E6"/>
    <w:rsid w:val="0062762B"/>
    <w:rsid w:val="006319AD"/>
    <w:rsid w:val="006460E6"/>
    <w:rsid w:val="006509B5"/>
    <w:rsid w:val="00705AB5"/>
    <w:rsid w:val="00711579"/>
    <w:rsid w:val="00720A32"/>
    <w:rsid w:val="00774757"/>
    <w:rsid w:val="007827B7"/>
    <w:rsid w:val="007924FE"/>
    <w:rsid w:val="007D5EE9"/>
    <w:rsid w:val="007E2C33"/>
    <w:rsid w:val="00810BC7"/>
    <w:rsid w:val="0081461A"/>
    <w:rsid w:val="0087092C"/>
    <w:rsid w:val="008D4C60"/>
    <w:rsid w:val="00901F70"/>
    <w:rsid w:val="009B463C"/>
    <w:rsid w:val="009B7A9C"/>
    <w:rsid w:val="00A17A09"/>
    <w:rsid w:val="00A6587A"/>
    <w:rsid w:val="00A9309C"/>
    <w:rsid w:val="00A96F0E"/>
    <w:rsid w:val="00AC4582"/>
    <w:rsid w:val="00B43CE3"/>
    <w:rsid w:val="00B90FE5"/>
    <w:rsid w:val="00C762B2"/>
    <w:rsid w:val="00C76305"/>
    <w:rsid w:val="00CB3F21"/>
    <w:rsid w:val="00CC536C"/>
    <w:rsid w:val="00D01023"/>
    <w:rsid w:val="00D225AD"/>
    <w:rsid w:val="00D45EB0"/>
    <w:rsid w:val="00D9763A"/>
    <w:rsid w:val="00DF3D0A"/>
    <w:rsid w:val="00E53ED1"/>
    <w:rsid w:val="00E5499B"/>
    <w:rsid w:val="00E72745"/>
    <w:rsid w:val="00EA74F2"/>
    <w:rsid w:val="00EC3D66"/>
    <w:rsid w:val="00EE1DC3"/>
    <w:rsid w:val="00F16A46"/>
    <w:rsid w:val="00F705B7"/>
    <w:rsid w:val="00F9317C"/>
    <w:rsid w:val="00F96B6E"/>
    <w:rsid w:val="00FC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6D16"/>
  <w15:chartTrackingRefBased/>
  <w15:docId w15:val="{7572D6C1-0886-4C9F-AB9A-C3589C9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461A"/>
    <w:rPr>
      <w:color w:val="0563C1" w:themeColor="hyperlink"/>
      <w:u w:val="single"/>
    </w:rPr>
  </w:style>
  <w:style w:type="character" w:customStyle="1" w:styleId="UnresolvedMention1">
    <w:name w:val="Unresolved Mention1"/>
    <w:basedOn w:val="DefaultParagraphFont"/>
    <w:uiPriority w:val="99"/>
    <w:semiHidden/>
    <w:unhideWhenUsed/>
    <w:rsid w:val="0081461A"/>
    <w:rPr>
      <w:color w:val="605E5C"/>
      <w:shd w:val="clear" w:color="auto" w:fill="E1DFDD"/>
    </w:rPr>
  </w:style>
  <w:style w:type="paragraph" w:customStyle="1" w:styleId="Default">
    <w:name w:val="Default"/>
    <w:rsid w:val="009B7A9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D45EB0"/>
    <w:pPr>
      <w:ind w:left="720"/>
      <w:contextualSpacing/>
    </w:pPr>
  </w:style>
  <w:style w:type="character" w:customStyle="1" w:styleId="UnresolvedMention2">
    <w:name w:val="Unresolved Mention2"/>
    <w:basedOn w:val="DefaultParagraphFont"/>
    <w:uiPriority w:val="99"/>
    <w:semiHidden/>
    <w:unhideWhenUsed/>
    <w:rsid w:val="00D45EB0"/>
    <w:rPr>
      <w:color w:val="605E5C"/>
      <w:shd w:val="clear" w:color="auto" w:fill="E1DFDD"/>
    </w:rPr>
  </w:style>
  <w:style w:type="character" w:styleId="FollowedHyperlink">
    <w:name w:val="FollowedHyperlink"/>
    <w:basedOn w:val="DefaultParagraphFont"/>
    <w:uiPriority w:val="99"/>
    <w:semiHidden/>
    <w:unhideWhenUsed/>
    <w:rsid w:val="00711579"/>
    <w:rPr>
      <w:color w:val="954F72" w:themeColor="followedHyperlink"/>
      <w:u w:val="single"/>
    </w:rPr>
  </w:style>
  <w:style w:type="paragraph" w:styleId="BalloonText">
    <w:name w:val="Balloon Text"/>
    <w:basedOn w:val="Normal"/>
    <w:link w:val="BalloonTextChar"/>
    <w:uiPriority w:val="99"/>
    <w:semiHidden/>
    <w:unhideWhenUsed/>
    <w:rsid w:val="008D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7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mc.rochester.edu/encyclopedia/content.aspx?contenttypeid=167&amp;contentid=albumin_blood" TargetMode="External"/><Relationship Id="rId3" Type="http://schemas.openxmlformats.org/officeDocument/2006/relationships/settings" Target="settings.xml"/><Relationship Id="rId7" Type="http://schemas.openxmlformats.org/officeDocument/2006/relationships/hyperlink" Target="https://www.fns.usda.gov/resource/healthy-eating-index-h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i.grants.cancer.gov/hei/developing.html" TargetMode="External"/><Relationship Id="rId5" Type="http://schemas.openxmlformats.org/officeDocument/2006/relationships/hyperlink" Target="https://www.cdc.gov/nchs/nhanes/about_nhane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Matthew</cp:lastModifiedBy>
  <cp:revision>5</cp:revision>
  <dcterms:created xsi:type="dcterms:W3CDTF">2021-08-20T17:57:00Z</dcterms:created>
  <dcterms:modified xsi:type="dcterms:W3CDTF">2021-08-28T13:43:00Z</dcterms:modified>
</cp:coreProperties>
</file>