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-28575</wp:posOffset>
            </wp:positionV>
            <wp:extent cx="1017270" cy="1012190"/>
            <wp:effectExtent l="0" t="0" r="11430" b="3810"/>
            <wp:wrapNone/>
            <wp:docPr id="5" name="Picture 5" descr="C:\Users\YULS\Desktop\DENR Exact 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YULS\Desktop\DENR Exact Logo 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121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3E16">
        <w:rPr>
          <w:rFonts w:ascii="Arial" w:hAnsi="Arial" w:cs="Arial"/>
          <w:sz w:val="24"/>
          <w:szCs w:val="24"/>
        </w:rPr>
        <w:t>Republic of the Philippines</w:t>
      </w:r>
    </w:p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i/>
          <w:color w:val="003300"/>
          <w:sz w:val="24"/>
          <w:szCs w:val="24"/>
        </w:rPr>
      </w:pPr>
      <w:r w:rsidRPr="00A83E16">
        <w:rPr>
          <w:rFonts w:ascii="Arial" w:hAnsi="Arial" w:cs="Arial"/>
          <w:i/>
          <w:color w:val="003300"/>
          <w:sz w:val="24"/>
          <w:szCs w:val="24"/>
        </w:rPr>
        <w:t xml:space="preserve">   Department of Environment and Natural Resources</w:t>
      </w:r>
    </w:p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83E16">
        <w:rPr>
          <w:rFonts w:ascii="Arial" w:hAnsi="Arial" w:cs="Arial"/>
          <w:b/>
          <w:sz w:val="24"/>
          <w:szCs w:val="24"/>
        </w:rPr>
        <w:t xml:space="preserve">   OFFICE OF THE REGIONAL EXECUTIVE DIRECTOR</w:t>
      </w:r>
    </w:p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>Region VI, Iloilo City</w:t>
      </w:r>
    </w:p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>Pepita Aquino Street, Port Area, 5000 Iloilo City</w:t>
      </w:r>
    </w:p>
    <w:p w:rsidR="00A30F52" w:rsidRPr="00A83E16" w:rsidRDefault="000A11DB">
      <w:pPr>
        <w:spacing w:after="0" w:line="240" w:lineRule="auto"/>
        <w:contextualSpacing/>
        <w:jc w:val="center"/>
        <w:rPr>
          <w:rStyle w:val="Hyperlink"/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 xml:space="preserve">Telefax No. (033) 329-4724 *email: </w:t>
      </w:r>
      <w:hyperlink r:id="rId10" w:history="1">
        <w:r w:rsidRPr="00A83E16">
          <w:rPr>
            <w:rStyle w:val="Hyperlink"/>
            <w:rFonts w:ascii="Arial" w:hAnsi="Arial" w:cs="Arial"/>
            <w:sz w:val="24"/>
            <w:szCs w:val="24"/>
          </w:rPr>
          <w:t>r6@denr.gov.ph</w:t>
        </w:r>
      </w:hyperlink>
    </w:p>
    <w:p w:rsidR="001B3A48" w:rsidRPr="00A83E16" w:rsidRDefault="001B3A48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A30F52" w:rsidRPr="00A83E16" w:rsidRDefault="00A30F5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0F52" w:rsidRPr="00A83E16" w:rsidRDefault="000A11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="001B3A48" w:rsidRPr="00A83E16">
        <w:rPr>
          <w:rFonts w:ascii="Arial" w:hAnsi="Arial" w:cs="Arial"/>
          <w:sz w:val="24"/>
          <w:szCs w:val="24"/>
        </w:rPr>
        <w:t>August 12, 2022</w:t>
      </w:r>
    </w:p>
    <w:p w:rsidR="00A30F52" w:rsidRPr="00A83E16" w:rsidRDefault="00A30F5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0F52" w:rsidRPr="00A83E16" w:rsidRDefault="00A30F5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30F52" w:rsidRPr="00A83E16" w:rsidRDefault="000A11D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83E16">
        <w:rPr>
          <w:rFonts w:ascii="Arial" w:hAnsi="Arial" w:cs="Arial"/>
          <w:b/>
          <w:sz w:val="24"/>
          <w:szCs w:val="24"/>
        </w:rPr>
        <w:t>REGIONAL SPECIAL ORDER</w:t>
      </w:r>
    </w:p>
    <w:p w:rsidR="00A30F52" w:rsidRPr="00A83E16" w:rsidRDefault="000A11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>No. 202</w:t>
      </w:r>
      <w:r w:rsidR="001B3A48" w:rsidRPr="00A83E16">
        <w:rPr>
          <w:rFonts w:ascii="Arial" w:hAnsi="Arial" w:cs="Arial"/>
          <w:sz w:val="24"/>
          <w:szCs w:val="24"/>
        </w:rPr>
        <w:t>2</w:t>
      </w:r>
      <w:r w:rsidRPr="00A83E16">
        <w:rPr>
          <w:rFonts w:ascii="Arial" w:hAnsi="Arial" w:cs="Arial"/>
          <w:sz w:val="24"/>
          <w:szCs w:val="24"/>
        </w:rPr>
        <w:t>-________</w:t>
      </w:r>
    </w:p>
    <w:p w:rsidR="00A30F52" w:rsidRPr="00A83E16" w:rsidRDefault="00A30F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0F52" w:rsidRPr="00A83E16" w:rsidRDefault="00A30F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30F52" w:rsidRPr="00A83E16" w:rsidRDefault="000A11DB">
      <w:pPr>
        <w:ind w:left="1440" w:hanging="144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3E16">
        <w:rPr>
          <w:rFonts w:ascii="Arial" w:hAnsi="Arial" w:cs="Arial"/>
          <w:b/>
          <w:sz w:val="24"/>
          <w:szCs w:val="24"/>
        </w:rPr>
        <w:t>SUBJECT:</w:t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b/>
          <w:sz w:val="24"/>
          <w:szCs w:val="24"/>
        </w:rPr>
        <w:t xml:space="preserve">AUTHORITY TO </w:t>
      </w:r>
      <w:r w:rsidR="001B3A48" w:rsidRPr="00A83E16">
        <w:rPr>
          <w:rFonts w:ascii="Arial" w:hAnsi="Arial" w:cs="Arial"/>
          <w:b/>
          <w:sz w:val="24"/>
          <w:szCs w:val="24"/>
        </w:rPr>
        <w:t xml:space="preserve">ATTEND THE </w:t>
      </w:r>
      <w:r w:rsidR="00885BEF" w:rsidRPr="00A83E16">
        <w:rPr>
          <w:rFonts w:ascii="Arial" w:hAnsi="Arial" w:cs="Arial"/>
          <w:b/>
          <w:sz w:val="24"/>
          <w:szCs w:val="24"/>
        </w:rPr>
        <w:t>10</w:t>
      </w:r>
      <w:r w:rsidR="00885BEF" w:rsidRPr="00A83E16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885BEF" w:rsidRPr="00A83E16">
        <w:rPr>
          <w:rFonts w:ascii="Arial" w:hAnsi="Arial" w:cs="Arial"/>
          <w:b/>
          <w:sz w:val="24"/>
          <w:szCs w:val="24"/>
        </w:rPr>
        <w:t xml:space="preserve"> TRAINING OF TRAINERS (TOT10) ON THE APPLICATION OF WILDLIFE LAW ENFORCEMENT MANUAL OF OPERATIONS ON AUGUST 21-27, 2022 IN CAGAYAN DE ORO CITY </w:t>
      </w:r>
    </w:p>
    <w:p w:rsidR="00922161" w:rsidRPr="00A83E16" w:rsidRDefault="000A11DB" w:rsidP="00DD1807">
      <w:pPr>
        <w:pStyle w:val="NormalWeb"/>
        <w:shd w:val="clear" w:color="auto" w:fill="FFFFFF"/>
        <w:ind w:firstLine="720"/>
        <w:jc w:val="both"/>
        <w:rPr>
          <w:rFonts w:ascii="Arial" w:hAnsi="Arial" w:cs="Arial"/>
          <w:lang w:val="en-US"/>
        </w:rPr>
      </w:pPr>
      <w:r w:rsidRPr="00A83E16">
        <w:rPr>
          <w:rFonts w:ascii="Arial" w:hAnsi="Arial" w:cs="Arial"/>
        </w:rPr>
        <w:t>In the interest of the service and in</w:t>
      </w:r>
      <w:r w:rsidRPr="00A83E16">
        <w:rPr>
          <w:rFonts w:ascii="Arial" w:hAnsi="Arial" w:cs="Arial"/>
          <w:lang w:val="en-US"/>
        </w:rPr>
        <w:t xml:space="preserve"> pursuance to</w:t>
      </w:r>
      <w:r w:rsidR="00922161" w:rsidRPr="00A83E16">
        <w:rPr>
          <w:rFonts w:ascii="Arial" w:hAnsi="Arial" w:cs="Arial"/>
          <w:lang w:val="en-US"/>
        </w:rPr>
        <w:t xml:space="preserve"> </w:t>
      </w:r>
      <w:r w:rsidR="00A77BD3" w:rsidRPr="00A83E16">
        <w:rPr>
          <w:rFonts w:ascii="Arial" w:hAnsi="Arial" w:cs="Arial"/>
          <w:lang w:val="en-US"/>
        </w:rPr>
        <w:t>DENR</w:t>
      </w:r>
      <w:r w:rsidR="00922161" w:rsidRPr="00A83E16">
        <w:rPr>
          <w:rFonts w:ascii="Arial" w:hAnsi="Arial" w:cs="Arial"/>
          <w:lang w:val="en-US"/>
        </w:rPr>
        <w:t xml:space="preserve">-BMB </w:t>
      </w:r>
      <w:r w:rsidR="00A77BD3" w:rsidRPr="00A83E16">
        <w:rPr>
          <w:rFonts w:ascii="Arial" w:hAnsi="Arial" w:cs="Arial"/>
          <w:lang w:val="en-US"/>
        </w:rPr>
        <w:t xml:space="preserve">Special Order on the conduct of </w:t>
      </w:r>
      <w:r w:rsidR="00922161" w:rsidRPr="00A83E16">
        <w:rPr>
          <w:rFonts w:ascii="Arial" w:hAnsi="Arial" w:cs="Arial"/>
          <w:lang w:val="en-US"/>
        </w:rPr>
        <w:t>the 10</w:t>
      </w:r>
      <w:r w:rsidR="00922161" w:rsidRPr="00A83E16">
        <w:rPr>
          <w:rFonts w:ascii="Arial" w:hAnsi="Arial" w:cs="Arial"/>
          <w:vertAlign w:val="superscript"/>
          <w:lang w:val="en-US"/>
        </w:rPr>
        <w:t>th</w:t>
      </w:r>
      <w:r w:rsidR="00922161" w:rsidRPr="00A83E16">
        <w:rPr>
          <w:rFonts w:ascii="Arial" w:hAnsi="Arial" w:cs="Arial"/>
          <w:lang w:val="en-US"/>
        </w:rPr>
        <w:t xml:space="preserve"> Training of Trainers (ToT10) on the Application of the Wildlife Law Enforcement Manual of Operations in Cagayan de Oro City</w:t>
      </w:r>
      <w:r w:rsidR="00A83E16" w:rsidRPr="00A83E16">
        <w:rPr>
          <w:rFonts w:ascii="Arial" w:hAnsi="Arial" w:cs="Arial"/>
          <w:lang w:val="en-US"/>
        </w:rPr>
        <w:t xml:space="preserve">, </w:t>
      </w:r>
      <w:proofErr w:type="spellStart"/>
      <w:r w:rsidR="00A83E16" w:rsidRPr="00A83E16">
        <w:rPr>
          <w:rFonts w:ascii="Arial" w:hAnsi="Arial" w:cs="Arial"/>
          <w:lang w:val="en-US"/>
        </w:rPr>
        <w:t>Misamis</w:t>
      </w:r>
      <w:proofErr w:type="spellEnd"/>
      <w:r w:rsidR="00A83E16" w:rsidRPr="00A83E16">
        <w:rPr>
          <w:rFonts w:ascii="Arial" w:hAnsi="Arial" w:cs="Arial"/>
          <w:lang w:val="en-US"/>
        </w:rPr>
        <w:t xml:space="preserve"> Oriental</w:t>
      </w:r>
      <w:r w:rsidR="00922161" w:rsidRPr="00A83E16">
        <w:rPr>
          <w:rFonts w:ascii="Arial" w:hAnsi="Arial" w:cs="Arial"/>
          <w:lang w:val="en-US"/>
        </w:rPr>
        <w:t xml:space="preserve"> on August 21-27, 2022, the following DENR, Region 6 personnel are authorized to attend the said activity:</w:t>
      </w: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A83E16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A83E16">
        <w:rPr>
          <w:rFonts w:ascii="Arial" w:hAnsi="Arial" w:cs="Arial"/>
          <w:b/>
          <w:sz w:val="24"/>
          <w:szCs w:val="24"/>
          <w:lang w:val="en-US"/>
        </w:rPr>
        <w:t>NAME</w:t>
      </w:r>
      <w:r w:rsidRPr="00A83E16">
        <w:rPr>
          <w:rFonts w:ascii="Arial" w:hAnsi="Arial" w:cs="Arial"/>
          <w:b/>
          <w:sz w:val="24"/>
          <w:szCs w:val="24"/>
          <w:lang w:val="en-US"/>
        </w:rPr>
        <w:tab/>
      </w:r>
      <w:r w:rsidRPr="00A83E16">
        <w:rPr>
          <w:rFonts w:ascii="Arial" w:hAnsi="Arial" w:cs="Arial"/>
          <w:b/>
          <w:sz w:val="24"/>
          <w:szCs w:val="24"/>
          <w:lang w:val="en-US"/>
        </w:rPr>
        <w:tab/>
      </w:r>
      <w:r w:rsidRPr="00A83E16">
        <w:rPr>
          <w:rFonts w:ascii="Arial" w:hAnsi="Arial" w:cs="Arial"/>
          <w:b/>
          <w:sz w:val="24"/>
          <w:szCs w:val="24"/>
          <w:lang w:val="en-US"/>
        </w:rPr>
        <w:tab/>
        <w:t>DESIGNATION</w:t>
      </w:r>
      <w:r w:rsidRPr="00A83E16">
        <w:rPr>
          <w:rFonts w:ascii="Arial" w:hAnsi="Arial" w:cs="Arial"/>
          <w:b/>
          <w:sz w:val="24"/>
          <w:szCs w:val="24"/>
          <w:lang w:val="en-US"/>
        </w:rPr>
        <w:tab/>
      </w:r>
      <w:r w:rsidRPr="00A83E16">
        <w:rPr>
          <w:rFonts w:ascii="Arial" w:hAnsi="Arial" w:cs="Arial"/>
          <w:b/>
          <w:sz w:val="24"/>
          <w:szCs w:val="24"/>
          <w:lang w:val="en-US"/>
        </w:rPr>
        <w:tab/>
        <w:t xml:space="preserve">     OFFICE </w:t>
      </w: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83E16">
        <w:rPr>
          <w:rFonts w:ascii="Arial" w:hAnsi="Arial" w:cs="Arial"/>
          <w:sz w:val="24"/>
          <w:szCs w:val="24"/>
          <w:lang w:val="en-US"/>
        </w:rPr>
        <w:t>Aren</w:t>
      </w:r>
      <w:proofErr w:type="spellEnd"/>
      <w:r w:rsidRPr="00A83E16">
        <w:rPr>
          <w:rFonts w:ascii="Arial" w:hAnsi="Arial" w:cs="Arial"/>
          <w:sz w:val="24"/>
          <w:szCs w:val="24"/>
          <w:lang w:val="en-US"/>
        </w:rPr>
        <w:t xml:space="preserve"> J. Rubin</w:t>
      </w:r>
      <w:r w:rsidRPr="00A83E16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A83E16">
        <w:rPr>
          <w:rFonts w:ascii="Arial" w:hAnsi="Arial" w:cs="Arial"/>
          <w:sz w:val="24"/>
          <w:szCs w:val="24"/>
          <w:lang w:val="en-US"/>
        </w:rPr>
        <w:tab/>
        <w:t xml:space="preserve">   Forester II</w:t>
      </w:r>
      <w:r w:rsidRPr="00A83E16">
        <w:rPr>
          <w:rFonts w:ascii="Arial" w:hAnsi="Arial" w:cs="Arial"/>
          <w:sz w:val="24"/>
          <w:szCs w:val="24"/>
          <w:lang w:val="en-US"/>
        </w:rPr>
        <w:tab/>
      </w:r>
      <w:r w:rsidRPr="00A83E16">
        <w:rPr>
          <w:rFonts w:ascii="Arial" w:hAnsi="Arial" w:cs="Arial"/>
          <w:sz w:val="24"/>
          <w:szCs w:val="24"/>
          <w:lang w:val="en-US"/>
        </w:rPr>
        <w:tab/>
      </w:r>
      <w:r w:rsidRPr="00A83E16">
        <w:rPr>
          <w:rFonts w:ascii="Arial" w:hAnsi="Arial" w:cs="Arial"/>
          <w:sz w:val="24"/>
          <w:szCs w:val="24"/>
          <w:lang w:val="en-US"/>
        </w:rPr>
        <w:tab/>
        <w:t xml:space="preserve"> PENRO </w:t>
      </w:r>
      <w:proofErr w:type="spellStart"/>
      <w:r w:rsidRPr="00A83E16">
        <w:rPr>
          <w:rFonts w:ascii="Arial" w:hAnsi="Arial" w:cs="Arial"/>
          <w:sz w:val="24"/>
          <w:szCs w:val="24"/>
          <w:lang w:val="en-US"/>
        </w:rPr>
        <w:t>Aklan</w:t>
      </w:r>
      <w:proofErr w:type="spellEnd"/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A83E16">
        <w:rPr>
          <w:rFonts w:ascii="Arial" w:hAnsi="Arial" w:cs="Arial"/>
          <w:sz w:val="24"/>
          <w:szCs w:val="24"/>
          <w:lang w:val="en-US"/>
        </w:rPr>
        <w:t xml:space="preserve">Femme P. </w:t>
      </w:r>
      <w:proofErr w:type="spellStart"/>
      <w:r w:rsidRPr="00A83E16">
        <w:rPr>
          <w:rFonts w:ascii="Arial" w:hAnsi="Arial" w:cs="Arial"/>
          <w:sz w:val="24"/>
          <w:szCs w:val="24"/>
          <w:lang w:val="en-US"/>
        </w:rPr>
        <w:t>Peñafiel</w:t>
      </w:r>
      <w:proofErr w:type="spellEnd"/>
      <w:r w:rsidRPr="00A83E16">
        <w:rPr>
          <w:rFonts w:ascii="Arial" w:hAnsi="Arial" w:cs="Arial"/>
          <w:sz w:val="24"/>
          <w:szCs w:val="24"/>
          <w:lang w:val="en-US"/>
        </w:rPr>
        <w:tab/>
      </w:r>
      <w:r w:rsidRPr="00A83E16">
        <w:rPr>
          <w:rFonts w:ascii="Arial" w:hAnsi="Arial" w:cs="Arial"/>
          <w:sz w:val="24"/>
          <w:szCs w:val="24"/>
          <w:lang w:val="en-US"/>
        </w:rPr>
        <w:tab/>
        <w:t xml:space="preserve">   EMS II</w:t>
      </w:r>
      <w:r w:rsidRPr="00A83E16">
        <w:rPr>
          <w:rFonts w:ascii="Arial" w:hAnsi="Arial" w:cs="Arial"/>
          <w:sz w:val="24"/>
          <w:szCs w:val="24"/>
          <w:lang w:val="en-US"/>
        </w:rPr>
        <w:tab/>
      </w:r>
      <w:r w:rsidRPr="00A83E16">
        <w:rPr>
          <w:rFonts w:ascii="Arial" w:hAnsi="Arial" w:cs="Arial"/>
          <w:sz w:val="24"/>
          <w:szCs w:val="24"/>
          <w:lang w:val="en-US"/>
        </w:rPr>
        <w:tab/>
      </w:r>
      <w:r w:rsidRPr="00A83E16">
        <w:rPr>
          <w:rFonts w:ascii="Arial" w:hAnsi="Arial" w:cs="Arial"/>
          <w:sz w:val="24"/>
          <w:szCs w:val="24"/>
          <w:lang w:val="en-US"/>
        </w:rPr>
        <w:tab/>
        <w:t xml:space="preserve"> Enforcement Division</w:t>
      </w: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922161" w:rsidRPr="00A83E16" w:rsidRDefault="00922161"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:rsidR="00A30F52" w:rsidRPr="00A83E16" w:rsidRDefault="00922161" w:rsidP="00A83E16">
      <w:pPr>
        <w:tabs>
          <w:tab w:val="left" w:pos="0"/>
        </w:tabs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A83E16">
        <w:rPr>
          <w:rFonts w:ascii="Arial" w:hAnsi="Arial" w:cs="Arial"/>
          <w:sz w:val="24"/>
          <w:szCs w:val="24"/>
          <w:lang w:val="en-US"/>
        </w:rPr>
        <w:tab/>
      </w:r>
      <w:r w:rsidR="00A83E16" w:rsidRPr="00A83E16">
        <w:rPr>
          <w:rFonts w:ascii="Arial" w:hAnsi="Arial" w:cs="Arial"/>
          <w:sz w:val="24"/>
          <w:szCs w:val="24"/>
          <w:lang w:val="en-US"/>
        </w:rPr>
        <w:t xml:space="preserve">Food and accommodation </w:t>
      </w:r>
      <w:r w:rsidR="000A11DB" w:rsidRPr="00A83E16">
        <w:rPr>
          <w:rFonts w:ascii="Arial" w:hAnsi="Arial" w:cs="Arial"/>
          <w:sz w:val="24"/>
          <w:szCs w:val="24"/>
        </w:rPr>
        <w:t xml:space="preserve">relative to the conduct of the activity shall be </w:t>
      </w:r>
      <w:r w:rsidR="00A83E16" w:rsidRPr="00A83E16">
        <w:rPr>
          <w:rFonts w:ascii="Arial" w:hAnsi="Arial" w:cs="Arial"/>
          <w:sz w:val="24"/>
          <w:szCs w:val="24"/>
        </w:rPr>
        <w:t xml:space="preserve">shouldered by the Biodiversity Management Bureau (BMB) while traveling expenses to and from the venue, including incidental expenses shall be </w:t>
      </w:r>
      <w:r w:rsidR="000A11DB" w:rsidRPr="00A83E16">
        <w:rPr>
          <w:rFonts w:ascii="Arial" w:hAnsi="Arial" w:cs="Arial"/>
          <w:sz w:val="24"/>
          <w:szCs w:val="24"/>
        </w:rPr>
        <w:t>charged against the</w:t>
      </w:r>
      <w:r w:rsidR="000A11DB" w:rsidRPr="00A83E16">
        <w:rPr>
          <w:rFonts w:ascii="Arial" w:hAnsi="Arial" w:cs="Arial"/>
          <w:sz w:val="24"/>
          <w:szCs w:val="24"/>
          <w:lang w:val="en-US"/>
        </w:rPr>
        <w:t xml:space="preserve"> </w:t>
      </w:r>
      <w:r w:rsidR="00A83E16" w:rsidRPr="00A83E16">
        <w:rPr>
          <w:rFonts w:ascii="Arial" w:hAnsi="Arial" w:cs="Arial"/>
          <w:sz w:val="24"/>
          <w:szCs w:val="24"/>
          <w:lang w:val="en-US"/>
        </w:rPr>
        <w:t xml:space="preserve">respective office, </w:t>
      </w:r>
      <w:proofErr w:type="spellStart"/>
      <w:r w:rsidR="00A83E16" w:rsidRPr="00A83E16">
        <w:rPr>
          <w:rFonts w:ascii="Arial" w:hAnsi="Arial" w:cs="Arial"/>
          <w:sz w:val="24"/>
          <w:szCs w:val="24"/>
          <w:lang w:val="en-US"/>
        </w:rPr>
        <w:t>subj</w:t>
      </w:r>
      <w:r w:rsidR="000A11DB" w:rsidRPr="00A83E16">
        <w:rPr>
          <w:rFonts w:ascii="Arial" w:hAnsi="Arial" w:cs="Arial"/>
          <w:color w:val="000000"/>
          <w:sz w:val="24"/>
          <w:szCs w:val="24"/>
        </w:rPr>
        <w:t>ect</w:t>
      </w:r>
      <w:proofErr w:type="spellEnd"/>
      <w:r w:rsidR="000A11DB" w:rsidRPr="00A83E16">
        <w:rPr>
          <w:rFonts w:ascii="Arial" w:hAnsi="Arial" w:cs="Arial"/>
          <w:color w:val="000000"/>
          <w:sz w:val="24"/>
          <w:szCs w:val="24"/>
        </w:rPr>
        <w:t xml:space="preserve"> to usual accounting and auditing laws, rules and regulations. </w:t>
      </w:r>
    </w:p>
    <w:p w:rsidR="00A30F52" w:rsidRPr="00A83E16" w:rsidRDefault="00A30F52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30F52" w:rsidRPr="00A83E16" w:rsidRDefault="000A11D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 xml:space="preserve">This Order shall take effect on the above scheduled date. </w:t>
      </w:r>
    </w:p>
    <w:p w:rsidR="00A30F52" w:rsidRPr="00A83E16" w:rsidRDefault="00A30F5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A30F52" w:rsidRPr="00A83E16" w:rsidRDefault="00A30F5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A30F52" w:rsidRPr="00A83E16" w:rsidRDefault="00A30F5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DD1807" w:rsidRPr="00A83E16" w:rsidRDefault="00DD1807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30F52" w:rsidRPr="00A83E16" w:rsidRDefault="000A11DB">
      <w:pPr>
        <w:pStyle w:val="NoSpacing"/>
        <w:ind w:left="5760"/>
        <w:jc w:val="both"/>
        <w:rPr>
          <w:rFonts w:ascii="Arial" w:hAnsi="Arial" w:cs="Arial"/>
          <w:b/>
          <w:sz w:val="24"/>
          <w:szCs w:val="24"/>
        </w:rPr>
      </w:pPr>
      <w:r w:rsidRPr="00A83E16">
        <w:rPr>
          <w:rFonts w:ascii="Arial" w:hAnsi="Arial" w:cs="Arial"/>
          <w:b/>
          <w:sz w:val="24"/>
          <w:szCs w:val="24"/>
        </w:rPr>
        <w:t xml:space="preserve">      </w:t>
      </w:r>
      <w:r w:rsidR="00DE493C" w:rsidRPr="00A83E16">
        <w:rPr>
          <w:rFonts w:ascii="Arial" w:hAnsi="Arial" w:cs="Arial"/>
          <w:b/>
          <w:sz w:val="24"/>
          <w:szCs w:val="24"/>
        </w:rPr>
        <w:tab/>
        <w:t xml:space="preserve">   </w:t>
      </w:r>
      <w:r w:rsidRPr="00A83E16">
        <w:rPr>
          <w:rFonts w:ascii="Arial" w:hAnsi="Arial" w:cs="Arial"/>
          <w:b/>
          <w:sz w:val="24"/>
          <w:szCs w:val="24"/>
        </w:rPr>
        <w:t>LIVINO B. DURAN</w:t>
      </w:r>
    </w:p>
    <w:p w:rsidR="00A30F52" w:rsidRPr="00A83E16" w:rsidRDefault="000A11DB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A83E16">
        <w:rPr>
          <w:rFonts w:ascii="Arial" w:hAnsi="Arial" w:cs="Arial"/>
          <w:sz w:val="24"/>
          <w:szCs w:val="24"/>
        </w:rPr>
        <w:t xml:space="preserve">         </w:t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ab/>
      </w:r>
      <w:r w:rsidR="00DE493C" w:rsidRPr="00A83E16">
        <w:rPr>
          <w:rFonts w:ascii="Arial" w:hAnsi="Arial" w:cs="Arial"/>
          <w:sz w:val="24"/>
          <w:szCs w:val="24"/>
        </w:rPr>
        <w:tab/>
      </w:r>
      <w:r w:rsidRPr="00A83E16">
        <w:rPr>
          <w:rFonts w:ascii="Arial" w:hAnsi="Arial" w:cs="Arial"/>
          <w:sz w:val="24"/>
          <w:szCs w:val="24"/>
        </w:rPr>
        <w:t xml:space="preserve">Regional Executive Director </w:t>
      </w:r>
    </w:p>
    <w:sectPr w:rsidR="00A30F52" w:rsidRPr="00A83E16" w:rsidSect="007B2EB5">
      <w:pgSz w:w="12240" w:h="15840" w:code="1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FC" w:rsidRDefault="002861FC">
      <w:pPr>
        <w:spacing w:line="240" w:lineRule="auto"/>
      </w:pPr>
      <w:r>
        <w:separator/>
      </w:r>
    </w:p>
  </w:endnote>
  <w:endnote w:type="continuationSeparator" w:id="0">
    <w:p w:rsidR="002861FC" w:rsidRDefault="00286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FC" w:rsidRDefault="002861FC">
      <w:pPr>
        <w:spacing w:after="0"/>
      </w:pPr>
      <w:r>
        <w:separator/>
      </w:r>
    </w:p>
  </w:footnote>
  <w:footnote w:type="continuationSeparator" w:id="0">
    <w:p w:rsidR="002861FC" w:rsidRDefault="002861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567D3"/>
    <w:multiLevelType w:val="multilevel"/>
    <w:tmpl w:val="677567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FB"/>
    <w:rsid w:val="00013FEF"/>
    <w:rsid w:val="00033A70"/>
    <w:rsid w:val="0003482C"/>
    <w:rsid w:val="000359A5"/>
    <w:rsid w:val="00061EB3"/>
    <w:rsid w:val="00062282"/>
    <w:rsid w:val="00062FB7"/>
    <w:rsid w:val="00063B23"/>
    <w:rsid w:val="0007364A"/>
    <w:rsid w:val="00074A98"/>
    <w:rsid w:val="000750C5"/>
    <w:rsid w:val="000843C9"/>
    <w:rsid w:val="000A11DB"/>
    <w:rsid w:val="000D5738"/>
    <w:rsid w:val="000F2A3F"/>
    <w:rsid w:val="000F32FF"/>
    <w:rsid w:val="0010200B"/>
    <w:rsid w:val="00122588"/>
    <w:rsid w:val="001253DF"/>
    <w:rsid w:val="00125745"/>
    <w:rsid w:val="0013165A"/>
    <w:rsid w:val="00143441"/>
    <w:rsid w:val="00155EF4"/>
    <w:rsid w:val="001725D3"/>
    <w:rsid w:val="001A49E6"/>
    <w:rsid w:val="001A72DC"/>
    <w:rsid w:val="001B3A48"/>
    <w:rsid w:val="001D06C2"/>
    <w:rsid w:val="001E36FB"/>
    <w:rsid w:val="001F3F7A"/>
    <w:rsid w:val="002031AD"/>
    <w:rsid w:val="002169C4"/>
    <w:rsid w:val="002244D0"/>
    <w:rsid w:val="00240572"/>
    <w:rsid w:val="00252E2D"/>
    <w:rsid w:val="002530E5"/>
    <w:rsid w:val="00262083"/>
    <w:rsid w:val="0028520F"/>
    <w:rsid w:val="002853CC"/>
    <w:rsid w:val="002861FC"/>
    <w:rsid w:val="00291804"/>
    <w:rsid w:val="002A56E3"/>
    <w:rsid w:val="002B36FA"/>
    <w:rsid w:val="002C554E"/>
    <w:rsid w:val="002D15B4"/>
    <w:rsid w:val="002D458A"/>
    <w:rsid w:val="002D4EEC"/>
    <w:rsid w:val="002F1FA2"/>
    <w:rsid w:val="002F58EF"/>
    <w:rsid w:val="00304A34"/>
    <w:rsid w:val="00307F69"/>
    <w:rsid w:val="00334A76"/>
    <w:rsid w:val="003439AF"/>
    <w:rsid w:val="00346EE0"/>
    <w:rsid w:val="00382EC1"/>
    <w:rsid w:val="00396D58"/>
    <w:rsid w:val="00397A6E"/>
    <w:rsid w:val="003B4079"/>
    <w:rsid w:val="003C6772"/>
    <w:rsid w:val="003D6FBE"/>
    <w:rsid w:val="003E2393"/>
    <w:rsid w:val="00412B73"/>
    <w:rsid w:val="00421344"/>
    <w:rsid w:val="0042407A"/>
    <w:rsid w:val="004275B6"/>
    <w:rsid w:val="004328DE"/>
    <w:rsid w:val="0044792D"/>
    <w:rsid w:val="004615E5"/>
    <w:rsid w:val="00471E62"/>
    <w:rsid w:val="00475BEF"/>
    <w:rsid w:val="00482728"/>
    <w:rsid w:val="00491AD1"/>
    <w:rsid w:val="004B5A7D"/>
    <w:rsid w:val="004C1669"/>
    <w:rsid w:val="004C7B16"/>
    <w:rsid w:val="004D05B2"/>
    <w:rsid w:val="004F15F5"/>
    <w:rsid w:val="004F533D"/>
    <w:rsid w:val="00506723"/>
    <w:rsid w:val="0052435B"/>
    <w:rsid w:val="0052557E"/>
    <w:rsid w:val="00537A57"/>
    <w:rsid w:val="005400A3"/>
    <w:rsid w:val="005460D7"/>
    <w:rsid w:val="00555AE5"/>
    <w:rsid w:val="00565EC1"/>
    <w:rsid w:val="00586157"/>
    <w:rsid w:val="00595C9F"/>
    <w:rsid w:val="00597BE7"/>
    <w:rsid w:val="005A11EB"/>
    <w:rsid w:val="005A3495"/>
    <w:rsid w:val="005D1E12"/>
    <w:rsid w:val="005E07E5"/>
    <w:rsid w:val="006040C4"/>
    <w:rsid w:val="00621345"/>
    <w:rsid w:val="006305C3"/>
    <w:rsid w:val="006536CA"/>
    <w:rsid w:val="00662357"/>
    <w:rsid w:val="00687DC1"/>
    <w:rsid w:val="0069346F"/>
    <w:rsid w:val="006C00A0"/>
    <w:rsid w:val="006C0BBE"/>
    <w:rsid w:val="006C2AED"/>
    <w:rsid w:val="006E6512"/>
    <w:rsid w:val="006E6558"/>
    <w:rsid w:val="006F47CE"/>
    <w:rsid w:val="006F51F8"/>
    <w:rsid w:val="0070729C"/>
    <w:rsid w:val="00744234"/>
    <w:rsid w:val="00756EE3"/>
    <w:rsid w:val="0077394E"/>
    <w:rsid w:val="00774EA8"/>
    <w:rsid w:val="00781AC3"/>
    <w:rsid w:val="007A10BE"/>
    <w:rsid w:val="007B2EB5"/>
    <w:rsid w:val="007B7DC5"/>
    <w:rsid w:val="007D6B6F"/>
    <w:rsid w:val="007D6C8E"/>
    <w:rsid w:val="007F7A25"/>
    <w:rsid w:val="00810B7A"/>
    <w:rsid w:val="008121AF"/>
    <w:rsid w:val="00834F81"/>
    <w:rsid w:val="00845F3B"/>
    <w:rsid w:val="0085233D"/>
    <w:rsid w:val="008539D6"/>
    <w:rsid w:val="00855DA9"/>
    <w:rsid w:val="00867FA9"/>
    <w:rsid w:val="00880A42"/>
    <w:rsid w:val="00883B98"/>
    <w:rsid w:val="00885BEF"/>
    <w:rsid w:val="008B5B4C"/>
    <w:rsid w:val="008C70F9"/>
    <w:rsid w:val="008D0A6B"/>
    <w:rsid w:val="00906EBF"/>
    <w:rsid w:val="00916602"/>
    <w:rsid w:val="00922161"/>
    <w:rsid w:val="00934B5A"/>
    <w:rsid w:val="00963B38"/>
    <w:rsid w:val="00966819"/>
    <w:rsid w:val="0097010B"/>
    <w:rsid w:val="00977AFC"/>
    <w:rsid w:val="009A253E"/>
    <w:rsid w:val="009D2FBA"/>
    <w:rsid w:val="009E41EA"/>
    <w:rsid w:val="009F0876"/>
    <w:rsid w:val="009F55A4"/>
    <w:rsid w:val="00A00048"/>
    <w:rsid w:val="00A12117"/>
    <w:rsid w:val="00A12FF4"/>
    <w:rsid w:val="00A14D58"/>
    <w:rsid w:val="00A1719F"/>
    <w:rsid w:val="00A30F52"/>
    <w:rsid w:val="00A334DF"/>
    <w:rsid w:val="00A44429"/>
    <w:rsid w:val="00A53D48"/>
    <w:rsid w:val="00A54C63"/>
    <w:rsid w:val="00A7254B"/>
    <w:rsid w:val="00A73DF8"/>
    <w:rsid w:val="00A77BD3"/>
    <w:rsid w:val="00A83E16"/>
    <w:rsid w:val="00A928C2"/>
    <w:rsid w:val="00AA3A0E"/>
    <w:rsid w:val="00AB6EAB"/>
    <w:rsid w:val="00AD072E"/>
    <w:rsid w:val="00B020B6"/>
    <w:rsid w:val="00B051FD"/>
    <w:rsid w:val="00B162E1"/>
    <w:rsid w:val="00B23B49"/>
    <w:rsid w:val="00B37ABC"/>
    <w:rsid w:val="00B5286B"/>
    <w:rsid w:val="00B67F81"/>
    <w:rsid w:val="00B72F24"/>
    <w:rsid w:val="00BB5678"/>
    <w:rsid w:val="00BB611A"/>
    <w:rsid w:val="00BB70FE"/>
    <w:rsid w:val="00C05174"/>
    <w:rsid w:val="00C0746C"/>
    <w:rsid w:val="00C2601A"/>
    <w:rsid w:val="00C460C1"/>
    <w:rsid w:val="00C835E0"/>
    <w:rsid w:val="00CC3CAA"/>
    <w:rsid w:val="00CC569B"/>
    <w:rsid w:val="00CE716B"/>
    <w:rsid w:val="00CF3F19"/>
    <w:rsid w:val="00CF65A2"/>
    <w:rsid w:val="00D33646"/>
    <w:rsid w:val="00D43A1E"/>
    <w:rsid w:val="00D67CF2"/>
    <w:rsid w:val="00D70969"/>
    <w:rsid w:val="00D75AD5"/>
    <w:rsid w:val="00DA134C"/>
    <w:rsid w:val="00DB13CE"/>
    <w:rsid w:val="00DB5FF4"/>
    <w:rsid w:val="00DD1807"/>
    <w:rsid w:val="00DE1B21"/>
    <w:rsid w:val="00DE3F69"/>
    <w:rsid w:val="00DE493C"/>
    <w:rsid w:val="00DF00B0"/>
    <w:rsid w:val="00DF0308"/>
    <w:rsid w:val="00DF0D75"/>
    <w:rsid w:val="00DF3242"/>
    <w:rsid w:val="00E07B04"/>
    <w:rsid w:val="00E158ED"/>
    <w:rsid w:val="00E1713D"/>
    <w:rsid w:val="00E17F49"/>
    <w:rsid w:val="00E20B3C"/>
    <w:rsid w:val="00E457F9"/>
    <w:rsid w:val="00E516BA"/>
    <w:rsid w:val="00E568AD"/>
    <w:rsid w:val="00E62C04"/>
    <w:rsid w:val="00E63CC5"/>
    <w:rsid w:val="00E920DD"/>
    <w:rsid w:val="00E965B7"/>
    <w:rsid w:val="00EA5B49"/>
    <w:rsid w:val="00EB1FD9"/>
    <w:rsid w:val="00EB615D"/>
    <w:rsid w:val="00EC4F7A"/>
    <w:rsid w:val="00EC79C2"/>
    <w:rsid w:val="00ED5396"/>
    <w:rsid w:val="00EE05B8"/>
    <w:rsid w:val="00EF5529"/>
    <w:rsid w:val="00F04546"/>
    <w:rsid w:val="00F05100"/>
    <w:rsid w:val="00F1139A"/>
    <w:rsid w:val="00F259DD"/>
    <w:rsid w:val="00F2640A"/>
    <w:rsid w:val="00F34FAC"/>
    <w:rsid w:val="00F474D0"/>
    <w:rsid w:val="00F5226A"/>
    <w:rsid w:val="00F62C4D"/>
    <w:rsid w:val="00F6625C"/>
    <w:rsid w:val="00F904C1"/>
    <w:rsid w:val="00FA4128"/>
    <w:rsid w:val="00FA45B6"/>
    <w:rsid w:val="00FA6C94"/>
    <w:rsid w:val="00FB289B"/>
    <w:rsid w:val="00FB5196"/>
    <w:rsid w:val="00FB7701"/>
    <w:rsid w:val="00FC485C"/>
    <w:rsid w:val="00FC4A63"/>
    <w:rsid w:val="00FC5C71"/>
    <w:rsid w:val="00FC6418"/>
    <w:rsid w:val="00FC6B3C"/>
    <w:rsid w:val="00FE3367"/>
    <w:rsid w:val="00FE4318"/>
    <w:rsid w:val="0F793E47"/>
    <w:rsid w:val="15CD48BA"/>
    <w:rsid w:val="1B9E5BAC"/>
    <w:rsid w:val="262B43F8"/>
    <w:rsid w:val="29FC1F60"/>
    <w:rsid w:val="333905BD"/>
    <w:rsid w:val="3B883346"/>
    <w:rsid w:val="3D3C3A45"/>
    <w:rsid w:val="4EB1799D"/>
    <w:rsid w:val="5FB17D3B"/>
    <w:rsid w:val="60297259"/>
    <w:rsid w:val="724576CA"/>
    <w:rsid w:val="7F9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CFC087F-607C-44F8-9D36-9B6B7D48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59"/>
    <w:qFormat/>
    <w:pPr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rmalWeb">
    <w:name w:val="Normal (Web)"/>
    <w:basedOn w:val="Normal"/>
    <w:uiPriority w:val="99"/>
    <w:unhideWhenUsed/>
    <w:rsid w:val="00DD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D1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6@denr.gov.p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527BF-E09F-46D7-9F30-38F64F4B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tinay</dc:creator>
  <cp:lastModifiedBy>Microsoft account</cp:lastModifiedBy>
  <cp:revision>6</cp:revision>
  <cp:lastPrinted>2021-12-16T02:25:00Z</cp:lastPrinted>
  <dcterms:created xsi:type="dcterms:W3CDTF">2022-08-12T08:09:00Z</dcterms:created>
  <dcterms:modified xsi:type="dcterms:W3CDTF">2022-08-12T09:04:00Z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8E28FB2EEB4F4C06ADE8FBF85D0F2FC7</vt:lpwstr>
  </property>
</Properties>
</file>