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269"/>
        <w:tblW w:w="10008" w:type="dxa"/>
        <w:tblLook w:val="04A0"/>
      </w:tblPr>
      <w:tblGrid>
        <w:gridCol w:w="1463"/>
        <w:gridCol w:w="8545"/>
      </w:tblGrid>
      <w:tr w:rsidR="005A20F3" w:rsidTr="00AF185B">
        <w:tc>
          <w:tcPr>
            <w:tcW w:w="1463" w:type="dxa"/>
            <w:shd w:val="clear" w:color="auto" w:fill="auto"/>
          </w:tcPr>
          <w:p w:rsidR="005A20F3" w:rsidRDefault="001B6E4C" w:rsidP="00AF185B"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1584" behindDoc="1" locked="0" layoutInCell="1" allowOverlap="1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635</wp:posOffset>
                  </wp:positionV>
                  <wp:extent cx="803694" cy="819150"/>
                  <wp:effectExtent l="19050" t="0" r="0" b="0"/>
                  <wp:wrapNone/>
                  <wp:docPr id="1" name="Picture 2" descr="de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e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94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45" w:type="dxa"/>
            <w:shd w:val="clear" w:color="auto" w:fill="auto"/>
          </w:tcPr>
          <w:p w:rsidR="005A20F3" w:rsidRDefault="001B6E4C" w:rsidP="00AF185B">
            <w:pPr>
              <w:spacing w:line="120" w:lineRule="exact"/>
            </w:pPr>
            <w:r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67968" behindDoc="1" locked="0" layoutInCell="1" allowOverlap="1">
                  <wp:simplePos x="0" y="0"/>
                  <wp:positionH relativeFrom="column">
                    <wp:posOffset>4693230</wp:posOffset>
                  </wp:positionH>
                  <wp:positionV relativeFrom="paragraph">
                    <wp:posOffset>42435</wp:posOffset>
                  </wp:positionV>
                  <wp:extent cx="847642" cy="842838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642" cy="8428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5A20F3" w:rsidRDefault="00185CDB" w:rsidP="00AF1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Republic of the Philippines</w:t>
            </w:r>
          </w:p>
          <w:p w:rsidR="005A20F3" w:rsidRDefault="00185CDB" w:rsidP="00AF1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Department of Environment and Natural Resources</w:t>
            </w:r>
          </w:p>
          <w:p w:rsidR="005A20F3" w:rsidRDefault="007120BA" w:rsidP="00AF185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DEPARTMENT OF </w:t>
            </w:r>
            <w:r w:rsidR="00185CDB">
              <w:rPr>
                <w:rFonts w:ascii="Arial" w:hAnsi="Arial" w:cs="Arial"/>
                <w:b/>
              </w:rPr>
              <w:t>ENVIRONMENT AND NATURAL RESOURCES</w:t>
            </w:r>
          </w:p>
          <w:p w:rsidR="005A20F3" w:rsidRDefault="007120BA" w:rsidP="00AF185B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Pepita</w:t>
            </w:r>
            <w:proofErr w:type="spellEnd"/>
            <w:r>
              <w:rPr>
                <w:rFonts w:ascii="Arial" w:hAnsi="Arial" w:cs="Arial"/>
                <w:bCs/>
              </w:rPr>
              <w:t xml:space="preserve"> Aquino Street, Port Area, Iloilo City</w:t>
            </w:r>
          </w:p>
          <w:p w:rsidR="005A20F3" w:rsidRDefault="005A20F3" w:rsidP="00AF185B"/>
        </w:tc>
      </w:tr>
    </w:tbl>
    <w:p w:rsidR="000564C4" w:rsidRDefault="00185CDB" w:rsidP="008F7E4B">
      <w:r>
        <w:tab/>
      </w:r>
      <w:r>
        <w:tab/>
      </w:r>
      <w:r>
        <w:tab/>
      </w:r>
      <w:r>
        <w:tab/>
      </w:r>
    </w:p>
    <w:p w:rsidR="000564C4" w:rsidRDefault="000564C4" w:rsidP="008F7E4B"/>
    <w:p w:rsidR="00BC67E3" w:rsidRDefault="000564C4" w:rsidP="008F7E4B">
      <w:pPr>
        <w:rPr>
          <w:rFonts w:ascii="Arial" w:hAnsi="Arial" w:cs="Arial"/>
        </w:rPr>
      </w:pPr>
      <w:r w:rsidRPr="000564C4">
        <w:rPr>
          <w:rFonts w:ascii="Arial" w:hAnsi="Arial" w:cs="Arial"/>
        </w:rPr>
        <w:tab/>
      </w:r>
      <w:r w:rsidRPr="000564C4">
        <w:rPr>
          <w:rFonts w:ascii="Arial" w:hAnsi="Arial" w:cs="Arial"/>
        </w:rPr>
        <w:tab/>
      </w:r>
      <w:r w:rsidRPr="000564C4">
        <w:rPr>
          <w:rFonts w:ascii="Arial" w:hAnsi="Arial" w:cs="Arial"/>
        </w:rPr>
        <w:tab/>
      </w:r>
      <w:r w:rsidRPr="000564C4">
        <w:rPr>
          <w:rFonts w:ascii="Arial" w:hAnsi="Arial" w:cs="Arial"/>
        </w:rPr>
        <w:tab/>
      </w:r>
      <w:r w:rsidRPr="000564C4">
        <w:rPr>
          <w:rFonts w:ascii="Arial" w:hAnsi="Arial" w:cs="Arial"/>
        </w:rPr>
        <w:tab/>
      </w:r>
      <w:r w:rsidRPr="000564C4">
        <w:rPr>
          <w:rFonts w:ascii="Arial" w:hAnsi="Arial" w:cs="Arial"/>
        </w:rPr>
        <w:tab/>
      </w:r>
      <w:r w:rsidRPr="000564C4">
        <w:rPr>
          <w:rFonts w:ascii="Arial" w:hAnsi="Arial" w:cs="Arial"/>
        </w:rPr>
        <w:tab/>
      </w:r>
      <w:r w:rsidRPr="000564C4">
        <w:rPr>
          <w:rFonts w:ascii="Arial" w:hAnsi="Arial" w:cs="Arial"/>
        </w:rPr>
        <w:tab/>
        <w:t>May 19, 2023</w:t>
      </w:r>
    </w:p>
    <w:p w:rsidR="00700B78" w:rsidRDefault="00700B78" w:rsidP="008F7E4B">
      <w:pPr>
        <w:rPr>
          <w:rFonts w:ascii="Arial" w:hAnsi="Arial" w:cs="Arial"/>
        </w:rPr>
      </w:pPr>
    </w:p>
    <w:p w:rsidR="00AF185B" w:rsidRPr="000564C4" w:rsidRDefault="00AF185B" w:rsidP="008F7E4B">
      <w:pPr>
        <w:rPr>
          <w:rFonts w:ascii="Arial" w:hAnsi="Arial" w:cs="Arial"/>
        </w:rPr>
      </w:pPr>
    </w:p>
    <w:p w:rsidR="000564C4" w:rsidRDefault="000564C4" w:rsidP="008F7E4B">
      <w:pPr>
        <w:rPr>
          <w:rFonts w:ascii="Arial" w:hAnsi="Arial" w:cs="Arial"/>
          <w:b/>
        </w:rPr>
      </w:pPr>
    </w:p>
    <w:p w:rsidR="008F7E4B" w:rsidRPr="000564C4" w:rsidRDefault="008F7E4B" w:rsidP="008F7E4B">
      <w:pPr>
        <w:jc w:val="center"/>
        <w:rPr>
          <w:rFonts w:ascii="Arial" w:hAnsi="Arial" w:cs="Arial"/>
          <w:b/>
          <w:sz w:val="32"/>
        </w:rPr>
      </w:pPr>
      <w:r w:rsidRPr="000564C4">
        <w:rPr>
          <w:rFonts w:ascii="Arial" w:hAnsi="Arial" w:cs="Arial"/>
          <w:b/>
          <w:sz w:val="32"/>
        </w:rPr>
        <w:t>ADVISORY</w:t>
      </w:r>
    </w:p>
    <w:p w:rsidR="000564C4" w:rsidRDefault="000564C4" w:rsidP="008F7E4B">
      <w:pPr>
        <w:jc w:val="center"/>
        <w:rPr>
          <w:rFonts w:ascii="Arial" w:hAnsi="Arial" w:cs="Arial"/>
          <w:b/>
        </w:rPr>
      </w:pPr>
    </w:p>
    <w:p w:rsidR="00FC6517" w:rsidRPr="00FC6517" w:rsidRDefault="00FC6517" w:rsidP="000564C4">
      <w:pPr>
        <w:ind w:firstLine="1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FC6517">
        <w:rPr>
          <w:rFonts w:ascii="Arial" w:hAnsi="Arial" w:cs="Arial"/>
        </w:rPr>
        <w:t xml:space="preserve">ATTENTION: </w:t>
      </w:r>
      <w:r w:rsidR="00934154">
        <w:rPr>
          <w:rFonts w:ascii="Arial" w:hAnsi="Arial" w:cs="Arial"/>
        </w:rPr>
        <w:t xml:space="preserve"> </w:t>
      </w:r>
      <w:r w:rsidRPr="00FC6517">
        <w:rPr>
          <w:rFonts w:ascii="Arial" w:hAnsi="Arial" w:cs="Arial"/>
        </w:rPr>
        <w:t>ALL PENR OFFICERS</w:t>
      </w:r>
    </w:p>
    <w:p w:rsidR="00FC6517" w:rsidRPr="00FC6517" w:rsidRDefault="00FC6517" w:rsidP="00FC6517">
      <w:pPr>
        <w:ind w:firstLine="108"/>
        <w:jc w:val="both"/>
        <w:rPr>
          <w:rFonts w:ascii="Arial" w:hAnsi="Arial" w:cs="Arial"/>
        </w:rPr>
      </w:pPr>
      <w:r w:rsidRPr="00FC6517">
        <w:rPr>
          <w:rFonts w:ascii="Arial" w:hAnsi="Arial" w:cs="Arial"/>
        </w:rPr>
        <w:tab/>
      </w:r>
      <w:r w:rsidRPr="00FC6517">
        <w:rPr>
          <w:rFonts w:ascii="Arial" w:hAnsi="Arial" w:cs="Arial"/>
        </w:rPr>
        <w:tab/>
      </w:r>
      <w:r w:rsidRPr="00FC6517">
        <w:rPr>
          <w:rFonts w:ascii="Arial" w:hAnsi="Arial" w:cs="Arial"/>
        </w:rPr>
        <w:tab/>
      </w:r>
      <w:r w:rsidR="00934154">
        <w:rPr>
          <w:rFonts w:ascii="Arial" w:hAnsi="Arial" w:cs="Arial"/>
        </w:rPr>
        <w:t xml:space="preserve"> </w:t>
      </w:r>
      <w:r w:rsidR="000564C4">
        <w:rPr>
          <w:rFonts w:ascii="Arial" w:hAnsi="Arial" w:cs="Arial"/>
        </w:rPr>
        <w:t xml:space="preserve"> </w:t>
      </w:r>
      <w:r w:rsidRPr="00FC6517">
        <w:rPr>
          <w:rFonts w:ascii="Arial" w:hAnsi="Arial" w:cs="Arial"/>
        </w:rPr>
        <w:t>ALL CENR OFFICERS</w:t>
      </w:r>
    </w:p>
    <w:p w:rsidR="00FC6517" w:rsidRDefault="00FC6517" w:rsidP="00FC6517">
      <w:pPr>
        <w:ind w:firstLine="108"/>
        <w:jc w:val="both"/>
        <w:rPr>
          <w:rFonts w:ascii="Arial" w:hAnsi="Arial" w:cs="Arial"/>
        </w:rPr>
      </w:pPr>
      <w:r w:rsidRPr="00FC6517">
        <w:rPr>
          <w:rFonts w:ascii="Arial" w:hAnsi="Arial" w:cs="Arial"/>
        </w:rPr>
        <w:tab/>
      </w:r>
      <w:r w:rsidRPr="00FC6517">
        <w:rPr>
          <w:rFonts w:ascii="Arial" w:hAnsi="Arial" w:cs="Arial"/>
        </w:rPr>
        <w:tab/>
      </w:r>
      <w:r w:rsidR="007A05E5">
        <w:rPr>
          <w:rFonts w:ascii="Arial" w:hAnsi="Arial" w:cs="Arial"/>
        </w:rPr>
        <w:tab/>
      </w:r>
      <w:r w:rsidR="00934154">
        <w:rPr>
          <w:rFonts w:ascii="Arial" w:hAnsi="Arial" w:cs="Arial"/>
        </w:rPr>
        <w:t xml:space="preserve"> </w:t>
      </w:r>
      <w:r w:rsidR="000564C4">
        <w:rPr>
          <w:rFonts w:ascii="Arial" w:hAnsi="Arial" w:cs="Arial"/>
        </w:rPr>
        <w:t xml:space="preserve"> CHIEF, ENFORCEMENT DIVISION</w:t>
      </w:r>
    </w:p>
    <w:p w:rsidR="000564C4" w:rsidRDefault="000564C4" w:rsidP="00FC6517">
      <w:pPr>
        <w:ind w:firstLine="1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CHIEF, LICENSES, PATENTS AND DEEDS DIVISION</w:t>
      </w:r>
    </w:p>
    <w:p w:rsidR="000564C4" w:rsidRDefault="000564C4" w:rsidP="00FC6517">
      <w:pPr>
        <w:ind w:firstLine="1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ALL CONCERNED PARTICIPANTS</w:t>
      </w:r>
    </w:p>
    <w:p w:rsidR="00EC21EB" w:rsidRPr="00FC6517" w:rsidRDefault="00EC21EB" w:rsidP="007A05E5">
      <w:pPr>
        <w:ind w:firstLine="1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85201" w:rsidRDefault="00585201" w:rsidP="00FD4571">
      <w:pPr>
        <w:ind w:firstLine="720"/>
        <w:rPr>
          <w:rFonts w:ascii="Arial" w:hAnsi="Arial" w:cs="Arial"/>
        </w:rPr>
      </w:pPr>
    </w:p>
    <w:p w:rsidR="00BD1722" w:rsidRDefault="00092548" w:rsidP="00473852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connection with the conduct of our </w:t>
      </w:r>
      <w:r w:rsidR="000564C4" w:rsidRPr="00700B78">
        <w:rPr>
          <w:rFonts w:ascii="Arial" w:hAnsi="Arial" w:cs="Arial"/>
          <w:b/>
          <w:i/>
        </w:rPr>
        <w:t>Learning Event on Wood Identification, Wildlife Law Enforcement, and Basic Witness Skills for Forest and Wildlife Law Enforcers</w:t>
      </w:r>
      <w:r w:rsidRPr="00700B78">
        <w:rPr>
          <w:rFonts w:ascii="Arial" w:hAnsi="Arial" w:cs="Arial"/>
          <w:b/>
          <w:i/>
        </w:rPr>
        <w:t xml:space="preserve"> on May 23 to 26, 2023, please be informed that the training venue</w:t>
      </w:r>
      <w:r w:rsidR="000564C4" w:rsidRPr="00700B78">
        <w:rPr>
          <w:rFonts w:ascii="Arial" w:hAnsi="Arial" w:cs="Arial"/>
          <w:b/>
          <w:i/>
        </w:rPr>
        <w:t xml:space="preserve"> shall be at MO2 </w:t>
      </w:r>
      <w:proofErr w:type="spellStart"/>
      <w:r w:rsidR="000564C4" w:rsidRPr="00700B78">
        <w:rPr>
          <w:rFonts w:ascii="Arial" w:hAnsi="Arial" w:cs="Arial"/>
          <w:b/>
          <w:i/>
        </w:rPr>
        <w:t>Westown</w:t>
      </w:r>
      <w:proofErr w:type="spellEnd"/>
      <w:r w:rsidR="000564C4" w:rsidRPr="00700B78">
        <w:rPr>
          <w:rFonts w:ascii="Arial" w:hAnsi="Arial" w:cs="Arial"/>
          <w:b/>
          <w:i/>
        </w:rPr>
        <w:t xml:space="preserve"> Hotel, Diversion Road, Iloilo City.</w:t>
      </w:r>
      <w:r w:rsidR="000564C4">
        <w:rPr>
          <w:rFonts w:ascii="Arial" w:hAnsi="Arial" w:cs="Arial"/>
        </w:rPr>
        <w:t xml:space="preserve"> This is </w:t>
      </w:r>
      <w:proofErr w:type="gramStart"/>
      <w:r w:rsidR="000564C4">
        <w:rPr>
          <w:rFonts w:ascii="Arial" w:hAnsi="Arial" w:cs="Arial"/>
        </w:rPr>
        <w:t xml:space="preserve">a </w:t>
      </w:r>
      <w:r w:rsidR="000564C4" w:rsidRPr="00700B78">
        <w:rPr>
          <w:rFonts w:ascii="Arial" w:hAnsi="Arial" w:cs="Arial"/>
          <w:b/>
          <w:i/>
        </w:rPr>
        <w:t>LIVE</w:t>
      </w:r>
      <w:proofErr w:type="gramEnd"/>
      <w:r w:rsidR="000564C4" w:rsidRPr="00700B78">
        <w:rPr>
          <w:rFonts w:ascii="Arial" w:hAnsi="Arial" w:cs="Arial"/>
          <w:b/>
          <w:i/>
        </w:rPr>
        <w:t>-OUT</w:t>
      </w:r>
      <w:r w:rsidR="000564C4">
        <w:rPr>
          <w:rFonts w:ascii="Arial" w:hAnsi="Arial" w:cs="Arial"/>
        </w:rPr>
        <w:t xml:space="preserve"> </w:t>
      </w:r>
      <w:r w:rsidR="00700B78">
        <w:rPr>
          <w:rFonts w:ascii="Arial" w:hAnsi="Arial" w:cs="Arial"/>
        </w:rPr>
        <w:t>training</w:t>
      </w:r>
      <w:r w:rsidR="000564C4">
        <w:rPr>
          <w:rFonts w:ascii="Arial" w:hAnsi="Arial" w:cs="Arial"/>
        </w:rPr>
        <w:t>.  Hotel room</w:t>
      </w:r>
      <w:r w:rsidR="00915C98">
        <w:rPr>
          <w:rFonts w:ascii="Arial" w:hAnsi="Arial" w:cs="Arial"/>
        </w:rPr>
        <w:t xml:space="preserve"> accommodation </w:t>
      </w:r>
      <w:r w:rsidR="000564C4">
        <w:rPr>
          <w:rFonts w:ascii="Arial" w:hAnsi="Arial" w:cs="Arial"/>
        </w:rPr>
        <w:t xml:space="preserve">shall only be provided to the </w:t>
      </w:r>
      <w:r>
        <w:rPr>
          <w:rFonts w:ascii="Arial" w:hAnsi="Arial" w:cs="Arial"/>
        </w:rPr>
        <w:t>subject matter experts</w:t>
      </w:r>
      <w:r w:rsidR="00700B7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</w:t>
      </w:r>
      <w:r w:rsidR="00473852">
        <w:rPr>
          <w:rFonts w:ascii="Arial" w:hAnsi="Arial" w:cs="Arial"/>
        </w:rPr>
        <w:t>hargeable against the Human Resource Deve</w:t>
      </w:r>
      <w:r w:rsidR="00915C98">
        <w:rPr>
          <w:rFonts w:ascii="Arial" w:hAnsi="Arial" w:cs="Arial"/>
        </w:rPr>
        <w:t xml:space="preserve">lopment Section (HRDS) Funds (Conduct of Trainings) of the Administrative Division. </w:t>
      </w:r>
    </w:p>
    <w:p w:rsidR="00700B78" w:rsidRDefault="00700B78" w:rsidP="00473852">
      <w:pPr>
        <w:ind w:left="720" w:firstLine="720"/>
        <w:jc w:val="both"/>
        <w:rPr>
          <w:rFonts w:ascii="Arial" w:hAnsi="Arial" w:cs="Arial"/>
        </w:rPr>
      </w:pPr>
    </w:p>
    <w:p w:rsidR="00E41467" w:rsidRDefault="00E41467" w:rsidP="00E41467">
      <w:pPr>
        <w:ind w:left="720" w:firstLine="720"/>
        <w:jc w:val="both"/>
        <w:rPr>
          <w:rFonts w:ascii="Arial" w:hAnsi="Arial" w:cs="Arial"/>
        </w:rPr>
      </w:pPr>
      <w:r w:rsidRPr="00E56D46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more information and inquiries, you may call or text our </w:t>
      </w:r>
      <w:r w:rsidR="00700B78">
        <w:rPr>
          <w:rFonts w:ascii="Arial" w:hAnsi="Arial" w:cs="Arial"/>
        </w:rPr>
        <w:t>Program Manager</w:t>
      </w:r>
      <w:r>
        <w:rPr>
          <w:rFonts w:ascii="Arial" w:hAnsi="Arial" w:cs="Arial"/>
        </w:rPr>
        <w:t xml:space="preserve">, </w:t>
      </w:r>
      <w:r w:rsidR="00700B78">
        <w:rPr>
          <w:rFonts w:ascii="Arial" w:hAnsi="Arial" w:cs="Arial"/>
        </w:rPr>
        <w:t xml:space="preserve">Administrative Officer II Dianne Marie P. </w:t>
      </w:r>
      <w:proofErr w:type="spellStart"/>
      <w:r w:rsidR="00700B78">
        <w:rPr>
          <w:rFonts w:ascii="Arial" w:hAnsi="Arial" w:cs="Arial"/>
        </w:rPr>
        <w:t>Mooc</w:t>
      </w:r>
      <w:proofErr w:type="spellEnd"/>
      <w:r>
        <w:rPr>
          <w:rFonts w:ascii="Arial" w:hAnsi="Arial" w:cs="Arial"/>
        </w:rPr>
        <w:t xml:space="preserve"> of the Human Resource Development Section (HRDS), through </w:t>
      </w:r>
      <w:proofErr w:type="spellStart"/>
      <w:r>
        <w:rPr>
          <w:rFonts w:ascii="Arial" w:hAnsi="Arial" w:cs="Arial"/>
        </w:rPr>
        <w:t>cellphone</w:t>
      </w:r>
      <w:proofErr w:type="spellEnd"/>
      <w:r>
        <w:rPr>
          <w:rFonts w:ascii="Arial" w:hAnsi="Arial" w:cs="Arial"/>
        </w:rPr>
        <w:t xml:space="preserve"> number 09</w:t>
      </w:r>
      <w:r w:rsidR="00700B78">
        <w:rPr>
          <w:rFonts w:ascii="Arial" w:hAnsi="Arial" w:cs="Arial"/>
        </w:rPr>
        <w:t xml:space="preserve">50-5128440 </w:t>
      </w:r>
      <w:r>
        <w:rPr>
          <w:rFonts w:ascii="Arial" w:hAnsi="Arial" w:cs="Arial"/>
        </w:rPr>
        <w:t>(</w:t>
      </w:r>
      <w:r w:rsidR="00700B78">
        <w:rPr>
          <w:rFonts w:ascii="Arial" w:hAnsi="Arial" w:cs="Arial"/>
        </w:rPr>
        <w:t>Smart</w:t>
      </w:r>
      <w:r>
        <w:rPr>
          <w:rFonts w:ascii="Arial" w:hAnsi="Arial" w:cs="Arial"/>
        </w:rPr>
        <w:t xml:space="preserve">) or telephone number </w:t>
      </w:r>
      <w:r w:rsidR="00700B78">
        <w:rPr>
          <w:rFonts w:ascii="Arial" w:hAnsi="Arial" w:cs="Arial"/>
        </w:rPr>
        <w:t>(033) 328</w:t>
      </w:r>
      <w:r>
        <w:rPr>
          <w:rFonts w:ascii="Arial" w:hAnsi="Arial" w:cs="Arial"/>
        </w:rPr>
        <w:t>-</w:t>
      </w:r>
      <w:r w:rsidR="00700B78">
        <w:rPr>
          <w:rFonts w:ascii="Arial" w:hAnsi="Arial" w:cs="Arial"/>
        </w:rPr>
        <w:t>1820</w:t>
      </w:r>
      <w:r>
        <w:rPr>
          <w:rFonts w:ascii="Arial" w:hAnsi="Arial" w:cs="Arial"/>
        </w:rPr>
        <w:t>.</w:t>
      </w:r>
    </w:p>
    <w:p w:rsidR="00E41467" w:rsidRDefault="00E41467" w:rsidP="00E41467">
      <w:pPr>
        <w:ind w:left="720" w:firstLine="720"/>
        <w:jc w:val="both"/>
        <w:rPr>
          <w:rFonts w:ascii="Arial" w:hAnsi="Arial" w:cs="Arial"/>
        </w:rPr>
      </w:pPr>
    </w:p>
    <w:p w:rsidR="00E41467" w:rsidRDefault="00E41467" w:rsidP="00E41467">
      <w:pPr>
        <w:ind w:left="450" w:firstLine="45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For information.</w:t>
      </w:r>
      <w:proofErr w:type="gramEnd"/>
    </w:p>
    <w:p w:rsidR="00E41467" w:rsidRDefault="00E41467" w:rsidP="00E41467">
      <w:pPr>
        <w:ind w:left="450" w:firstLine="45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41467" w:rsidRDefault="00E41467" w:rsidP="00E41467">
      <w:pPr>
        <w:ind w:left="450" w:firstLine="45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ab/>
      </w:r>
    </w:p>
    <w:p w:rsidR="00915C98" w:rsidRDefault="00E41467" w:rsidP="00700B78">
      <w:pPr>
        <w:ind w:left="450" w:right="-459" w:firstLine="45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</w:t>
      </w:r>
    </w:p>
    <w:p w:rsidR="00700B78" w:rsidRDefault="00700B78" w:rsidP="00700B78">
      <w:pPr>
        <w:ind w:left="450" w:right="-459" w:firstLine="45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ERNEST C. FEDERISO, </w:t>
      </w:r>
      <w:r w:rsidRPr="00700B78">
        <w:rPr>
          <w:rFonts w:ascii="Arial" w:hAnsi="Arial" w:cs="Arial"/>
          <w:b/>
          <w:i/>
        </w:rPr>
        <w:t>D.M.</w:t>
      </w:r>
    </w:p>
    <w:p w:rsidR="00700B78" w:rsidRPr="00700B78" w:rsidRDefault="00700B78" w:rsidP="00700B78">
      <w:pPr>
        <w:ind w:left="450" w:right="-459" w:firstLine="450"/>
        <w:jc w:val="both"/>
        <w:rPr>
          <w:rFonts w:ascii="Arial" w:hAnsi="Arial" w:cs="Arial"/>
          <w:i/>
        </w:rPr>
      </w:pPr>
      <w:r w:rsidRPr="00700B78">
        <w:rPr>
          <w:rFonts w:ascii="Arial" w:hAnsi="Arial" w:cs="Arial"/>
        </w:rPr>
        <w:tab/>
      </w:r>
      <w:r w:rsidRPr="00700B78">
        <w:rPr>
          <w:rFonts w:ascii="Arial" w:hAnsi="Arial" w:cs="Arial"/>
        </w:rPr>
        <w:tab/>
      </w:r>
      <w:r w:rsidRPr="00700B78">
        <w:rPr>
          <w:rFonts w:ascii="Arial" w:hAnsi="Arial" w:cs="Arial"/>
        </w:rPr>
        <w:tab/>
      </w:r>
      <w:r w:rsidRPr="00700B78">
        <w:rPr>
          <w:rFonts w:ascii="Arial" w:hAnsi="Arial" w:cs="Arial"/>
        </w:rPr>
        <w:tab/>
      </w:r>
      <w:r w:rsidRPr="00700B78">
        <w:rPr>
          <w:rFonts w:ascii="Arial" w:hAnsi="Arial" w:cs="Arial"/>
        </w:rPr>
        <w:tab/>
      </w:r>
      <w:r w:rsidRPr="00700B78">
        <w:rPr>
          <w:rFonts w:ascii="Arial" w:hAnsi="Arial" w:cs="Arial"/>
        </w:rPr>
        <w:tab/>
      </w:r>
      <w:r w:rsidRPr="00700B78">
        <w:rPr>
          <w:rFonts w:ascii="Arial" w:hAnsi="Arial" w:cs="Arial"/>
        </w:rPr>
        <w:tab/>
        <w:t>Chief, Administrative Division</w:t>
      </w:r>
    </w:p>
    <w:p w:rsidR="00584B2F" w:rsidRDefault="00584B2F">
      <w:pPr>
        <w:spacing w:after="200" w:line="276" w:lineRule="auto"/>
        <w:rPr>
          <w:rFonts w:ascii="Arial" w:hAnsi="Arial" w:cs="Arial"/>
          <w:b/>
          <w:sz w:val="20"/>
        </w:rPr>
      </w:pPr>
    </w:p>
    <w:sectPr w:rsidR="00584B2F" w:rsidSect="00AF185B">
      <w:pgSz w:w="12240" w:h="15840" w:code="1"/>
      <w:pgMar w:top="1474" w:right="1304" w:bottom="1418" w:left="1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2624E"/>
    <w:multiLevelType w:val="hybridMultilevel"/>
    <w:tmpl w:val="27B849C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3F411C4"/>
    <w:multiLevelType w:val="hybridMultilevel"/>
    <w:tmpl w:val="A55C47C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3430DA"/>
    <w:rsid w:val="00000641"/>
    <w:rsid w:val="000223D8"/>
    <w:rsid w:val="000564C4"/>
    <w:rsid w:val="00092548"/>
    <w:rsid w:val="000B5AB9"/>
    <w:rsid w:val="000F55C8"/>
    <w:rsid w:val="00126848"/>
    <w:rsid w:val="00185CDB"/>
    <w:rsid w:val="001918AA"/>
    <w:rsid w:val="001A2869"/>
    <w:rsid w:val="001B6E4C"/>
    <w:rsid w:val="001C3CAC"/>
    <w:rsid w:val="0021140F"/>
    <w:rsid w:val="00231575"/>
    <w:rsid w:val="00231D7C"/>
    <w:rsid w:val="00237BBB"/>
    <w:rsid w:val="00274746"/>
    <w:rsid w:val="002759AD"/>
    <w:rsid w:val="002B657D"/>
    <w:rsid w:val="002D183E"/>
    <w:rsid w:val="002D76FB"/>
    <w:rsid w:val="002E7C5F"/>
    <w:rsid w:val="00301FA2"/>
    <w:rsid w:val="00302543"/>
    <w:rsid w:val="003430DA"/>
    <w:rsid w:val="00355C0D"/>
    <w:rsid w:val="003A1526"/>
    <w:rsid w:val="003A1A98"/>
    <w:rsid w:val="003E40DA"/>
    <w:rsid w:val="00411942"/>
    <w:rsid w:val="00441CF7"/>
    <w:rsid w:val="004566EF"/>
    <w:rsid w:val="004643EA"/>
    <w:rsid w:val="00465985"/>
    <w:rsid w:val="00473852"/>
    <w:rsid w:val="0049657C"/>
    <w:rsid w:val="004A26CE"/>
    <w:rsid w:val="004D726E"/>
    <w:rsid w:val="004E20DC"/>
    <w:rsid w:val="004E4E55"/>
    <w:rsid w:val="004F74A5"/>
    <w:rsid w:val="005143F0"/>
    <w:rsid w:val="00533617"/>
    <w:rsid w:val="005412D3"/>
    <w:rsid w:val="00547E0E"/>
    <w:rsid w:val="00553188"/>
    <w:rsid w:val="00554E03"/>
    <w:rsid w:val="00581DB7"/>
    <w:rsid w:val="00584B2F"/>
    <w:rsid w:val="00585201"/>
    <w:rsid w:val="005A20F3"/>
    <w:rsid w:val="005A6817"/>
    <w:rsid w:val="005E2328"/>
    <w:rsid w:val="00600D36"/>
    <w:rsid w:val="0061138F"/>
    <w:rsid w:val="00612A6C"/>
    <w:rsid w:val="00637AD7"/>
    <w:rsid w:val="0065509D"/>
    <w:rsid w:val="00680665"/>
    <w:rsid w:val="0068280D"/>
    <w:rsid w:val="0069297D"/>
    <w:rsid w:val="00692A5D"/>
    <w:rsid w:val="00700B78"/>
    <w:rsid w:val="0070411C"/>
    <w:rsid w:val="007120BA"/>
    <w:rsid w:val="00715234"/>
    <w:rsid w:val="00744874"/>
    <w:rsid w:val="00787F3C"/>
    <w:rsid w:val="007A05E5"/>
    <w:rsid w:val="007A57A9"/>
    <w:rsid w:val="007C28B5"/>
    <w:rsid w:val="007F02CC"/>
    <w:rsid w:val="00804127"/>
    <w:rsid w:val="00823E8A"/>
    <w:rsid w:val="00841094"/>
    <w:rsid w:val="008427B0"/>
    <w:rsid w:val="00863C02"/>
    <w:rsid w:val="00887035"/>
    <w:rsid w:val="008C32FC"/>
    <w:rsid w:val="008C5C28"/>
    <w:rsid w:val="008E41DB"/>
    <w:rsid w:val="008E7730"/>
    <w:rsid w:val="008F2501"/>
    <w:rsid w:val="008F3BDD"/>
    <w:rsid w:val="008F7E4B"/>
    <w:rsid w:val="0091400E"/>
    <w:rsid w:val="00915C98"/>
    <w:rsid w:val="00934154"/>
    <w:rsid w:val="0095210D"/>
    <w:rsid w:val="0099717B"/>
    <w:rsid w:val="009A630B"/>
    <w:rsid w:val="009B2D5C"/>
    <w:rsid w:val="009F2A9B"/>
    <w:rsid w:val="00A14016"/>
    <w:rsid w:val="00A1474B"/>
    <w:rsid w:val="00A26970"/>
    <w:rsid w:val="00A92155"/>
    <w:rsid w:val="00A96616"/>
    <w:rsid w:val="00AA1699"/>
    <w:rsid w:val="00AD7F5A"/>
    <w:rsid w:val="00AF185B"/>
    <w:rsid w:val="00B143D7"/>
    <w:rsid w:val="00B218E9"/>
    <w:rsid w:val="00B60993"/>
    <w:rsid w:val="00B63AC2"/>
    <w:rsid w:val="00B667BA"/>
    <w:rsid w:val="00BB0A14"/>
    <w:rsid w:val="00BB511A"/>
    <w:rsid w:val="00BB6F58"/>
    <w:rsid w:val="00BC67E3"/>
    <w:rsid w:val="00BD1722"/>
    <w:rsid w:val="00BE0ED4"/>
    <w:rsid w:val="00BF51C0"/>
    <w:rsid w:val="00C404BC"/>
    <w:rsid w:val="00CF10F8"/>
    <w:rsid w:val="00CF6F55"/>
    <w:rsid w:val="00D30988"/>
    <w:rsid w:val="00D43F92"/>
    <w:rsid w:val="00D70979"/>
    <w:rsid w:val="00D936E3"/>
    <w:rsid w:val="00D955D8"/>
    <w:rsid w:val="00DA1682"/>
    <w:rsid w:val="00DB16CD"/>
    <w:rsid w:val="00DD26AA"/>
    <w:rsid w:val="00DE2364"/>
    <w:rsid w:val="00E41467"/>
    <w:rsid w:val="00E436BA"/>
    <w:rsid w:val="00E56D46"/>
    <w:rsid w:val="00E73E1E"/>
    <w:rsid w:val="00E90D22"/>
    <w:rsid w:val="00EC21EB"/>
    <w:rsid w:val="00ED14E2"/>
    <w:rsid w:val="00F14F03"/>
    <w:rsid w:val="00F37977"/>
    <w:rsid w:val="00F40560"/>
    <w:rsid w:val="00F64141"/>
    <w:rsid w:val="00F877D5"/>
    <w:rsid w:val="00FA5264"/>
    <w:rsid w:val="00FB6FB5"/>
    <w:rsid w:val="00FC6517"/>
    <w:rsid w:val="00FD2DF3"/>
    <w:rsid w:val="00FD4571"/>
    <w:rsid w:val="00FE1E55"/>
    <w:rsid w:val="04FB5E15"/>
    <w:rsid w:val="109D68B0"/>
    <w:rsid w:val="218947D1"/>
    <w:rsid w:val="40B367E1"/>
    <w:rsid w:val="4FFE6AD5"/>
    <w:rsid w:val="7B086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3E40DA"/>
    <w:pPr>
      <w:ind w:left="720"/>
      <w:contextualSpacing/>
    </w:pPr>
  </w:style>
  <w:style w:type="table" w:styleId="TableGrid">
    <w:name w:val="Table Grid"/>
    <w:basedOn w:val="TableNormal"/>
    <w:uiPriority w:val="59"/>
    <w:rsid w:val="00BC67E3"/>
    <w:pPr>
      <w:spacing w:after="0" w:line="240" w:lineRule="auto"/>
    </w:pPr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Citcit Botavara</dc:creator>
  <cp:lastModifiedBy>Yan Mooc</cp:lastModifiedBy>
  <cp:revision>6</cp:revision>
  <cp:lastPrinted>2022-07-05T02:38:00Z</cp:lastPrinted>
  <dcterms:created xsi:type="dcterms:W3CDTF">2023-05-19T05:43:00Z</dcterms:created>
  <dcterms:modified xsi:type="dcterms:W3CDTF">2023-05-19T06:11:00Z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