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lastRenderedPageBreak/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생산관리의 역사적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lastRenderedPageBreak/>
        <w:t>상호 배타적인 지원 관계를 유지하지만 별도의 조직 간의 관계를 조정해야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p w:rsidR="005262A7" w:rsidRDefault="005262A7" w:rsidP="00743C9D"/>
    <w:p w:rsidR="00743C9D" w:rsidRDefault="00743C9D" w:rsidP="00743C9D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proofErr w:type="spellStart"/>
      <w:r>
        <w:rPr>
          <w:rFonts w:hint="eastAsia"/>
          <w:szCs w:val="20"/>
        </w:rPr>
        <w:t>스트래들링</w:t>
      </w:r>
      <w:proofErr w:type="spellEnd"/>
    </w:p>
    <w:p w:rsidR="00743C9D" w:rsidRDefault="00743C9D" w:rsidP="00743C9D">
      <w:pPr>
        <w:pStyle w:val="2"/>
      </w:pPr>
      <w:r>
        <w:t>운영 및 공급사슬 전략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전략은 기업이 현재의 주주들을 위한 가치를 어떻게 창조하고 유지해야만 하는지를 표현해야 함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743C9D" w:rsidRDefault="00743C9D" w:rsidP="00743C9D">
      <w:pPr>
        <w:pStyle w:val="2"/>
      </w:pPr>
      <w:r>
        <w:t>경쟁차원과 상쇄관계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상쇄관계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743C9D" w:rsidRDefault="00743C9D" w:rsidP="00743C9D"/>
    <w:p w:rsidR="00743C9D" w:rsidRDefault="00743C9D" w:rsidP="00743C9D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743C9D" w:rsidRDefault="00743C9D" w:rsidP="00743C9D">
      <w:pPr>
        <w:pStyle w:val="2"/>
      </w:pPr>
      <w:r>
        <w:t>전략적 적합성과 생산성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743C9D" w:rsidRDefault="00743C9D" w:rsidP="00743C9D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743C9D" w:rsidRDefault="00743C9D" w:rsidP="00743C9D"/>
    <w:p w:rsidR="008C50EF" w:rsidRDefault="008C50EF" w:rsidP="008C50EF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 w:rsidR="008C50EF" w:rsidRDefault="008C50EF" w:rsidP="008C50EF">
      <w:pPr>
        <w:pStyle w:val="2"/>
      </w:pPr>
      <w:r>
        <w:t>능력 계획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8C50EF" w:rsidRDefault="008C50EF" w:rsidP="008C50EF">
      <w:pPr>
        <w:pStyle w:val="2"/>
      </w:pPr>
      <w:r>
        <w:t>능력 소요량 결정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계획 기간 동안의 노동력과 장비의 가용성을 계획함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 w:rsidR="008C50EF" w:rsidRDefault="008C50EF" w:rsidP="008C50EF">
      <w:pPr>
        <w:pStyle w:val="2"/>
      </w:pPr>
      <w:r>
        <w:t>의사결정나무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8C50EF" w:rsidRDefault="008C50EF" w:rsidP="008C50EF">
      <w:pPr>
        <w:pStyle w:val="2"/>
      </w:pPr>
      <w:r>
        <w:t>의사결정나무의 적용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최적의 가동률은 상황에 따라 다름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proofErr w:type="spellStart"/>
      <w:r>
        <w:rPr>
          <w:rStyle w:val="click"/>
        </w:rPr>
        <w:t>분리점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리틀의</w:t>
      </w:r>
      <w:proofErr w:type="spellEnd"/>
      <w:r>
        <w:rPr>
          <w:rStyle w:val="click"/>
        </w:rPr>
        <w:t xml:space="preserve"> 법칙</w:t>
      </w:r>
    </w:p>
    <w:p w:rsidR="008C50EF" w:rsidRDefault="008C50EF" w:rsidP="008C50EF">
      <w:pPr>
        <w:pStyle w:val="2"/>
      </w:pPr>
      <w:r>
        <w:t>생산 프로세스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 후 재고로 보유 기업(Make-to-stock firms) - 보관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C50EF" w:rsidRDefault="008C50EF" w:rsidP="008C50EF">
      <w:pPr>
        <w:pStyle w:val="2"/>
      </w:pPr>
      <w:r>
        <w:t>생산시스템의 설계</w:t>
      </w:r>
    </w:p>
    <w:p w:rsidR="008C50EF" w:rsidRDefault="008C50EF" w:rsidP="003E73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배치 :</w:t>
      </w:r>
      <w:proofErr w:type="gramEnd"/>
      <w:r>
        <w:t xml:space="preserve"> 제품은 부피나 무게 때문에 고정된 위치에 있고, 제조 장비가 제품에게로 이동함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작업장 :</w:t>
      </w:r>
      <w:proofErr w:type="gramEnd"/>
      <w:r>
        <w:t xml:space="preserve"> 비슷한 장비나 기능의 기계를 같이 모은 곳임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제조 </w:t>
      </w:r>
      <w:proofErr w:type="gramStart"/>
      <w:r>
        <w:t>셀 :비슷한</w:t>
      </w:r>
      <w:proofErr w:type="gramEnd"/>
      <w:r>
        <w:t xml:space="preserve"> 프로세스를 요구하는 제품이 생산되는 전용(dedicated) 지역을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조립라인 :</w:t>
      </w:r>
      <w:proofErr w:type="gramEnd"/>
      <w:r>
        <w:t xml:space="preserve"> 이산적 작업 프로세스가 제품을 만드는 점진적 단계에 따라 배열되는 곳을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연속 </w:t>
      </w:r>
      <w:proofErr w:type="gramStart"/>
      <w:r>
        <w:t>프로세스 :</w:t>
      </w:r>
      <w:proofErr w:type="gramEnd"/>
      <w:r>
        <w:t xml:space="preserve"> 조립라인과 유사하나 흐름이 이산적이지 않고 연속적임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 w:rsidR="008C50EF" w:rsidRDefault="008C50EF" w:rsidP="008C50EF">
      <w:pPr>
        <w:pStyle w:val="2"/>
      </w:pPr>
      <w:r>
        <w:t>조립라인의 설계</w:t>
      </w:r>
    </w:p>
    <w:p w:rsidR="008C50EF" w:rsidRDefault="008C50EF" w:rsidP="003E73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</w:t>
      </w:r>
      <w:proofErr w:type="gramStart"/>
      <w:r>
        <w:t>) :</w:t>
      </w:r>
      <w:proofErr w:type="gramEnd"/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C50EF" w:rsidRDefault="008C50EF" w:rsidP="008C50EF">
      <w:pPr>
        <w:pStyle w:val="2"/>
      </w:pPr>
      <w:r>
        <w:t>조립라인의 균형화</w:t>
      </w:r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8C50EF" w:rsidRDefault="008C50EF" w:rsidP="00743C9D"/>
    <w:p w:rsidR="008C50EF" w:rsidRDefault="008C50EF" w:rsidP="008C50EF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proofErr w:type="spellStart"/>
      <w:r>
        <w:rPr>
          <w:rFonts w:hint="eastAsia"/>
          <w:szCs w:val="20"/>
        </w:rPr>
        <w:t>포카요케</w:t>
      </w:r>
      <w:proofErr w:type="spellEnd"/>
      <w:r>
        <w:rPr>
          <w:szCs w:val="20"/>
        </w:rPr>
        <w:tab/>
      </w:r>
    </w:p>
    <w:p w:rsidR="008C50EF" w:rsidRDefault="008C50EF" w:rsidP="008C50EF">
      <w:pPr>
        <w:pStyle w:val="2"/>
      </w:pPr>
      <w:r>
        <w:t>서비스 프로세스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누구인가?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proofErr w:type="spellStart"/>
      <w:r>
        <w:rPr>
          <w:rFonts w:hint="eastAsia"/>
          <w:szCs w:val="20"/>
        </w:rPr>
        <w:t>도착률</w:t>
      </w:r>
      <w:proofErr w:type="spellEnd"/>
    </w:p>
    <w:p w:rsidR="008C50EF" w:rsidRDefault="008C50EF" w:rsidP="008C50EF">
      <w:pPr>
        <w:pStyle w:val="2"/>
      </w:pPr>
      <w:r>
        <w:t>대기행렬시스템의 구성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서비스 제공 시스템임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8C50EF" w:rsidRDefault="008C50EF" w:rsidP="008C50EF">
      <w:pPr>
        <w:pStyle w:val="2"/>
      </w:pPr>
      <w:r>
        <w:t>대기행렬시스템의 요인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proofErr w:type="spellStart"/>
      <w:r>
        <w:rPr>
          <w:rFonts w:hint="eastAsia"/>
          <w:szCs w:val="20"/>
        </w:rPr>
        <w:t>종합적품질경영</w:t>
      </w:r>
      <w:proofErr w:type="spellEnd"/>
      <w:r>
        <w:rPr>
          <w:rFonts w:hint="eastAsia"/>
          <w:szCs w:val="20"/>
        </w:rPr>
        <w:t>(TQM)</w:t>
      </w:r>
    </w:p>
    <w:p w:rsidR="008C50EF" w:rsidRDefault="008C50EF" w:rsidP="008C50EF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 w:rsidR="008C50EF" w:rsidRDefault="008C50EF" w:rsidP="008C50EF">
      <w:pPr>
        <w:pStyle w:val="2"/>
      </w:pPr>
      <w:r>
        <w:t>품질대가 비교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프로세스에 관한 정밀한 분석에 기초한 끊임없는 개선</w:t>
      </w:r>
    </w:p>
    <w:p w:rsidR="008C50EF" w:rsidRDefault="008C50EF" w:rsidP="008C50EF">
      <w:pPr>
        <w:pStyle w:val="2"/>
      </w:pPr>
      <w:r>
        <w:t>품질비용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식스시그마</w:t>
      </w:r>
      <w:proofErr w:type="spellEnd"/>
      <w:r>
        <w:rPr>
          <w:rFonts w:hint="eastAsia"/>
          <w:szCs w:val="20"/>
        </w:rPr>
        <w:t>, DMAIC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정의(Define, D)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8C50EF" w:rsidRDefault="008C50EF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proofErr w:type="spellStart"/>
      <w:r>
        <w:rPr>
          <w:rStyle w:val="click"/>
        </w:rPr>
        <w:t>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6E39EA" w:rsidRDefault="006E39EA" w:rsidP="006E39EA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6E39EA" w:rsidRDefault="006E39EA" w:rsidP="003E73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6E39EA" w:rsidRDefault="006E39EA" w:rsidP="006E39EA">
      <w:pPr>
        <w:pStyle w:val="2"/>
      </w:pPr>
      <w:r>
        <w:lastRenderedPageBreak/>
        <w:t>채찍효과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6E39EA" w:rsidRDefault="006E39EA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아웃소싱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proofErr w:type="spellStart"/>
      <w:r>
        <w:rPr>
          <w:rStyle w:val="click"/>
        </w:rPr>
        <w:t>주일수</w:t>
      </w:r>
      <w:proofErr w:type="spellEnd"/>
    </w:p>
    <w:p w:rsidR="006E39EA" w:rsidRDefault="006E39EA" w:rsidP="006E39EA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전회사의 내부활동 일부와 의사결정 책임을 외부 공급자에게 이전하는 행위를 말함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832CC3" w:rsidRDefault="00832CC3" w:rsidP="00832C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832CC3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832CC3" w:rsidRDefault="00832CC3" w:rsidP="00832CC3">
      <w:pPr>
        <w:pStyle w:val="2"/>
      </w:pPr>
      <w:r>
        <w:t>물류와 제3자 물류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832CC3" w:rsidRDefault="00832CC3" w:rsidP="00832CC3">
      <w:pPr>
        <w:pStyle w:val="2"/>
      </w:pPr>
      <w:r>
        <w:t>물류관련 의사결정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혼재화물 창고에서 사용됨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센트로이드방법</w:t>
      </w:r>
      <w:proofErr w:type="spellEnd"/>
    </w:p>
    <w:p w:rsidR="00832CC3" w:rsidRDefault="00832CC3" w:rsidP="00832CC3">
      <w:pPr>
        <w:pStyle w:val="2"/>
      </w:pPr>
      <w:r>
        <w:t>시설 입지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832CC3" w:rsidRDefault="00832CC3" w:rsidP="00832CC3">
      <w:pPr>
        <w:pStyle w:val="2"/>
      </w:pPr>
      <w:r>
        <w:lastRenderedPageBreak/>
        <w:t>공장입지 선정 방법</w:t>
      </w:r>
    </w:p>
    <w:p w:rsidR="00832CC3" w:rsidRDefault="00832CC3" w:rsidP="00832CC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0" w:name="_GoBack"/>
      <w:bookmarkEnd w:id="0"/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6E39EA" w:rsidRPr="00832CC3" w:rsidRDefault="006E39EA" w:rsidP="00743C9D"/>
    <w:sectPr w:rsidR="006E39EA" w:rsidRPr="00832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A1C" w:rsidRDefault="00C34A1C" w:rsidP="006E39EA">
      <w:pPr>
        <w:spacing w:after="0" w:line="240" w:lineRule="auto"/>
      </w:pPr>
      <w:r>
        <w:separator/>
      </w:r>
    </w:p>
  </w:endnote>
  <w:endnote w:type="continuationSeparator" w:id="0">
    <w:p w:rsidR="00C34A1C" w:rsidRDefault="00C34A1C" w:rsidP="006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A1C" w:rsidRDefault="00C34A1C" w:rsidP="006E39EA">
      <w:pPr>
        <w:spacing w:after="0" w:line="240" w:lineRule="auto"/>
      </w:pPr>
      <w:r>
        <w:separator/>
      </w:r>
    </w:p>
  </w:footnote>
  <w:footnote w:type="continuationSeparator" w:id="0">
    <w:p w:rsidR="00C34A1C" w:rsidRDefault="00C34A1C" w:rsidP="006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20"/>
  </w:num>
  <w:num w:numId="5">
    <w:abstractNumId w:val="23"/>
  </w:num>
  <w:num w:numId="6">
    <w:abstractNumId w:val="10"/>
  </w:num>
  <w:num w:numId="7">
    <w:abstractNumId w:val="17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6"/>
  </w:num>
  <w:num w:numId="13">
    <w:abstractNumId w:val="25"/>
  </w:num>
  <w:num w:numId="14">
    <w:abstractNumId w:val="22"/>
  </w:num>
  <w:num w:numId="15">
    <w:abstractNumId w:val="12"/>
  </w:num>
  <w:num w:numId="16">
    <w:abstractNumId w:val="9"/>
  </w:num>
  <w:num w:numId="17">
    <w:abstractNumId w:val="4"/>
  </w:num>
  <w:num w:numId="18">
    <w:abstractNumId w:val="27"/>
  </w:num>
  <w:num w:numId="19">
    <w:abstractNumId w:val="28"/>
  </w:num>
  <w:num w:numId="20">
    <w:abstractNumId w:val="5"/>
  </w:num>
  <w:num w:numId="21">
    <w:abstractNumId w:val="29"/>
  </w:num>
  <w:num w:numId="22">
    <w:abstractNumId w:val="1"/>
  </w:num>
  <w:num w:numId="23">
    <w:abstractNumId w:val="14"/>
  </w:num>
  <w:num w:numId="24">
    <w:abstractNumId w:val="24"/>
  </w:num>
  <w:num w:numId="25">
    <w:abstractNumId w:val="8"/>
  </w:num>
  <w:num w:numId="26">
    <w:abstractNumId w:val="18"/>
  </w:num>
  <w:num w:numId="27">
    <w:abstractNumId w:val="13"/>
  </w:num>
  <w:num w:numId="28">
    <w:abstractNumId w:val="19"/>
  </w:num>
  <w:num w:numId="29">
    <w:abstractNumId w:val="26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E73A6"/>
    <w:rsid w:val="0049058B"/>
    <w:rsid w:val="005262A7"/>
    <w:rsid w:val="00542CE4"/>
    <w:rsid w:val="006A1218"/>
    <w:rsid w:val="006E39EA"/>
    <w:rsid w:val="00743C9D"/>
    <w:rsid w:val="00832CC3"/>
    <w:rsid w:val="008C50EF"/>
    <w:rsid w:val="008D2077"/>
    <w:rsid w:val="008D6AC5"/>
    <w:rsid w:val="009A29CC"/>
    <w:rsid w:val="00A77C0B"/>
    <w:rsid w:val="00C30EDD"/>
    <w:rsid w:val="00C34A1C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2021-02-14T15:39:00Z</dcterms:modified>
</cp:coreProperties>
</file>