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스태그플레이션의 개념과 대책</w:t>
      </w:r>
      <w:r>
        <w:rPr/>
        <w:br/>
      </w:r>
      <w:r>
        <w:rPr/>
        <w:t>● 거시경제정책의 의의</w:t>
      </w:r>
      <w:r>
        <w:rPr/>
        <w:br/>
      </w:r>
      <w:r>
        <w:rPr/>
        <w:t>● 경제안정화 정책과 학파별 논쟁</w:t>
      </w:r>
    </w:p>
    <w:p>
      <w:pPr>
        <w:rPr>
          <w:b w:val="0"/>
        </w:rPr>
      </w:pPr>
      <w:r>
        <w:rPr/>
        <w:t>● 스태그플레이션의 개념을 명확히 설명할 수 있다.</w:t>
      </w:r>
      <w:r>
        <w:rPr/>
        <w:br/>
      </w:r>
      <w:r>
        <w:rPr/>
        <w:t>● 거시경제정책의 의미와 경제안정화 정책을 설명할 수 있다.</w:t>
      </w:r>
      <w:r>
        <w:rPr/>
        <w:br/>
      </w:r>
      <w:r>
        <w:rPr/>
        <w:t xml:space="preserve">● 경제안정화 정책에 대한 케인즈학파와 고전학파의 견해차이를 비교할 수 있다. </w:t>
      </w:r>
    </w:p>
    <w:p>
      <w:pPr>
        <w:rPr>
          <w:b w:val="0"/>
        </w:rPr>
      </w:pPr>
      <w:r>
        <w:rPr/>
        <w:t>1. 스태그플레이션의 개념과 대책</w:t>
      </w:r>
      <w:r>
        <w:rPr/>
        <w:br/>
      </w:r>
      <w:r>
        <w:rPr/>
        <w:t>● 스태그플레이션은 1970년대의 높은 실업률과 높은 인플레이션이 병존하는 것으로 경기가 하강국편에 있음에도 불구하고 물가와 임금이 계속해서 상승하는 현상임</w:t>
      </w:r>
      <w:r>
        <w:rPr/>
        <w:br/>
      </w:r>
      <w:r>
        <w:rPr/>
        <w:t>● 스태그플레이션의 발생원인으로는 석유 등 원자재 파동과 임금인상 등의 공급충격에 의해 발생된다는 논리와 지속적인 총수요관리정책에 따른 예상인플레이션의 상향 조정에 의해 발생될 수도 있음</w:t>
      </w:r>
      <w:r>
        <w:rPr/>
        <w:br/>
      </w:r>
      <w:r>
        <w:rPr/>
        <w:t>● 스태그플레이션을 해결하기 위한 핵심은 필립스곡선을 하방이동 시키는 것으로 소득정책과 인력정책의 사용을 통해 완화시킬 수 있음</w:t>
      </w:r>
    </w:p>
    <w:p>
      <w:pPr>
        <w:rPr>
          <w:b w:val="0"/>
        </w:rPr>
      </w:pPr>
      <w:r>
        <w:rPr/>
        <w:t>2. 거시경제정책의 의의</w:t>
      </w:r>
      <w:r>
        <w:rPr/>
        <w:br/>
      </w:r>
      <w:r>
        <w:rPr/>
        <w:t>● 거시정책 목표는 단기의 경제안정화 정책으로 총수요관리 정책 또는 경지조절정책이며 장기의 경제성장 및 경제발전정책임</w:t>
      </w:r>
      <w:r>
        <w:rPr/>
        <w:br/>
      </w:r>
      <w:r>
        <w:rPr/>
        <w:t>일반적으로 거시경제 이론에서 재정정책이란 재정적 안정화정책(단기), 금융정책이란 금융적 안정화 정책임</w:t>
      </w:r>
      <w:r>
        <w:rPr/>
        <w:br/>
      </w:r>
      <w:r>
        <w:rPr/>
        <w:t>● 거시경제 운용의 3대 목표는 물가안정, 완전고용, 경제성장으로 규정하며 안정화 정책은 재정정책과 금융정책의 운용방법을 의미함</w:t>
      </w:r>
      <w:r>
        <w:rPr/>
        <w:br/>
      </w:r>
      <w:r>
        <w:rPr/>
        <w:t>● 재정정책의 확대정책은 이자율 상승, 국민소득 증대이며 긴축정책의 목표는 이자율 하락, 국민소득 감소가 목표이며, 금융정책의 확대정책은 이자율 하락, 국민소득 증대이며 긴축정책의 목표는 이자율 상승으로 인한 국민소득 감소가 목표임</w:t>
      </w:r>
      <w:r>
        <w:rPr/>
        <w:br/>
      </w:r>
      <w:r>
        <w:rPr/>
        <w:t>● 고전학파에는 경제안정화정책으로 일괄된 준칙을 중시여기며 재정은 균형재정을 강조함에 반해 케인즈 학파는 재정정책의 효과를 강조함</w:t>
      </w:r>
    </w:p>
    <w:p>
      <w:pPr>
        <w:rPr>
          <w:b w:val="0"/>
        </w:rPr>
      </w:pPr>
      <w:r>
        <w:rPr/>
        <w:t>다음의 표는 A국의 명목GDP와 GDP디플레이터를 나타낸 것이다. 실질GDP가 가장 큰 연도와 가장 작은 연도가 옳게 짝지어진 것은?</w:t>
      </w:r>
    </w:p>
    <w:tbl>
      <w:tblPr>
        <w:tblW w:w="3270" w:type="dxa"/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09"/>
        <w:gridCol w:w="1170"/>
        <w:gridCol w:w="1275"/>
      </w:tblGrid>
      <w:tr>
        <w:trPr>
          <w:trHeight w:val="465" w:hRule="atLeast"/>
        </w:trPr>
        <w:tc>
          <w:tcPr>
            <w:tcW w:w="810" w:type="dxa"/>
          </w:tcPr>
          <w:p>
            <w:pPr>
              <w:rPr/>
            </w:pPr>
          </w:p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연도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명목</w:t>
            </w:r>
            <w:r>
              <w:rPr>
                <w:rFonts w:ascii="나눔고딕" w:eastAsia="나눔고딕" w:hAnsi="나눔고딕" w:cs="나눔고딕"/>
                <w:sz w:val="18"/>
              </w:rPr>
              <w:t>GDP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  <w:r>
              <w:rPr>
                <w:rFonts w:ascii="나눔고딕" w:eastAsia="나눔고딕" w:hAnsi="나눔고딕" w:cs="나눔고딕"/>
                <w:sz w:val="18"/>
              </w:rPr>
              <w:t>(</w:t>
            </w:r>
            <w:r>
              <w:rPr>
                <w:rFonts w:ascii="나눔고딕" w:eastAsia="나눔고딕" w:hAnsi="나눔고딕" w:cs="나눔고딕"/>
                <w:sz w:val="18"/>
              </w:rPr>
              <w:t>단위</w:t>
            </w:r>
            <w:r>
              <w:rPr>
                <w:rFonts w:ascii="나눔고딕" w:eastAsia="나눔고딕" w:hAnsi="나눔고딕" w:cs="나눔고딕"/>
                <w:sz w:val="18"/>
              </w:rPr>
              <w:t>:</w:t>
            </w:r>
            <w:r>
              <w:rPr>
                <w:rFonts w:ascii="나눔고딕" w:eastAsia="나눔고딕" w:hAnsi="나눔고딕" w:cs="나눔고딕"/>
                <w:sz w:val="18"/>
              </w:rPr>
              <w:t>억원</w:t>
            </w:r>
            <w:r>
              <w:rPr>
                <w:rFonts w:ascii="나눔고딕" w:eastAsia="나눔고딕" w:hAnsi="나눔고딕" w:cs="나눔고딕"/>
                <w:sz w:val="18"/>
              </w:rPr>
              <w:t>)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GDP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  <w:r>
              <w:rPr>
                <w:rFonts w:ascii="나눔고딕" w:eastAsia="나눔고딕" w:hAnsi="나눔고딕" w:cs="나눔고딕"/>
                <w:sz w:val="18"/>
              </w:rPr>
              <w:t>디플레이터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  <w:tr>
        <w:trPr>
          <w:trHeight w:val="330" w:hRule="atLeast"/>
        </w:trPr>
        <w:tc>
          <w:tcPr>
            <w:tcW w:w="81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2010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5,000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100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  <w:tr>
        <w:trPr>
          <w:trHeight w:val="330" w:hRule="atLeast"/>
        </w:trPr>
        <w:tc>
          <w:tcPr>
            <w:tcW w:w="81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2011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5,200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105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  <w:tr>
        <w:trPr>
          <w:trHeight w:val="330" w:hRule="atLeast"/>
        </w:trPr>
        <w:tc>
          <w:tcPr>
            <w:tcW w:w="81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2012</w:t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5,600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110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</w:tbl>
    <w:p>
      <w:pPr>
        <w:rPr/>
      </w:pPr>
      <w:r>
        <w:rPr>
          <w:lang w:eastAsia="ko-KR"/>
          <w:color w:val="FF0000"/>
          <w:rtl w:val="off"/>
        </w:rPr>
        <w:t>1. 2012/2011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2. 2012/2010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2011/2010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2010/2011</w:t>
      </w:r>
      <w:r>
        <w:rPr>
          <w:lang w:eastAsia="ko-KR"/>
          <w:rFonts w:hint="eastAsia"/>
          <w:rtl w:val="off"/>
        </w:rPr>
        <w:br/>
      </w:r>
      <w:r>
        <w:rPr/>
        <w:t>2010년의 실질GDP=5,000: 5,000/100, 2011년의 실질GDP=4,952: 5,200/105, 2012년의 실질GDP=5,091: 5,600/110</w:t>
      </w:r>
    </w:p>
    <w:p>
      <w:pPr>
        <w:rPr>
          <w:b w:val="0"/>
          <w:i w:val="0"/>
        </w:rPr>
      </w:pPr>
      <w:r>
        <w:rPr/>
        <w:t>필립스곡선은 명목임금상승률과 실업률 간에 존재하는 역의 상관관계를 나타낸다.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필립스곡선은 명목임금상승률과 실업률 간에 존재하는 역의 상관관계를 나타낸다.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국제경제 이론</w:t>
      </w:r>
      <w:r>
        <w:rPr/>
        <w:br/>
      </w:r>
      <w:r>
        <w:rPr/>
        <w:t>● 외환론과 국제수지</w:t>
      </w:r>
      <w:r>
        <w:rPr/>
        <w:br/>
      </w:r>
      <w:r>
        <w:rPr/>
        <w:t>● 경제성장이론의 기초개념</w:t>
      </w:r>
      <w:r>
        <w:rPr/>
        <w:br/>
      </w:r>
      <w:r>
        <w:rPr/>
        <w:t>● 대표적인 경제성장 모형</w:t>
      </w:r>
    </w:p>
    <w:p>
      <w:pPr>
        <w:rPr>
          <w:b w:val="0"/>
        </w:rPr>
      </w:pPr>
      <w:r>
        <w:rPr/>
        <w:t>● 국내경제와 국제경제의 차이점을 비교할 수 있다.</w:t>
      </w:r>
      <w:r>
        <w:rPr/>
        <w:br/>
      </w:r>
      <w:r>
        <w:rPr/>
        <w:t>● 국제수지의 개념과 운영정책을 설명할 수 있다.</w:t>
      </w:r>
      <w:r>
        <w:rPr/>
        <w:br/>
      </w:r>
      <w:r>
        <w:rPr/>
        <w:t>● 경제성장이론의 기초개념을 설명할 수 있다.</w:t>
      </w:r>
      <w:r>
        <w:rPr/>
        <w:br/>
      </w:r>
      <w:r>
        <w:rPr/>
        <w:t>● 대표적인 경제성장 모형을 구분할 수 있다.</w:t>
      </w:r>
    </w:p>
    <w:p>
      <w:pPr>
        <w:rPr>
          <w:b w:val="0"/>
        </w:rPr>
      </w:pPr>
      <w:r>
        <w:rPr/>
        <w:t xml:space="preserve">1. 국제경제 이론 </w:t>
      </w:r>
      <w:r>
        <w:rPr/>
        <w:br/>
      </w:r>
      <w:r>
        <w:rPr/>
        <w:t>● 국제경제가 국내경제와 다른 원인은 생산요소 이동의 제약, 국가에 의한 의식적 조정, 상이한 통화단위의 사용되기 떄문임</w:t>
      </w:r>
      <w:r>
        <w:rPr/>
        <w:br/>
      </w:r>
      <w:r>
        <w:rPr/>
        <w:t>● 외환이란 외국의 화폐임과 동시에 외환에는 외국의 화폐는 물론이고, 외화를 청구할 수 있는 외화표시어음, 전신환, 우편환 등 외화표시 지불지시서, 외화예금통장 등이 모두 포함되며 환율이란 한 나라의 화폐와 외국화폐와의 교환비율을 의미하는데 이것은 외국화폐 한단위를 구입하는데 소요되는 자국의 화폐량을 의미함</w:t>
      </w:r>
      <w:r>
        <w:rPr/>
        <w:br/>
      </w:r>
      <w:r>
        <w:rPr/>
        <w:t>● 환율이 상승하면 수출이 촉진되며 반대로 환율이 하락하면 수입이 촉진되어 결과적으로 국제수지가 악하되는 현상을 발생시킴</w:t>
      </w:r>
      <w:r>
        <w:rPr/>
        <w:br/>
      </w:r>
      <w:r>
        <w:rPr/>
        <w:t>● 일정기간 동안 한 국민경제가 국제거래로 인하여 발생한 외국에 대한 화폐지불과 외국으로 부터 화폐수지를 대조시킨 것을 국제수지(Balance of international payments)라고 하며 국제수지를 구성하는 여러 가지 경제적 거래를 체계적으로 분류하여 하나의 표로 작성한 것을 국제수지표라고 함</w:t>
      </w:r>
      <w:r>
        <w:rPr/>
        <w:br/>
      </w:r>
      <w:r>
        <w:rPr/>
        <w:t>● 국제수지 안정화 정책으로는 경장수지정책과 국내정책, 외환대책 등으로 상황에 따라 적절하게 운영할 수 있음</w:t>
      </w:r>
    </w:p>
    <w:p>
      <w:pPr>
        <w:rPr>
          <w:b w:val="0"/>
        </w:rPr>
      </w:pPr>
      <w:r>
        <w:rPr/>
        <w:t>2. 외환론과 국제수지</w:t>
      </w:r>
      <w:r>
        <w:rPr/>
        <w:br/>
      </w:r>
      <w:r>
        <w:rPr/>
        <w:t>● 경제성장이란 생산능력의 향상에 의해서 실질국민소득이 장기적으로 증대해 나가는 현상임</w:t>
      </w:r>
      <w:r>
        <w:rPr/>
        <w:br/>
      </w:r>
      <w:r>
        <w:rPr/>
        <w:t>● 생산능력은 노동, 토지(자원), 자본 등의 생산요소 투입증가와 기술진보에 의해서 향상되며, 경제성장의 크기를 측정하는 기준은 국민소득의 증가율에 있음</w:t>
      </w:r>
      <w:r>
        <w:rPr/>
        <w:br/>
      </w:r>
      <w:r>
        <w:rPr/>
        <w:t>● 해로드의 모형에서는 국민경제에서 투자율과 저축률과의 동태적 균형관계를 기준으로 케인즈의 국민소득 결정이론을 장기화 하여 자본주의 경제의 성장과정이 불안정하다는 것을 밝힌 이론임</w:t>
      </w:r>
      <w:r>
        <w:rPr/>
        <w:br/>
      </w:r>
      <w:r>
        <w:rPr/>
        <w:t>● 해로드 이론에서는 자본계수의 일정과 저축률 불변이라는 가정 하에 균형성장의 불안정성을 분석하였음</w:t>
      </w:r>
      <w:r>
        <w:rPr/>
        <w:br/>
      </w:r>
      <w:r>
        <w:rPr/>
        <w:t>● 기술진보 하의 솔로우 모형은 시간이 흐름에 따라 생산능력을 확장시키는 외생적 기술진보를 고려함</w:t>
      </w:r>
      <w:r>
        <w:rPr/>
        <w:br/>
      </w:r>
      <w:r>
        <w:rPr/>
        <w:t xml:space="preserve">● 경제의 성장은 인구증가, 자본축적 및 기술진보의 3가지 요인에 의존하는데 솔로우는 경제 성장률의 80%이상이 기술진보에 의존하고 있으며 나머지 20%가 자본, 노동의 비율의 증가에 의존함을 밝혀냄 </w:t>
      </w:r>
    </w:p>
    <w:p>
      <w:pPr>
        <w:rPr/>
      </w:pPr>
      <w:r>
        <w:rPr/>
        <w:t>다음 중 환율상승 요인이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1. 국내물가상승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2. 자본유출증가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color w:val="FF0000"/>
          <w:rtl w:val="off"/>
        </w:rPr>
        <w:t>3. 해외경기호황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4. 국내이자율의 하락</w:t>
      </w:r>
    </w:p>
    <w:p>
      <w:pPr>
        <w:rPr/>
      </w:pPr>
      <w:r>
        <w:rPr/>
        <w:t>환율이 상승하려면 외환에 대한 수요가 늘거나 공급이 감소해야 한다. ① 국내물가 상승 → 순수출 감소 → 경상수지 악화 → 환율 상승 ② 자본유출 증가 → 자본수지 악화 → 환율 상승 ③ 해외경기 호황 → 수출증가 → 경상수지 개선 → 환율 하락 ④ 국내이자율 하락 → 자본순유출 증가 → 자본수지 악화 → 환율 상승</w:t>
      </w:r>
    </w:p>
    <w:p>
      <w:pPr>
        <w:rPr>
          <w:lang w:eastAsia="ko-KR"/>
          <w:rFonts w:hint="eastAsia"/>
          <w:rtl w:val="off"/>
        </w:rPr>
      </w:pPr>
      <w:r>
        <w:rPr/>
        <w:t>환율이 평가절하(또는 환율상승: depreciation or devaluation)되면 수출은 감소할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</w:rPr>
      </w:pPr>
      <w:r>
        <w:rPr>
          <w:b w:val="0"/>
        </w:rPr>
        <w:t>수입감소, 수출증가, 물가상승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804000000000000"/>
    <w:notTrueType w:val="false"/>
    <w:sig w:usb0="7FFFFFFF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2021-09-25T11:48:02Z</dcterms:modified>
  <cp:version>1100.0100.01</cp:version>
</cp:coreProperties>
</file>