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4"/>
          <w:szCs w:val="44"/>
        </w:rPr>
        <w:t xml:space="preserve">ISA 활용 미국 ETF 포트폴리오 전략</w:t>
      </w:r>
    </w:p>
    <w:p>
      <w:pPr>
        <w:spacing w:after="720"/>
        <w:jc w:val="center"/>
      </w:pPr>
      <w:r>
        <w:rPr>
          <w:rFonts w:ascii="맑은 고딕" w:cs="맑은 고딕" w:eastAsia="맑은 고딕" w:hAnsi="맑은 고딕"/>
          <w:color w:val="2E5496"/>
          <w:sz w:val="32"/>
          <w:szCs w:val="32"/>
        </w:rPr>
        <w:t xml:space="preserve">의사결정 과정 정리 및 실행 계획</w:t>
      </w:r>
    </w:p>
    <w:p>
      <w:pPr>
        <w:spacing w:after="120" w:before="240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작성일: 2026년 5월 12일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버전: 1.0 (백테스트 전 의사결정 확정 단계)</w:t>
      </w:r>
    </w:p>
    <w:p>
      <w:pPr>
        <w:spacing w:after="240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22"/>
          <w:szCs w:val="22"/>
        </w:rPr>
        <w:t xml:space="preserve">검토: 백테스트 실행 전 의사결정 근거 점검용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1. 핵심 요약 (Executive Summary)</w:t>
      </w:r>
    </w:p>
    <w:p>
      <w:pPr>
        <w:spacing w:after="100" w:before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문서는 사용자가 보유한 약 2,816만원 규모 미국 ETF 포트폴리오를 ISA 절세 인프라와 일반계좌 동일가중·팩터 베팅으로 이원화 운용하기 위한 의사결정 과정을 정리한 문서이다. 백테스트 수행 전 의사결정 근거를 점검하고, 사후 검증의 출발점으로 활용한다.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6"/>
          <w:sz w:val="26"/>
          <w:szCs w:val="26"/>
        </w:rPr>
        <w:t xml:space="preserve">1.1 최종 결정 사항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항목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결정 내용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전략 방향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VOO 매도 → ISA로 자금 이전 + 신규 적립금 일반계좌 직접매수 분산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ISA 운용 (2,000만원)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TIGER 미국S&amp;P500 50% + TIGER 미국나스닥100 25% + TIGER 미국배당다우존스 25%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적립 운용 (월 적립)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RSP 40% + QUAL 35% + VEA 25% (일반계좌, 미국 직접매수)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일반계좌 기존 포지션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SCHD, GLD, VIG 유지 (매도 비용 거의 0)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매도/이전 비용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약 3.2만원 (VOO+AGG+SGOV 손익통산 활용)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기대 연 절세 한도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약 450만원 (ISA 200만 + 일반계좌 양도세 공제 250만)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6"/>
          <w:sz w:val="26"/>
          <w:szCs w:val="26"/>
        </w:rPr>
        <w:t xml:space="preserve">1.2 결정의 본질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절세와 분산의 동시 달성: </w:t>
      </w:r>
      <w:r>
        <w:rPr>
          <w:rFonts w:ascii="맑은 고딕" w:cs="맑은 고딕" w:eastAsia="맑은 고딕" w:hAnsi="맑은 고딕"/>
          <w:sz w:val="22"/>
          <w:szCs w:val="22"/>
        </w:rPr>
        <w:t xml:space="preserve">ISA 비과세 한도와 일반계좌 양도세 공제 한도를 이중 활용하여, 연 약 450만원의 절세 효과를 확보하면서 동시에 동일가중·팩터·국제 분산 등 미국 시총가중 일변도를 보완하는 분산 구조 구축.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미국 시장에 한정: </w:t>
      </w:r>
      <w:r>
        <w:rPr>
          <w:rFonts w:ascii="맑은 고딕" w:cs="맑은 고딕" w:eastAsia="맑은 고딕" w:hAnsi="맑은 고딕"/>
          <w:sz w:val="22"/>
          <w:szCs w:val="22"/>
        </w:rPr>
        <w:t xml:space="preserve">한국 시장은 삼성전자·SK하이닉스 두 종목이 시총 47%를 차지해 시총가중과 동일가중의 차이가 단년도 20%p 이상 발생할 수 있어 비교 자체가 의미 없다고 판단. 미국 시장 한정 전략으로 단순화.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동일가중 직접 운용 배제: </w:t>
      </w:r>
      <w:r>
        <w:rPr>
          <w:rFonts w:ascii="맑은 고딕" w:cs="맑은 고딕" w:eastAsia="맑은 고딕" w:hAnsi="맑은 고딕"/>
          <w:sz w:val="22"/>
          <w:szCs w:val="22"/>
        </w:rPr>
        <w:t xml:space="preserve">500종목 동일가중 직접 운용은 RSP 대비 비용·시간 모두 열위. RSP가 거의 유일한 실용적 선택.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2. 의사결정 과정 (시간순)</w:t>
      </w:r>
    </w:p>
    <w:p>
      <w:pPr>
        <w:spacing w:after="100" w:before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전략은 단순한 결론이 아니라 다음 8단계의 논의를 거쳐 도출되었다. 각 단계의 핵심 질문과 결정 내용을 정리한다.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6"/>
          <w:sz w:val="26"/>
          <w:szCs w:val="26"/>
        </w:rPr>
        <w:t xml:space="preserve">2.1 1단계: 액티브 ETF와 동일가중 개념 분리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출발점: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사용자가 "액티브 ETF = 상위 10개 동일금액 투자"로 오해.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결정: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액티브 ETF는 운용역 재량 운용 방식이며, 동일가중은 포트폴리오 비중 결정 방식. 두 개념은 별개. 사용자 의도는 동일가중 전략으로 확정.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6"/>
          <w:sz w:val="26"/>
          <w:szCs w:val="26"/>
        </w:rPr>
        <w:t xml:space="preserve">2.2 2단계: 동일가중 전략의 본질 검증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핵심 메커니즘: </w:t>
      </w:r>
      <w:r>
        <w:rPr>
          <w:rFonts w:ascii="맑은 고딕" w:cs="맑은 고딕" w:eastAsia="맑은 고딕" w:hAnsi="맑은 고딕"/>
          <w:sz w:val="22"/>
          <w:szCs w:val="22"/>
        </w:rPr>
        <w:t xml:space="preserve">각 종목 1/N 비중 배분 후 분기 리밸런싱. "오른 종목 매도, 내린 종목 매수"의 평균회귀 효과 강제.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장기 성과: </w:t>
      </w:r>
      <w:r>
        <w:rPr>
          <w:rFonts w:ascii="맑은 고딕" w:cs="맑은 고딕" w:eastAsia="맑은 고딕" w:hAnsi="맑은 고딕"/>
          <w:sz w:val="22"/>
          <w:szCs w:val="22"/>
        </w:rPr>
        <w:t xml:space="preserve">S&amp;P 500 EW가 시총가중 대비 1990~현재 연 +0.63%p, 2003~2022 연 +1.5%p 초과수익.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최근 성과: </w:t>
      </w:r>
      <w:r>
        <w:rPr>
          <w:rFonts w:ascii="맑은 고딕" w:cs="맑은 고딕" w:eastAsia="맑은 고딕" w:hAnsi="맑은 고딕"/>
          <w:sz w:val="22"/>
          <w:szCs w:val="22"/>
        </w:rPr>
        <w:t xml:space="preserve">2023~2024 Mag7 쏠림으로 동일가중 -13.1%p 열위. 단기 underperform 위험 존재.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결정: </w:t>
      </w:r>
      <w:r>
        <w:rPr>
          <w:rFonts w:ascii="맑은 고딕" w:cs="맑은 고딕" w:eastAsia="맑은 고딕" w:hAnsi="맑은 고딕"/>
          <w:sz w:val="22"/>
          <w:szCs w:val="22"/>
        </w:rPr>
        <w:t xml:space="preserve">동일가중은 시점에 따라 큰 변동성을 보이는 "사이즈 팩터의 변형". 단기 underperform 인내 필요.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6"/>
          <w:sz w:val="26"/>
          <w:szCs w:val="26"/>
        </w:rPr>
        <w:t xml:space="preserve">2.3 3단계: 한국 시장 적용 검토 후 배제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배제 근거 1: </w:t>
      </w:r>
      <w:r>
        <w:rPr>
          <w:rFonts w:ascii="맑은 고딕" w:cs="맑은 고딕" w:eastAsia="맑은 고딕" w:hAnsi="맑은 고딕"/>
          <w:sz w:val="22"/>
          <w:szCs w:val="22"/>
        </w:rPr>
        <w:t xml:space="preserve">한국 시장은 삼성전자(22.19%) + SK하이닉스(24.7%) 등 상위 2종목이 시총 47%를 차지. 동일가중 시 1+1=2%로 희석되어 시장 베타를 못 따라감.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배제 근거 2: </w:t>
      </w:r>
      <w:r>
        <w:rPr>
          <w:rFonts w:ascii="맑은 고딕" w:cs="맑은 고딕" w:eastAsia="맑은 고딕" w:hAnsi="맑은 고딕"/>
          <w:sz w:val="22"/>
          <w:szCs w:val="22"/>
        </w:rPr>
        <w:t xml:space="preserve">2025년 코스피 +59% 상승은 두 종목 폭등에 따른 시총가중 효과. 동일가중 추정 수익률은 +25~30%로 24%p 이상 격차.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배제 근거 3: </w:t>
      </w:r>
      <w:r>
        <w:rPr>
          <w:rFonts w:ascii="맑은 고딕" w:cs="맑은 고딕" w:eastAsia="맑은 고딕" w:hAnsi="맑은 고딕"/>
          <w:sz w:val="22"/>
          <w:szCs w:val="22"/>
        </w:rPr>
        <w:t xml:space="preserve">한국 상장 KOSPI 동일가중 ETF는 사실상 존재하지 않음. 직접 운용 비현실적.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결정: </w:t>
      </w:r>
      <w:r>
        <w:rPr>
          <w:rFonts w:ascii="맑은 고딕" w:cs="맑은 고딕" w:eastAsia="맑은 고딕" w:hAnsi="맑은 고딕"/>
          <w:sz w:val="22"/>
          <w:szCs w:val="22"/>
        </w:rPr>
        <w:t xml:space="preserve">미국 시장 한정 전략으로 단순화.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6"/>
          <w:sz w:val="26"/>
          <w:szCs w:val="26"/>
        </w:rPr>
        <w:t xml:space="preserve">2.4 4단계: 진입 타이밍 검토 (B 분석)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매력 요인 (찬성): </w:t>
      </w:r>
      <w:r>
        <w:rPr>
          <w:rFonts w:ascii="맑은 고딕" w:cs="맑은 고딕" w:eastAsia="맑은 고딕" w:hAnsi="맑은 고딕"/>
          <w:sz w:val="22"/>
          <w:szCs w:val="22"/>
        </w:rPr>
        <w:t xml:space="preserve">S&amp;P 500 Top 10 비중 사상 최고 35.6~40%, Mag7 비중 30~33%, Shiller CAPE 40.1 (역대 2위), 동일가중 디스카운트 누적.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반대 요인: </w:t>
      </w:r>
      <w:r>
        <w:rPr>
          <w:rFonts w:ascii="맑은 고딕" w:cs="맑은 고딕" w:eastAsia="맑은 고딕" w:hAnsi="맑은 고딕"/>
          <w:sz w:val="22"/>
          <w:szCs w:val="22"/>
        </w:rPr>
        <w:t xml:space="preserve">Mag7이 S&amp;P 500 경제적 이익 70% 창출 (펀더멘털 정당화), Top 10 ROIC 73%, AI 슈퍼사이클 진행 중.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결정: </w:t>
      </w:r>
      <w:r>
        <w:rPr>
          <w:rFonts w:ascii="맑은 고딕" w:cs="맑은 고딕" w:eastAsia="맑은 고딕" w:hAnsi="맑은 고딕"/>
          <w:sz w:val="22"/>
          <w:szCs w:val="22"/>
        </w:rPr>
        <w:t xml:space="preserve">평균회귀 매력은 이론적으로 사상 최고이나, 진입 후 2~3년 추가 underperform 가능. 단기 베팅 부적합, 장기 분산 도구로만 활용.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6"/>
          <w:sz w:val="26"/>
          <w:szCs w:val="26"/>
        </w:rPr>
        <w:t xml:space="preserve">2.5 5단계: 팩터별 대안 비교 (D 분석)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500"/>
        <w:gridCol w:w="45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팩터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ETF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보수율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현재 환경 적합성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동일가중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RSP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0.20%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평균회귀 베팅. 2~3년 인내 필요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퀄리티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QUAL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0.15%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고평가 시기 펀더멘털 좋은 회사 → 충격 흡수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로우볼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USMV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0.15%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CAPE 40 + 불확실성 → 변동성 관리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밸류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VLUE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0.15%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동일가중과 같은 베팅, 더 적극적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모멘텀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MTUM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0.15%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강세장 지속 베팅 (AI 사이클 신뢰자)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결정: </w:t>
      </w:r>
      <w:r>
        <w:rPr>
          <w:rFonts w:ascii="맑은 고딕" w:cs="맑은 고딕" w:eastAsia="맑은 고딕" w:hAnsi="맑은 고딕"/>
          <w:sz w:val="22"/>
          <w:szCs w:val="22"/>
        </w:rPr>
        <w:t xml:space="preserve">단일 팩터 베팅보다 멀티팩터 분산이 통계적으로 더 안정적. 동일가중 + 퀄리티 + 국제 분산 조합 채택.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6"/>
          <w:sz w:val="26"/>
          <w:szCs w:val="26"/>
        </w:rPr>
        <w:t xml:space="preserve">2.6 6단계: 한국인 투자자 세금 구조 검토 (E 분석)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3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구분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미국 직접 매수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한국 상장 해외 ETF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매매차익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양도세 22% (250만원 공제)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배당소득세 15.4%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분배금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미국 15% 원천징수만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15.4% 원천징수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금융소득 종합과세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분리과세 (대상 아님)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대상 (2,000만 초과 시)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손익통산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해외주식 간 가능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불가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ISA 가능 여부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불가능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가능 (절세 효과 큼)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결정: </w:t>
      </w:r>
      <w:r>
        <w:rPr>
          <w:rFonts w:ascii="맑은 고딕" w:cs="맑은 고딕" w:eastAsia="맑은 고딕" w:hAnsi="맑은 고딕"/>
          <w:sz w:val="22"/>
          <w:szCs w:val="22"/>
        </w:rPr>
        <w:t xml:space="preserve">ISA 활용 = 절세 효과 크지만 동일가중 등 팩터 ETF 매수 불가. 일반계좌 직접매수 = 동일가중 가능하지만 ISA 절세 효과 없음. 두 계좌 병행 운용이 양쪽 장점 동시 활용.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6"/>
          <w:sz w:val="26"/>
          <w:szCs w:val="26"/>
        </w:rPr>
        <w:t xml:space="preserve">2.7 7단계: 사용자 원안 평가 및 확정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사용자 원안: </w:t>
      </w:r>
      <w:r>
        <w:rPr>
          <w:rFonts w:ascii="맑은 고딕" w:cs="맑은 고딕" w:eastAsia="맑은 고딕" w:hAnsi="맑은 고딕"/>
          <w:sz w:val="22"/>
          <w:szCs w:val="22"/>
        </w:rPr>
        <w:t xml:space="preserve">VOO를 ISA로 이전 (시장 충격 1회 감수) + 추가 투자금은 일반계좌 직접 매수로 절세·직접매수 이익 병행.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검증 결과: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원화 기준 VOO 차익 266만원에서 AGG·SGOV 손실 통산 시 양도세 약 3만원으로 거의 무비용 매도 가능. 손익통산 활용 시 원안의 핵심 가정 ("공제 한도 이내") 성립.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결정: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사용자 원안 채택. 세부 운용 방식만 보완 (분할 매수, ISA 3종 분산, 적립 팩터 분산).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6"/>
          <w:sz w:val="26"/>
          <w:szCs w:val="26"/>
        </w:rPr>
        <w:t xml:space="preserve">2.8 8단계: 실존 ETF 검증 및 최종 확정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800"/>
        <w:gridCol w:w="1500"/>
        <w:gridCol w:w="20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ETF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코드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AUM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보수율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특이사항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TIGER 미국S&amp;P500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360750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14조 1,473억원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0.0868%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환노출, 분기배당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TIGER 미국나스닥100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133690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7조 7,204억원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0.1268%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환노출, 분기배당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TIGER 미국배당다우존스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458730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2조 4,811억원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약 0.06%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환노출, 월배당, SCHD 복제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검증 결과: </w:t>
      </w:r>
      <w:r>
        <w:rPr>
          <w:rFonts w:ascii="맑은 고딕" w:cs="맑은 고딕" w:eastAsia="맑은 고딕" w:hAnsi="맑은 고딕"/>
          <w:sz w:val="22"/>
          <w:szCs w:val="22"/>
        </w:rPr>
        <w:t xml:space="preserve">ISA용 3종 모두 충분한 유동성 (AUM 합계 24조원+) 보유. 실존 확인 완료.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최종 확정: </w:t>
      </w:r>
      <w:r>
        <w:rPr>
          <w:rFonts w:ascii="맑은 고딕" w:cs="맑은 고딕" w:eastAsia="맑은 고딕" w:hAnsi="맑은 고딕"/>
          <w:sz w:val="22"/>
          <w:szCs w:val="22"/>
        </w:rPr>
        <w:t xml:space="preserve">ISA 조합 5 (시총가중 50 + 나스닥 25 + 배당 25), 적립 조합 X (RSP 40 + QUAL 35 + VEA 25).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3. 현재 포트폴리오 분석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6"/>
          <w:sz w:val="26"/>
          <w:szCs w:val="26"/>
        </w:rPr>
        <w:t xml:space="preserve">3.1 보유 자산 현황 (2026년 5월 기준)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500"/>
        <w:gridCol w:w="1800"/>
        <w:gridCol w:w="21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종목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평가금액 (원)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비중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손익률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역할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VOO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20,368,231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72.3%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21"/>
                <w:szCs w:val="21"/>
              </w:rPr>
              <w:t xml:space="preserve">+15.0%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미국 시총가중 (S&amp;P 500)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SCHD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2,810,016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10.0%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+0.01%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배당성장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GLD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2,542,003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9.0%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21"/>
                <w:szCs w:val="21"/>
              </w:rPr>
              <w:t xml:space="preserve">+2.1%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금 (인플레이션 헤지)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SGOV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1,470,097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5.2%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70C0"/>
                <w:sz w:val="21"/>
                <w:szCs w:val="21"/>
              </w:rPr>
              <w:t xml:space="preserve">-0.2%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단기 국채 (현금성)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VIG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541,857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1.9%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+0.5%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배당성장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AGG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434,633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1.5%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70C0"/>
                <w:sz w:val="21"/>
                <w:szCs w:val="21"/>
              </w:rPr>
              <w:t xml:space="preserve">-2.8%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총채권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합계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28,166,839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100%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1"/>
                <w:szCs w:val="21"/>
              </w:rPr>
              <w:t xml:space="preserve">+10.6%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6"/>
          <w:sz w:val="26"/>
          <w:szCs w:val="26"/>
        </w:rPr>
        <w:t xml:space="preserve">3.2 진단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강점: </w:t>
      </w:r>
      <w:r>
        <w:rPr>
          <w:rFonts w:ascii="맑은 고딕" w:cs="맑은 고딕" w:eastAsia="맑은 고딕" w:hAnsi="맑은 고딕"/>
          <w:sz w:val="22"/>
          <w:szCs w:val="22"/>
        </w:rPr>
        <w:t xml:space="preserve">균형 잡힌 자산배분 (주식 + 배당 + 금 + 채권). 보수적 안정형 구조.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약점 1 - 미국 시총가중 과다 집중: </w:t>
      </w:r>
      <w:r>
        <w:rPr>
          <w:rFonts w:ascii="맑은 고딕" w:cs="맑은 고딕" w:eastAsia="맑은 고딕" w:hAnsi="맑은 고딕"/>
          <w:sz w:val="22"/>
          <w:szCs w:val="22"/>
        </w:rPr>
        <w:t xml:space="preserve">VOO 72% + SCHD 10% + VIG 1.9% = 미국 대형주 84% 비중. 메가캡 쏠림 직격 노출.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약점 2 - 동일가중·팩터 베팅 부재: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스마트베타 영역 0%. 시총가중 일변도.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약점 3 - 국제 분산 부재: </w:t>
      </w:r>
      <w:r>
        <w:rPr>
          <w:rFonts w:ascii="맑은 고딕" w:cs="맑은 고딕" w:eastAsia="맑은 고딕" w:hAnsi="맑은 고딕"/>
          <w:sz w:val="22"/>
          <w:szCs w:val="22"/>
        </w:rPr>
        <w:t xml:space="preserve">VEA, VWO 등 미국 외 노출 0%. 환율·미국 시장 의존도 절대적.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약점 4 - 절세 인프라 미활용: </w:t>
      </w:r>
      <w:r>
        <w:rPr>
          <w:rFonts w:ascii="맑은 고딕" w:cs="맑은 고딕" w:eastAsia="맑은 고딕" w:hAnsi="맑은 고딕"/>
          <w:sz w:val="22"/>
          <w:szCs w:val="22"/>
        </w:rPr>
        <w:t xml:space="preserve">ISA 계좌 미보유. 매년 250만원 양도세 공제만 사용 가능.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6"/>
          <w:sz w:val="26"/>
          <w:szCs w:val="26"/>
        </w:rPr>
        <w:t xml:space="preserve">3.3 매도 시 세금 계산 (손익통산 활용)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400"/>
        <w:gridCol w:w="3000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구분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금액 (원)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비고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VOO 평가차익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+2,659,910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매도 대상 핵심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AGG 평가손실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-12,855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손익통산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SGOV 평가손실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-3,041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손익통산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순 양도차익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+2,644,014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공제 전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기본 공제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-2,500,000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연간 한도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과세 대상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144,014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1"/>
                <w:szCs w:val="21"/>
              </w:rPr>
              <w:t xml:space="preserve">양도세 (22%)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1"/>
                <w:szCs w:val="21"/>
              </w:rPr>
              <w:t xml:space="preserve">약 31,683원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사실상 무비용 매도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4. 최종 전략 구조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6"/>
          <w:sz w:val="26"/>
          <w:szCs w:val="26"/>
        </w:rPr>
        <w:t xml:space="preserve">4.1 자금 흐름 구조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40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단계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자금 / 자산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처리 방법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1단계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VOO + AGG + SGOV 매도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약 22,272천원 (시장 매도, 손익통산)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2단계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원화 환전 후 ISA 이체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한도 2,000만원 활용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3단계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ISA에서 3종 분할 매수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3~4주 분할 (DCA)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4단계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잔여 자금 (약 200만원)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일반계좌에서 RSP/QUAL/VEA 매수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5단계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SCHD, GLD, VIG 유지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매도 비용 거의 0이라 굳이 손댈 필요 없음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6단계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매월 적립금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일반계좌에서 RSP 40 + QUAL 35 + VEA 25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6"/>
          <w:sz w:val="26"/>
          <w:szCs w:val="26"/>
        </w:rPr>
        <w:t xml:space="preserve">4.2 ISA 포트폴리오 상세 (조합 5)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2000"/>
        <w:gridCol w:w="310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ETF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비중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금액 (만원)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역할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TIGER 미국S&amp;P500 (360750)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50%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1,000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시장 핵심 (시총가중)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TIGER 미국나스닥100 (133690)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25%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500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성장·기술주 베팅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TIGER 미국배당다우존스 (458730)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25%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500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배당 안정성 (SCHD 한국형, 월배당)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합계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100%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2,000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가중평균 보수 약 0.09%/년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6"/>
          <w:sz w:val="26"/>
          <w:szCs w:val="26"/>
        </w:rPr>
        <w:t xml:space="preserve">4.3 적립용 포트폴리오 상세 (조합 X)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2000"/>
        <w:gridCol w:w="310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ETF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비중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보수율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역할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RSP (Invesco S&amp;P 500 Equal Weight)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40%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0.20%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동일가중·평균회귀 베팅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QUAL (iShares MSCI Quality Factor)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35%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0.15%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퀄리티 팩터 (방어)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VEA (Vanguard FTSE Developed)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25%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0.05%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국제 분산 (미국 외 선진국)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합계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100%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가중평균 0.15%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ISA에 없는 영역 보강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6"/>
          <w:sz w:val="26"/>
          <w:szCs w:val="26"/>
        </w:rPr>
        <w:t xml:space="preserve">4.4 자산군별 통합 배분 매트릭스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2400"/>
        <w:gridCol w:w="18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자산군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ISA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일반계좌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미국 시총가중 (대형주)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TIGER S&amp;P500 1,000만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VOO 잔여 (소액)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핵심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미국 성장주 (나스닥)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TIGER 나스닥100 500만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성장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미국 배당주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TIGER 배당다우존스 500만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SCHD + VIG 약 335만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배당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1"/>
                <w:szCs w:val="21"/>
              </w:rPr>
              <w:t xml:space="preserve">미국 동일가중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-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1"/>
                <w:szCs w:val="21"/>
              </w:rPr>
              <w:t xml:space="preserve">RSP (월 적립 40%)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신규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1"/>
                <w:szCs w:val="21"/>
              </w:rPr>
              <w:t xml:space="preserve">미국 퀄리티 팩터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-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1"/>
                <w:szCs w:val="21"/>
              </w:rPr>
              <w:t xml:space="preserve">QUAL (월 적립 35%)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신규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1"/>
                <w:szCs w:val="21"/>
              </w:rPr>
              <w:t xml:space="preserve">국제 선진국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-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1"/>
                <w:szCs w:val="21"/>
              </w:rPr>
              <w:t xml:space="preserve">VEA (월 적립 25%)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신규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금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-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GLD 254만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헤지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채권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-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AGG + SGOV 잔여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안정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5. 의사결정 근거 (Why)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6"/>
          <w:sz w:val="26"/>
          <w:szCs w:val="26"/>
        </w:rPr>
        <w:t xml:space="preserve">5.1 왜 ISA + 일반계좌 병행 운용인가</w:t>
      </w:r>
    </w:p>
    <w:p>
      <w:pPr>
        <w:spacing w:after="100" w:before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ISA 단독 운용 또는 일반계좌 단독 운용 대비, 병행 운용은 두 계좌의 절세 한도를 동시에 활용하여 연간 약 450만원의 절세 한도를 확보한다.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전략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연간 절세 한도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한계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ISA 단독 (전액 ISA)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200만원 (일반형)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동일가중·팩터 ETF 매수 불가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일반계좌 단독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250만원 (양도세 공제)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분배금 매년 과세, 금융소득 종합과세 위험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병행 운용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1"/>
                <w:szCs w:val="21"/>
              </w:rPr>
              <w:t xml:space="preserve">약 450만원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두 계좌 관리 부담 (경미)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6"/>
          <w:sz w:val="26"/>
          <w:szCs w:val="26"/>
        </w:rPr>
        <w:t xml:space="preserve">5.2 왜 ISA 조합 5인가 (VOO 단일 또는 다른 조합 대비)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VOO 단일 배제 이유: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사용자가 이미 일반계좌에서 VOO를 보유 중이었다. ISA에서도 VOO 단일 = 단순 비중 확대일 뿐 분산 효과 없음. ISA의 절세 효과만 노리되 분산 의미 상실.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조합 5 선택 이유: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시총가중 50% 핵심 + 나스닥 25% 성장 + 배당 25% 안정의 3축 분산 구조. 일반계좌의 동일가중·팩터 베팅(RSP/QUAL)과 보완적으로 작동.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조합 1 (시총+동일가중+채권) 배제 이유: </w:t>
      </w:r>
      <w:r>
        <w:rPr>
          <w:rFonts w:ascii="맑은 고딕" w:cs="맑은 고딕" w:eastAsia="맑은 고딕" w:hAnsi="맑은 고딕"/>
          <w:sz w:val="22"/>
          <w:szCs w:val="22"/>
        </w:rPr>
        <w:t xml:space="preserve">한국 상장 미국 동일가중 ETF 실존 여부 불확실. 검증 단계에서 안정적으로 확보 가능한 3종으로 변경.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조합 3 (시총+배당+글로벌) 배제 이유: </w:t>
      </w:r>
      <w:r>
        <w:rPr>
          <w:rFonts w:ascii="맑은 고딕" w:cs="맑은 고딕" w:eastAsia="맑은 고딕" w:hAnsi="맑은 고딕"/>
          <w:sz w:val="22"/>
          <w:szCs w:val="22"/>
        </w:rPr>
        <w:t xml:space="preserve">ISA 국제 분산은 일반계좌 VEA로 대체 가능. ISA에는 한국에 없는 환노출형 미국 성장주(나스닥) 선택이 유리.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6"/>
          <w:sz w:val="26"/>
          <w:szCs w:val="26"/>
        </w:rPr>
        <w:t xml:space="preserve">5.3 왜 적립 조합 X인가 (다른 조합 대비)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조합 X 선택 이유: </w:t>
      </w:r>
      <w:r>
        <w:rPr>
          <w:rFonts w:ascii="맑은 고딕" w:cs="맑은 고딕" w:eastAsia="맑은 고딕" w:hAnsi="맑은 고딕"/>
          <w:sz w:val="22"/>
          <w:szCs w:val="22"/>
        </w:rPr>
        <w:t xml:space="preserve">현재 환경에서 가장 합리적이라고 판단되는 3가지 영역(동일가중, 퀄리티, 국제 분산)을 모두 포함. ISA가 채울 수 없는 영역을 정확히 보강.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조합 Y (광범위 분산) 배제 이유: </w:t>
      </w:r>
      <w:r>
        <w:rPr>
          <w:rFonts w:ascii="맑은 고딕" w:cs="맑은 고딕" w:eastAsia="맑은 고딕" w:hAnsi="맑은 고딕"/>
          <w:sz w:val="22"/>
          <w:szCs w:val="22"/>
        </w:rPr>
        <w:t xml:space="preserve">VWO(신흥국) + VNQ(리츠) 포함이 분산은 좋으나, 사용자가 동일가중·팩터 베팅 의지를 보였으므로 그 베팅 강도 약화.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조합 Z (단순 효율) 배제 이유: </w:t>
      </w:r>
      <w:r>
        <w:rPr>
          <w:rFonts w:ascii="맑은 고딕" w:cs="맑은 고딕" w:eastAsia="맑은 고딕" w:hAnsi="맑은 고딕"/>
          <w:sz w:val="22"/>
          <w:szCs w:val="22"/>
        </w:rPr>
        <w:t xml:space="preserve">VXUS(미국 외 전 세계)는 신흥국 포함으로 변동성 큼. VEA(선진국)가 안정성 더 높음.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6"/>
          <w:sz w:val="26"/>
          <w:szCs w:val="26"/>
        </w:rPr>
        <w:t xml:space="preserve">5.4 왜 동일가중 직접 운용을 배제했는가</w:t>
      </w:r>
    </w:p>
    <w:p>
      <w:pPr>
        <w:spacing w:after="100" w:before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500종목 동일가중을 개인이 직접 운용하는 것은 비현실적이며, 50종목 동일가중으로 축소하더라도 RSP 대비 압도적 열위이다.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RSP (ETF)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직접 50종목 동일가중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운용 보수 (10년)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약 200만원 (0.2%)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0원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매매 수수료 (10년)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0원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약 280만원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슬리피지 (10년)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약 20만원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약 100만원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시간 비용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0시간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약 120시간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총 명시 비용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약 220만원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1"/>
                <w:szCs w:val="21"/>
              </w:rPr>
              <w:t xml:space="preserve">약 380만원 + 120시간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6"/>
          <w:sz w:val="26"/>
          <w:szCs w:val="26"/>
        </w:rPr>
        <w:t xml:space="preserve">5.5 왜 환노출 (헤지 X)을 선택했는가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장기 보유 시 환차익·환차손 상쇄: </w:t>
      </w:r>
      <w:r>
        <w:rPr>
          <w:rFonts w:ascii="맑은 고딕" w:cs="맑은 고딕" w:eastAsia="맑은 고딕" w:hAnsi="맑은 고딕"/>
          <w:sz w:val="22"/>
          <w:szCs w:val="22"/>
        </w:rPr>
        <w:t xml:space="preserve">10년 이상 보유 시 환율 변동은 평균회귀. 헤지 비용(연 1~2%) 대비 효과 제한적.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헤지 비용의 누적: </w:t>
      </w:r>
      <w:r>
        <w:rPr>
          <w:rFonts w:ascii="맑은 고딕" w:cs="맑은 고딕" w:eastAsia="맑은 고딕" w:hAnsi="맑은 고딕"/>
          <w:sz w:val="22"/>
          <w:szCs w:val="22"/>
        </w:rPr>
        <w:t xml:space="preserve">환헤지 ETF는 보수 외에 헤지 비용이 별도 발생. 장기 수익률 잠식.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기존 포지션 일관성: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사용자의 기존 미국 직접 ETF 보유는 모두 환노출. 일관성 유지가 운영 단순화.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리스크 인지: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원화 강세 지속 시 손실 확대 가능성 인정. 다만 미국 경제 우위 지속 가정 시 달러 강세 베팅도 합리.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6. 잔존 리스크 및 한계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6"/>
          <w:sz w:val="26"/>
          <w:szCs w:val="26"/>
        </w:rPr>
        <w:t xml:space="preserve">6.1 본 전략의 잔존 리스크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4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리스크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내용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대응 방안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환율 100% 노출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ISA + 적립 모두 환노출. 원화 강세 시 손실 확대.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원화 강세 베팅 시 ISA 일부를 환헤지형(TIGER S&amp;P500(H)) 전환 검토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미국 집중도 과다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총 자산 기준 미국 비중 약 85%+. 미국 시장 의존도 절대적.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VEA 비중을 적립 자금 내 30~40%로 확대 검토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동일가중·퀄리티 단기 underperform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2024~2025 메가캡 쏠림 지속 시 RSP/QUAL이 5~10%p underperform 가능.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2~3년 이상 인내. 백테스트로 historical underperform 구간 확인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ISA 락업 3년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시장 폭락 시 저점 매수 자금 활용 불가.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일반계좌 유동성 별도 확보 (운영자금 1~2년치)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사업 운영자금 수요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대표이사 승계 진행 중. 향후 1~3년 내 자금 수요 가능성.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ISA 진입 전 별도 운영자금 확보 선행 필수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ISA 한도 확대안 통과 변수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2026년 정기국회 한도 확대 통과 시 효과 더 커짐. 미통과 시 현행 유지.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통과 여부와 무관하게 지금 가입 (자동 적용)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6"/>
          <w:sz w:val="26"/>
          <w:szCs w:val="26"/>
        </w:rPr>
        <w:t xml:space="preserve">6.2 본 의사결정 과정에서 확신 부족 영역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향후 환율 예측 (신뢰도 50%): </w:t>
      </w:r>
      <w:r>
        <w:rPr>
          <w:rFonts w:ascii="맑은 고딕" w:cs="맑은 고딕" w:eastAsia="맑은 고딕" w:hAnsi="맑은 고딕"/>
          <w:sz w:val="22"/>
          <w:szCs w:val="22"/>
        </w:rPr>
        <w:t xml:space="preserve">환율은 본질적으로 예측 불가능. 환노출 결정은 "베팅"의 성격을 가짐.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"QUAL+USMV가 동일가중보다 우월" 명제 (부분 증명): </w:t>
      </w:r>
      <w:r>
        <w:rPr>
          <w:rFonts w:ascii="맑은 고딕" w:cs="맑은 고딕" w:eastAsia="맑은 고딕" w:hAnsi="맑은 고딕"/>
          <w:sz w:val="22"/>
          <w:szCs w:val="22"/>
        </w:rPr>
        <w:t xml:space="preserve">과거 데이터로 일부 시기 우월성 확인 가능하나, 미래 환경에서 동일하게 작동 보장 불가. 멀티팩터 분산이 더 안전하다는 학술적 일반론에 의존.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Mag7 쏠림의 평균회귀 시점 (신뢰도 50% 이하): </w:t>
      </w:r>
      <w:r>
        <w:rPr>
          <w:rFonts w:ascii="맑은 고딕" w:cs="맑은 고딕" w:eastAsia="맑은 고딕" w:hAnsi="맑은 고딕"/>
          <w:sz w:val="22"/>
          <w:szCs w:val="22"/>
        </w:rPr>
        <w:t xml:space="preserve">Shiller CAPE 40 수준에서도 추가 상승한 사례(닷컴 직전) 존재. 평균회귀의 시점은 누구도 예측 불가.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사업 승계 후 자금 흐름 (신뢰도 75%): </w:t>
      </w:r>
      <w:r>
        <w:rPr>
          <w:rFonts w:ascii="맑은 고딕" w:cs="맑은 고딕" w:eastAsia="맑은 고딕" w:hAnsi="맑은 고딕"/>
          <w:sz w:val="22"/>
          <w:szCs w:val="22"/>
        </w:rPr>
        <w:t xml:space="preserve">대표 승계 진행 중이나 정확한 시점·규모 미확정. 운영자금 수요 추정에 한계.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6"/>
          <w:sz w:val="26"/>
          <w:szCs w:val="26"/>
        </w:rPr>
        <w:t xml:space="preserve">6.3 이 전략으로 "이기는 것"이 아닌 "덜 잃는 것"</w:t>
      </w:r>
    </w:p>
    <w:p>
      <w:pPr>
        <w:spacing w:after="100" w:before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전략의 본질은 시장 초과수익(α)을 노리는 것이 아니라, 다음 세 가지를 동시에 달성하는 것이다.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절세 인프라 구축 (확실한 효과)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자산 분산 강화 (변동성 감소)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장기 베팅 다각화 (단일 전략 의존 회피)</w:t>
      </w:r>
    </w:p>
    <w:p>
      <w:pPr>
        <w:spacing w:after="100" w:before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"동일가중이 시총가중을 이긴다"거나 "퀄리티가 성장주를 이긴다"는 베팅이 아니라, 어느 한 시나리오가 펼쳐져도 큰 손실을 피할 수 있는 구조를 만드는 것이 목적이다.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7. 백테스트 우선순위 (다음 단계)</w:t>
      </w:r>
    </w:p>
    <w:p>
      <w:pPr>
        <w:spacing w:after="100" w:before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의사결정의 가정과 결론을 데이터로 사후 검증하기 위해, 다음 우선순위로 백테스트를 수행한다.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6"/>
          <w:sz w:val="26"/>
          <w:szCs w:val="26"/>
        </w:rPr>
        <w:t xml:space="preserve">7.1 우선순위 1: ISA 포트폴리오 vs VOO 단일 비교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항목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기간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2023.06 (TIGER 배당다우존스 상장 이후) ~ 2026.05 (약 3년)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비교 대상 A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TIGER S&amp;P500 50% + 나스닥100 25% + 배당다우존스 25% (분기 리밸런싱)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비교 대상 B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TIGER S&amp;P500 100%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비교 대상 C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VOO 100% (참고용)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측정 지표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CAGR, MDD, Sharpe Ratio, 변동성, 분배금 누적, 추적오차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검증 목적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ISA 조합 5가 단일 시총가중 대비 유의미한 위험조정수익 개선 효과를 보이는지 확인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6"/>
          <w:sz w:val="26"/>
          <w:szCs w:val="26"/>
        </w:rPr>
        <w:t xml:space="preserve">7.2 우선순위 2: 적립용 포트폴리오 DCA 시뮬레이션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항목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기간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2013.07 (QUAL 출범) ~ 2026.05 (약 13년)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조건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매월 일정금액 RSP 40% + QUAL 35% + VEA 25% 적립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비교 대상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매월 동일금액 VOO 100% 적립 (참고)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측정 지표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최종 자산, 누적 수익률, MDD, 적립 효율 (월간 변동성)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검증 목적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적립 조합 X가 단순 VOO 적립 대비 위험조정수익 우위인지 확인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6"/>
          <w:sz w:val="26"/>
          <w:szCs w:val="26"/>
        </w:rPr>
        <w:t xml:space="preserve">7.3 우선순위 3: 통합 포트폴리오 효율적 프론티어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항목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대상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ISA 3종 + 적립 3종 + 기존 보유 자산 (SCHD/GLD/VIG) 통합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변수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각 ETF 비중 (제약: ISA 합계 = 2,000만원)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목표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Sharpe Ratio 최대화 또는 MDD 최소화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도구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scipy.optimize 또는 PyPortfolioOpt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검증 목적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현재 확정된 비중이 효율적 프론티어 상에 있는지 검증, 개선 여지 확인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6"/>
          <w:sz w:val="26"/>
          <w:szCs w:val="26"/>
        </w:rPr>
        <w:t xml:space="preserve">7.4 우선순위 4: 환율 영향 분해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항목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대상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TIGER 환노출형 3종 (현재 선택)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기간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2023.06 ~ 2026.05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분석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총 수익 = 기초자산 수익 + 환차익으로 분해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비교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환헤지형 ETF 존재 시 동기간 비교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검증 목적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환노출 결정이 historical하게 어떤 영향을 미쳤는지 확인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8. 실행 체크리스트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6"/>
          <w:sz w:val="26"/>
          <w:szCs w:val="26"/>
        </w:rPr>
        <w:t xml:space="preserve">8.1 1주차: ISA 개설 + 매도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증권사 앱에서 ISA 일반형 중개형 개설 (총급여 5천만 이하면 서민형, 의무 3년)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VOO + AGG + SGOV 매도 (시장가 또는 분할 매도, 양도세 약 3만원)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매도 자금 USD → 원화 환전 (환율 모니터링)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원화를 ISA 계좌로 이체 (한도 2,000만원)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6"/>
          <w:sz w:val="26"/>
          <w:szCs w:val="26"/>
        </w:rPr>
        <w:t xml:space="preserve">8.2 2~4주차: ISA 분할 매수 (DCA)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TIGER 미국S&amp;P500 1,000만원 (3회 분할: 주 1회씩 약 333만원씩)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TIGER 미국나스닥100 500만원 (3회 분할: 주 1회씩 약 167만원씩)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TIGER 미국배당다우존스 500만원 (3회 분할: 주 1회씩 약 167만원씩)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6"/>
          <w:sz w:val="26"/>
          <w:szCs w:val="26"/>
        </w:rPr>
        <w:t xml:space="preserve">8.3 5주차 이후: 매월 적립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매월 적립 금액 책정 (예: 월 100만원)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RSP 40만원 매수 (미국 직접)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QUAL 35만원 매수 (미국 직접)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VEA 25만원 매수 (미국 직접)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6"/>
          <w:sz w:val="26"/>
          <w:szCs w:val="26"/>
        </w:rPr>
        <w:t xml:space="preserve">8.4 연말 (매년 12월)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일반계좌 양도세 250만원 공제 활용 검토 (차익 250만 이내 매도 후 즉시 재매수 = 원가 리셋)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양도세 신고 자동화 도구 활용 (한투/키움 등)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ISA 한도 점검 (다음 해 2,000만원 추가 납입 가능 여부)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6"/>
          <w:sz w:val="26"/>
          <w:szCs w:val="26"/>
        </w:rPr>
        <w:t xml:space="preserve">8.5 3년 후 (ISA 만기)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ISA 만기 시 비과세 + 분리과세 정산 (절세 효과 확정)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만기 자금 일부를 연금저축/IRP로 이체 (추가 세액공제 300만원)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ISA 재가입 (풍차돌리기) → 한도 리셋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9. 의사결정 기록 신뢰도 및 검증 사항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6"/>
          <w:sz w:val="26"/>
          <w:szCs w:val="26"/>
        </w:rPr>
        <w:t xml:space="preserve">9.1 신뢰도 분류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400"/>
        <w:gridCol w:w="2400"/>
      </w:tblGrid>
      <w:tr>
        <w:trPr>
          <w:tblHeader/>
        </w:trP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항목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신뢰도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분류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ETF 실존 확인 (TIGER 3종)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95%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검증 완료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원화 기준 양도세 계산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98%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검증 완료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ISA 절세 효과 구조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95%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검증 완료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보수율 비교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95%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검증 완료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ETF별 historical 성과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85%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백테스트 필요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사용자 원안의 합리성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90%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이론적 확인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향후 환율 영향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50%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예측 불가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메가캡 평균회귀 시점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50%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예측 불가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QUAL+USMV 우월론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60%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백테스트 필요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6"/>
          <w:sz w:val="26"/>
          <w:szCs w:val="26"/>
        </w:rPr>
        <w:t xml:space="preserve">9.2 사후 검증 필요 항목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ETF별 historical CAGR/MDD/Sharpe: </w:t>
      </w:r>
      <w:r>
        <w:rPr>
          <w:rFonts w:ascii="맑은 고딕" w:cs="맑은 고딕" w:eastAsia="맑은 고딕" w:hAnsi="맑은 고딕"/>
          <w:sz w:val="22"/>
          <w:szCs w:val="22"/>
        </w:rPr>
        <w:t xml:space="preserve">본 의사결정은 일반적인 팩터 이론과 최근 시장 데이터에 의존. 정확한 historical 성과는 백테스트로 확인 필요.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환율 영향 정량화: </w:t>
      </w:r>
      <w:r>
        <w:rPr>
          <w:rFonts w:ascii="맑은 고딕" w:cs="맑은 고딕" w:eastAsia="맑은 고딕" w:hAnsi="맑은 고딕"/>
          <w:sz w:val="22"/>
          <w:szCs w:val="22"/>
        </w:rPr>
        <w:t xml:space="preserve">환노출 결정이 historical하게 어떤 결과를 낳았는지 데이터로 확인 필요.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리밸런싱 주기 최적화: </w:t>
      </w:r>
      <w:r>
        <w:rPr>
          <w:rFonts w:ascii="맑은 고딕" w:cs="맑은 고딕" w:eastAsia="맑은 고딕" w:hAnsi="맑은 고딕"/>
          <w:sz w:val="22"/>
          <w:szCs w:val="22"/>
        </w:rPr>
        <w:t xml:space="preserve">분기 vs 반기 vs 연간 리밸런싱 중 어느 주기가 최적인지 백테스트 필요.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적립 vs 일시금 비교: </w:t>
      </w:r>
      <w:r>
        <w:rPr>
          <w:rFonts w:ascii="맑은 고딕" w:cs="맑은 고딕" w:eastAsia="맑은 고딕" w:hAnsi="맑은 고딕"/>
          <w:sz w:val="22"/>
          <w:szCs w:val="22"/>
        </w:rPr>
        <w:t xml:space="preserve">ISA 2,000만원을 한 번에 매수 vs 3주 분할 vs 1년 분할 중 어느 방식이 최적인지 historical 검증 필요.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6"/>
          <w:sz w:val="26"/>
          <w:szCs w:val="26"/>
        </w:rPr>
        <w:t xml:space="preserve">9.3 본 문서의 한계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미래 예측 불가: </w:t>
      </w:r>
      <w:r>
        <w:rPr>
          <w:rFonts w:ascii="맑은 고딕" w:cs="맑은 고딕" w:eastAsia="맑은 고딕" w:hAnsi="맑은 고딕"/>
          <w:sz w:val="22"/>
          <w:szCs w:val="22"/>
        </w:rPr>
        <w:t xml:space="preserve">본 문서의 모든 결론은 과거 데이터와 현재 시장 환경에 기반. 미래 시장이 다르게 작동할 경우 결론이 달라질 수 있음.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개인 상황 반영 제한: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사용자의 정확한 소득 구조, 사업 승계 진행 상황, 세무 처리 방식 등 세부 정보를 모두 반영하지 못함. 실행 전 세무사 상담 권장.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규제 변경 위험: </w:t>
      </w:r>
      <w:r>
        <w:rPr>
          <w:rFonts w:ascii="맑은 고딕" w:cs="맑은 고딕" w:eastAsia="맑은 고딕" w:hAnsi="맑은 고딕"/>
          <w:sz w:val="22"/>
          <w:szCs w:val="22"/>
        </w:rPr>
        <w:t xml:space="preserve">ISA 한도 확대안, 양도세 제도 변경 등 정책 변수에 따라 전략 효율성 변동 가능. 매년 점검 필요.</w:t>
      </w:r>
    </w:p>
    <w:p>
      <w:pPr>
        <w:spacing w:after="240" w:before="720"/>
        <w:jc w:val="center"/>
      </w:pPr>
      <w:r>
        <w:rPr>
          <w:rFonts w:ascii="맑은 고딕" w:cs="맑은 고딕" w:eastAsia="맑은 고딕" w:hAnsi="맑은 고딕"/>
          <w:color w:val="808080"/>
          <w:sz w:val="22"/>
          <w:szCs w:val="22"/>
        </w:rPr>
        <w:t xml:space="preserve">─── 문서 끝 ───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다음 단계: 백테스트 우선순위 1번 (ISA 포트폴리오 vs VOO) 수행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2026-05-12T05:37:06.411Z</dcterms:created>
  <dcterms:modified xsi:type="dcterms:W3CDTF">2026-05-12T05:37:06.411Z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