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B766" w14:textId="2AF780BD" w:rsidR="00DF42AE" w:rsidRDefault="003A5ED6" w:rsidP="00DF42AE">
      <w:pPr>
        <w:pStyle w:val="a4"/>
        <w:rPr>
          <w:rFonts w:ascii="Times New Roman" w:hAnsi="Times New Roman"/>
          <w:b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MACROBUTTON MTEditEquationSection2 </w:instrText>
      </w:r>
      <w:r w:rsidRPr="003A5ED6">
        <w:rPr>
          <w:rStyle w:val="MTEquationSection"/>
        </w:rPr>
        <w:instrText>Equation Chapter 1 Section 1</w:instrText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SEQ MTEqn \r \h \* MERGEFORMAT </w:instrText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SEQ MTSec \r 1 \h \* MERGEFORMAT </w:instrText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SEQ MTChap \r 1 \h \* MERGEFORMAT </w:instrText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  <w:r w:rsidR="00DF42AE" w:rsidRPr="0053504C">
        <w:rPr>
          <w:rFonts w:ascii="Times New Roman" w:hAnsi="Times New Roman"/>
          <w:b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УДК 531.551.2</w:t>
      </w:r>
    </w:p>
    <w:p w14:paraId="74129A10" w14:textId="77777777" w:rsidR="00F4377A" w:rsidRPr="006E111A" w:rsidRDefault="00F4377A" w:rsidP="00DF42AE">
      <w:pPr>
        <w:pStyle w:val="a4"/>
        <w:rPr>
          <w:rFonts w:ascii="Times New Roman" w:hAnsi="Times New Roman"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E4D83F8" w14:textId="6FE478B4" w:rsidR="003B0230" w:rsidRDefault="00F4377A" w:rsidP="003B0230">
      <w:pPr>
        <w:pStyle w:val="a4"/>
        <w:jc w:val="center"/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Разработка и реализация алгоритмов моделирования межспутниковой связи</w:t>
      </w:r>
    </w:p>
    <w:p w14:paraId="5ECC989C" w14:textId="77777777" w:rsidR="003B0230" w:rsidRDefault="003B0230" w:rsidP="003B0230">
      <w:pPr>
        <w:pStyle w:val="a4"/>
        <w:jc w:val="center"/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A077881" w14:textId="518B04B2" w:rsidR="0053504C" w:rsidRPr="003B0230" w:rsidRDefault="0029159F" w:rsidP="003B0230">
      <w:pPr>
        <w:pStyle w:val="a4"/>
        <w:jc w:val="center"/>
        <w:rPr>
          <w:rFonts w:ascii="Times New Roman" w:hAnsi="Times New Roman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i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С.С. Ким</w:t>
      </w:r>
      <w:r w:rsidR="0053504C">
        <w:rPr>
          <w:rFonts w:ascii="Times New Roman" w:hAnsi="Times New Roman"/>
          <w:b/>
          <w:bCs/>
          <w:i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b/>
          <w:bCs/>
          <w:i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</w:t>
      </w:r>
      <w:r w:rsidR="008B0A46" w:rsidRPr="0053504C">
        <w:rPr>
          <w:rFonts w:ascii="Times New Roman" w:hAnsi="Times New Roman"/>
          <w:b/>
          <w:bCs/>
          <w:i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.А. </w:t>
      </w:r>
      <w:r>
        <w:rPr>
          <w:rFonts w:ascii="Times New Roman" w:hAnsi="Times New Roman"/>
          <w:b/>
          <w:bCs/>
          <w:i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Завьялова</w:t>
      </w:r>
    </w:p>
    <w:p w14:paraId="3BA6D2EB" w14:textId="77777777" w:rsidR="00DA04DC" w:rsidRDefault="008B0A46" w:rsidP="0053504C">
      <w:pPr>
        <w:pStyle w:val="a4"/>
        <w:jc w:val="center"/>
        <w:rPr>
          <w:u w:color="000000"/>
        </w:rPr>
      </w:pPr>
      <w:r>
        <w:rPr>
          <w:u w:color="000000"/>
        </w:rPr>
        <w:t>Московс</w:t>
      </w:r>
      <w:r w:rsidR="0053504C">
        <w:rPr>
          <w:u w:color="000000"/>
        </w:rPr>
        <w:t xml:space="preserve">кий физико-технический институт </w:t>
      </w:r>
      <w:r>
        <w:rPr>
          <w:u w:color="000000"/>
        </w:rPr>
        <w:t>(национальный исследовательский университет)</w:t>
      </w:r>
    </w:p>
    <w:p w14:paraId="09F643FC" w14:textId="77777777" w:rsidR="0053504C" w:rsidRPr="0053504C" w:rsidRDefault="0053504C" w:rsidP="0053504C">
      <w:pPr>
        <w:pStyle w:val="a4"/>
        <w:jc w:val="center"/>
        <w:rPr>
          <w:rFonts w:ascii="Times New Roman" w:eastAsia="Times New Roman" w:hAnsi="Times New Roman" w:cs="Times New Roman"/>
          <w:b/>
          <w:bCs/>
          <w:iCs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BA8BB7B" w14:textId="580D7A8D" w:rsidR="0029159F" w:rsidRDefault="002365A6" w:rsidP="00415209">
      <w:pPr>
        <w:pStyle w:val="a4"/>
        <w:ind w:firstLine="720"/>
        <w:jc w:val="both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 настоящий 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момент активно развиваются 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идеи о 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проектировани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многоспутниковых группировок в околоземном пространстве. Особое место в них занимают задачи, связанные с взаимодействием космических аппаратов – в частности, задачи моделирования межспутниковой связи. </w:t>
      </w:r>
      <w:r w:rsidR="00DA3063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помянутая область активно развивается, а с ростом вычислительных мощностей растут и требования к качеству процессов передачи и приема спутниковых сигналов. </w:t>
      </w:r>
      <w:r w:rsidR="00DA3063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Настоящий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доклад</w:t>
      </w:r>
      <w:r w:rsidR="00DA3063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посвящен разработке алгоритмов межспутниковой маршрутизации данных.</w:t>
      </w:r>
    </w:p>
    <w:p w14:paraId="13FA8FC3" w14:textId="49529618" w:rsidR="004C5ED9" w:rsidRDefault="00DA3063" w:rsidP="007A0633">
      <w:pPr>
        <w:pStyle w:val="a4"/>
        <w:ind w:firstLine="720"/>
        <w:jc w:val="both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ногоспутниковая группировка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моделируется системой, где каждый космический аппарат представляется точкой. В этой точке может быть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«сток»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информации (в случае если это наземная станция)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«источник»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информации (если это, например, аппарат дистанционного зондирования Земли)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или «простой» спутник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(в случае, если это связной аппарат)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 w:rsidR="004C5ED9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Далее считаем для простоты, что разница в высотах орбит пренебрежимо мала, тогда можно представить область как двухмерную.</w:t>
      </w:r>
      <w:r w:rsidR="007276F8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Рассматривается фиксированный момент времени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считается, что точки смещаются незначительно и задача состоит в том, чтобы для расположенных определенным образом источников, стоков и промежуточных точек определить оптимальный маршрут передачи информации.</w:t>
      </w:r>
    </w:p>
    <w:p w14:paraId="565D3279" w14:textId="0E29BFC1" w:rsidR="00845E92" w:rsidRDefault="0029159F" w:rsidP="007A0633">
      <w:pPr>
        <w:pStyle w:val="a4"/>
        <w:ind w:firstLine="720"/>
        <w:jc w:val="both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u w:color="000000"/>
                <w:vertAlign w:val="superscript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u w:color="000000"/>
                <w:vertAlign w:val="superscript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задается прямоугольная область</w:t>
      </w:r>
      <w:r w:rsidR="008A6A02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0, 1</m:t>
            </m:r>
          </m:e>
        </m:d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0, 1</m:t>
            </m:r>
          </m:e>
        </m:d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.</m:t>
        </m:r>
      </m:oMath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Граничные условия для </w:t>
      </w:r>
      <m:oMath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x</m:t>
        </m:r>
      </m:oMath>
      <w:r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предполагаются периодическими. Далее случайным образом генерируются координаты 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точек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принадлежащие вышеупомянуто</w:t>
      </w:r>
      <w:r w:rsidR="008A6A0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й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8A6A0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области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 Каждо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й точке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случайным образом приписывается некоторый «набор» «соседей» (в количестве от 4 до 10) из тех, которые лежат в некоторой ближайшей окрестности. </w:t>
      </w:r>
    </w:p>
    <w:p w14:paraId="46A6C88D" w14:textId="16AF7881" w:rsidR="007A0633" w:rsidRDefault="0029159F" w:rsidP="007A0633">
      <w:pPr>
        <w:pStyle w:val="a4"/>
        <w:ind w:firstLine="720"/>
        <w:jc w:val="both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На следующем этапе для численного моделирования вводится некоторая функция </w:t>
      </w:r>
      <m:oMath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</m:oMath>
      <w:r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значение которой на нулевой итерации для каждо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й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точки 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определяется е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ё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типом. Так, для «стоков» </w:t>
      </w:r>
      <m:oMath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=-1</m:t>
        </m:r>
      </m:oMath>
      <w:r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для «источников» </w:t>
      </w:r>
      <m:oMath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=1</m:t>
        </m:r>
      </m:oMath>
      <w:r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для «простых» 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точек </w:t>
      </w:r>
      <m:oMath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=0</m:t>
        </m:r>
      </m:oMath>
      <w:r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 w:rsidR="007A0633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Иллюстрация приведенного подхода демонстрируется на </w:t>
      </w:r>
      <w:r w:rsidR="008E7E8C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рис. 1. </w:t>
      </w:r>
    </w:p>
    <w:p w14:paraId="7DA3086F" w14:textId="72877E89" w:rsidR="008E7E8C" w:rsidRDefault="008E7E8C" w:rsidP="008E7E8C">
      <w:pPr>
        <w:pStyle w:val="a4"/>
        <w:ind w:firstLine="720"/>
        <w:jc w:val="center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noProof/>
          <w:sz w:val="24"/>
          <w:szCs w:val="24"/>
          <w:u w:color="00000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55E165B" wp14:editId="1C92B7B7">
            <wp:extent cx="2921000" cy="3302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77" cy="33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437B" w14:textId="71792CD9" w:rsidR="008E7E8C" w:rsidRDefault="008E7E8C" w:rsidP="008E7E8C">
      <w:pPr>
        <w:pStyle w:val="a4"/>
        <w:ind w:firstLine="720"/>
        <w:jc w:val="center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Рисунок 1 – 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Пространственное распределение точек. Желтым – стоки, красным – источники, белым – промежуточные точки.</w:t>
      </w:r>
    </w:p>
    <w:p w14:paraId="376E3FF2" w14:textId="77777777" w:rsidR="008E7E8C" w:rsidRDefault="008E7E8C" w:rsidP="008E7E8C">
      <w:pPr>
        <w:pStyle w:val="a4"/>
        <w:ind w:firstLine="720"/>
        <w:jc w:val="center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7DDF1B2" w14:textId="5D8C55AD" w:rsidR="00845E92" w:rsidRDefault="0029159F" w:rsidP="008E7E8C">
      <w:pPr>
        <w:pStyle w:val="a4"/>
        <w:ind w:firstLine="720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Далее </w:t>
      </w:r>
      <w:r w:rsidR="00845E92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проводится аналогия со стационарным уравнением теплопроводности, считаем, что у нас есть сложная область, в которой есть нагревающиеся и охлаждающиеся точки и задача состоит в том, чтобы найти потоки тепла.</w:t>
      </w:r>
    </w:p>
    <w:p w14:paraId="2444EAA2" w14:textId="2BBA0584" w:rsidR="0029159F" w:rsidRPr="007A0633" w:rsidRDefault="00845E92" w:rsidP="008E7E8C">
      <w:pPr>
        <w:pStyle w:val="a4"/>
        <w:ind w:firstLine="720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З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начения функции для «стоков» и «источников» остаются неизменными, в то время как для каждо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й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«просто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й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» 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точки 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решается уравнение Лапласа (1</w:t>
      </w:r>
      <w:r w:rsidR="0029159F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>.1):</w:t>
      </w:r>
    </w:p>
    <w:p w14:paraId="65C8AD84" w14:textId="77777777" w:rsidR="0029159F" w:rsidRPr="0029159F" w:rsidRDefault="006D547B" w:rsidP="0029159F">
      <w:pPr>
        <w:pStyle w:val="a4"/>
        <w:ind w:firstLine="720"/>
        <w:jc w:val="both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u w:color="000000"/>
                  <w14:textOutline w14:w="12700" w14:cap="flat" w14:cmpd="sng" w14:algn="ctr">
                    <w14:noFill/>
                    <w14:prstDash w14:val="solid"/>
                    <w14:miter w14:lim="400000"/>
                  </w14:textOutline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u w:color="000000"/>
                  <w14:textOutline w14:w="12700" w14:cap="flat" w14:cmpd="sng" w14:algn="ctr">
                    <w14:noFill/>
                    <w14:prstDash w14:val="solid"/>
                    <w14:miter w14:lim="400000"/>
                  </w14:textOutline>
                </w:rPr>
                <m:t>∆u=0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000000"/>
                      <w14:textOutline w14:w="12700" w14:cap="flat" w14:cmpd="sng" w14:algn="ctr">
                        <w14:noFill/>
                        <w14:prstDash w14:val="solid"/>
                        <w14:miter w14:lim="400000"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color="000000"/>
                      <w14:textOutline w14:w="12700" w14:cap="flat" w14:cmpd="sng" w14:algn="ctr">
                        <w14:noFill/>
                        <w14:prstDash w14:val="solid"/>
                        <w14:miter w14:lim="400000"/>
                      </w14:textOutline>
                    </w:rPr>
                    <m:t>1.1</m:t>
                  </m:r>
                </m:e>
              </m:d>
            </m:e>
          </m:eqArr>
        </m:oMath>
      </m:oMathPara>
    </w:p>
    <w:p w14:paraId="471C0802" w14:textId="1A725A12" w:rsidR="0029159F" w:rsidRPr="0029159F" w:rsidRDefault="00845E92" w:rsidP="0029159F">
      <w:pPr>
        <w:pStyle w:val="a4"/>
        <w:ind w:firstLine="720"/>
        <w:jc w:val="both"/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Для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решения уравнения (1.1) численным методом применяется представление </w:t>
      </w:r>
      <m:oMath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∆u</m:t>
        </m:r>
      </m:oMath>
      <w:r w:rsidR="0029159F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для каждого «простого» спутника в виде линейной комбинации значений функций </w:t>
      </w:r>
      <m:oMath>
        <m:r>
          <w:rPr>
            <w:rFonts w:ascii="Cambria Math" w:hAnsi="Cambria Math"/>
            <w:sz w:val="24"/>
            <w:szCs w:val="24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</m:oMath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из «набора» согласно (1</w:t>
      </w:r>
      <w:r w:rsidR="0029159F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.2), 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где</w:t>
      </w:r>
      <w:r w:rsidR="008A6A02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N</m:t>
        </m:r>
      </m:oMath>
      <w:r w:rsidR="0029159F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– </w:t>
      </w:r>
      <w:r w:rsidR="0029159F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число «соседей» спутника</w:t>
      </w:r>
      <w:r w:rsidR="0029159F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69D2EB07" w14:textId="53A31872" w:rsidR="0029159F" w:rsidRPr="0029159F" w:rsidRDefault="006D547B" w:rsidP="0029159F">
      <w:pPr>
        <w:pStyle w:val="a4"/>
        <w:ind w:firstLine="720"/>
        <w:jc w:val="both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u w:color="000000"/>
                  <w14:textOutline w14:w="12700" w14:cap="flat" w14:cmpd="sng" w14:algn="ctr">
                    <w14:noFill/>
                    <w14:prstDash w14:val="solid"/>
                    <w14:miter w14:lim="400000"/>
                  </w14:textOutline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u w:color="000000"/>
                  <w14:textOutline w14:w="12700" w14:cap="flat" w14:cmpd="sng" w14:algn="ctr">
                    <w14:noFill/>
                    <w14:prstDash w14:val="solid"/>
                    <w14:miter w14:lim="400000"/>
                  </w14:textOutline>
                </w:rPr>
                <m:t>∆u=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000000"/>
                      <w14:textOutline w14:w="12700" w14:cap="flat" w14:cmpd="sng" w14:algn="ctr">
                        <w14:noFill/>
                        <w14:prstDash w14:val="solid"/>
                        <w14:miter w14:lim="400000"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u w:color="000000"/>
                      <w14:textOutline w14:w="12700" w14:cap="flat" w14:cmpd="sng" w14:algn="ctr">
                        <w14:noFill/>
                        <w14:prstDash w14:val="solid"/>
                        <w14:miter w14:lim="400000"/>
                      </w14:textOutline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u w:color="000000"/>
                      <w14:textOutline w14:w="12700" w14:cap="flat" w14:cmpd="sng" w14:algn="ctr">
                        <w14:noFill/>
                        <w14:prstDash w14:val="solid"/>
                        <w14:miter w14:lim="400000"/>
                      </w14:textOutline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m:t xml:space="preserve">i 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  <w:u w:color="000000"/>
                  <w14:textOutline w14:w="12700" w14:cap="flat" w14:cmpd="sng" w14:algn="ctr">
                    <w14:noFill/>
                    <w14:prstDash w14:val="solid"/>
                    <w14:miter w14:lim="400000"/>
                  </w14:textOutline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color="000000"/>
                      <w14:textOutline w14:w="12700" w14:cap="flat" w14:cmpd="sng" w14:algn="ctr">
                        <w14:noFill/>
                        <w14:prstDash w14:val="solid"/>
                        <w14:miter w14:lim="400000"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color="000000"/>
                      <w14:textOutline w14:w="12700" w14:cap="flat" w14:cmpd="sng" w14:algn="ctr">
                        <w14:noFill/>
                        <w14:prstDash w14:val="solid"/>
                        <w14:miter w14:lim="400000"/>
                      </w14:textOutline>
                    </w:rPr>
                    <m:t>1.2</m:t>
                  </m:r>
                </m:e>
              </m:d>
            </m:e>
          </m:eqArr>
        </m:oMath>
      </m:oMathPara>
    </w:p>
    <w:p w14:paraId="32EDA455" w14:textId="5F5698A3" w:rsidR="0029159F" w:rsidRPr="009A74AC" w:rsidRDefault="0029159F" w:rsidP="008E7E8C">
      <w:pPr>
        <w:pStyle w:val="a4"/>
        <w:jc w:val="both"/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Коэффициенты</w:t>
      </w:r>
      <w:r w:rsidR="008A6A02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определяют</w:t>
      </w:r>
      <w:r w:rsidR="005E07C0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ся путем решения системы уравнений, получаемой из (1</w:t>
      </w:r>
      <w:r w:rsidR="005E07C0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>.2)</w:t>
      </w:r>
      <w:r w:rsidR="009A74AC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9A74AC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разложением в ряд Тейлора функций</w:t>
      </w:r>
      <w:r w:rsidR="008A6A02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, i=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1,N</m:t>
            </m:r>
          </m:e>
        </m:acc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,</m:t>
        </m:r>
      </m:oMath>
      <w:r w:rsidR="008A6A02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9A74AC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 окрестности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0</m:t>
            </m:r>
          </m:sub>
        </m:sSub>
      </m:oMath>
      <w:r w:rsidR="005D172B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 w:rsidR="009A74AC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9A74AC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такого, что</w:t>
      </w:r>
      <w:r w:rsidR="008A6A02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u w:color="000000"/>
                    <w:lang w:val="haw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u w:color="000000"/>
                    <w:lang w:val="haw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u w:color="000000"/>
                    <w:lang w:val="haw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u w:color="000000"/>
            <w:lang w:val="haw-US"/>
            <w14:textOutline w14:w="12700" w14:cap="flat" w14:cmpd="sng" w14:algn="ctr">
              <w14:noFill/>
              <w14:prstDash w14:val="solid"/>
              <w14:miter w14:lim="400000"/>
            </w14:textOutline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0</m:t>
            </m:r>
          </m:sub>
        </m:sSub>
      </m:oMath>
      <w:r w:rsidR="009A74AC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 w:rsidR="009A74AC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После нахождения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u w:color="000000"/>
                <w:lang w:val="haw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i</m:t>
            </m:r>
          </m:sub>
        </m:sSub>
      </m:oMath>
      <w:r w:rsidR="009A74AC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указанное уравнение (1</w:t>
      </w:r>
      <w:r w:rsidR="009A74AC">
        <w:rPr>
          <w:rFonts w:ascii="Times New Roman" w:hAnsi="Times New Roman"/>
          <w:sz w:val="24"/>
          <w:szCs w:val="24"/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.1) </w:t>
      </w:r>
      <w:r w:rsidR="00F4377A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сводится к системе уравнений и </w:t>
      </w:r>
      <w:r w:rsidR="009A74AC">
        <w:rPr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решается численным методом Якоби. </w:t>
      </w:r>
    </w:p>
    <w:p w14:paraId="7C30949E" w14:textId="439E9EC7" w:rsidR="005D172B" w:rsidRPr="00415209" w:rsidRDefault="008E7E8C" w:rsidP="00415209">
      <w:pPr>
        <w:ind w:firstLine="709"/>
        <w:jc w:val="both"/>
        <w:rPr>
          <w:lang w:val="ru-RU"/>
        </w:rPr>
      </w:pPr>
      <w:r w:rsidRPr="002365A6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Приведенный</w:t>
      </w:r>
      <w:r w:rsidR="009A74AC" w:rsidRPr="002365A6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алгоритм был реализован и протестирован с использованием современного языка высокого уровня </w:t>
      </w:r>
      <w:r w:rsidR="009A74AC" w:rsidRPr="00F4377A">
        <w:rPr>
          <w:u w:color="000000"/>
          <w:lang w:val="haw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Python. </w:t>
      </w:r>
      <w:r w:rsidRPr="008A6A02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На текущий момент он показывает высокую работоспособность, однако</w:t>
      </w:r>
      <w:r w:rsidR="00F4377A" w:rsidRPr="008A6A02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8A6A02" w:rsidRPr="008A6A02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сходимости авторам пока добиться не удалось</w:t>
      </w:r>
      <w:r w:rsidR="008A6A02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о чем свидетельствует отсутствие </w:t>
      </w:r>
      <w:r w:rsidR="00F4377A" w:rsidRPr="008A6A02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диагонального преобладания в матрице системы, решаемой методом Якоби. </w:t>
      </w:r>
      <w:r w:rsidR="00F4377A" w:rsidRPr="00F4377A">
        <w:rPr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Тем не менее, </w:t>
      </w:r>
      <w:r w:rsidR="00F4377A" w:rsidRPr="00F4377A">
        <w:rPr>
          <w:lang w:val="ru-RU"/>
        </w:rPr>
        <w:t xml:space="preserve">учитывая важность задач, связанных с моделированием межспутниковой связи, данная работа остается актуальной и подлежит дальнейшему совершенствованию и развитию. </w:t>
      </w:r>
    </w:p>
    <w:p w14:paraId="326DAB36" w14:textId="77777777" w:rsidR="005D172B" w:rsidRDefault="005D172B" w:rsidP="009702D8">
      <w:pPr>
        <w:jc w:val="center"/>
        <w:rPr>
          <w:rFonts w:ascii="Helvetica Neue" w:hAnsi="Helvetica Neue" w:cs="Arial Unicode MS"/>
          <w:color w:val="000000"/>
          <w:sz w:val="22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ED26F1" w14:textId="6EC26370" w:rsidR="00F814FF" w:rsidRPr="00F814FF" w:rsidRDefault="00F814FF" w:rsidP="009702D8">
      <w:pPr>
        <w:jc w:val="center"/>
        <w:rPr>
          <w:b/>
          <w:lang w:val="ru-RU" w:eastAsia="ru-RU"/>
        </w:rPr>
      </w:pPr>
      <w:r w:rsidRPr="00F814FF">
        <w:rPr>
          <w:b/>
          <w:lang w:val="ru-RU" w:eastAsia="ru-RU"/>
        </w:rPr>
        <w:t>Литература</w:t>
      </w:r>
    </w:p>
    <w:p w14:paraId="55FBC743" w14:textId="01479CFD" w:rsidR="00DA04DC" w:rsidRPr="005D172B" w:rsidRDefault="005D172B" w:rsidP="005D172B">
      <w:pPr>
        <w:pStyle w:val="a9"/>
        <w:numPr>
          <w:ilvl w:val="0"/>
          <w:numId w:val="2"/>
        </w:numPr>
        <w:rPr>
          <w:color w:val="000000" w:themeColor="text1"/>
          <w:lang w:eastAsia="ru-RU"/>
        </w:rPr>
      </w:pPr>
      <w:r w:rsidRPr="005D172B">
        <w:rPr>
          <w:i/>
          <w:iCs/>
          <w:color w:val="000000" w:themeColor="text1"/>
          <w:lang w:val="haw-US" w:eastAsia="ru-RU"/>
        </w:rPr>
        <w:t>Albulet M</w:t>
      </w:r>
      <w:r>
        <w:rPr>
          <w:color w:val="000000" w:themeColor="text1"/>
          <w:lang w:val="haw-US" w:eastAsia="ru-RU"/>
        </w:rPr>
        <w:t>. SpaceX v-band non-geostationary satellite system: attachment A, Technical Imformation to Supplement Schedule S</w:t>
      </w:r>
      <w:r w:rsidR="008C2404">
        <w:rPr>
          <w:color w:val="000000" w:themeColor="text1"/>
          <w:lang w:val="haw-US" w:eastAsia="ru-RU"/>
        </w:rPr>
        <w:t>,</w:t>
      </w:r>
      <w:r>
        <w:rPr>
          <w:color w:val="000000" w:themeColor="text1"/>
          <w:lang w:val="haw-US" w:eastAsia="ru-RU"/>
        </w:rPr>
        <w:t xml:space="preserve"> 2017.</w:t>
      </w:r>
    </w:p>
    <w:p w14:paraId="4639156F" w14:textId="44F29877" w:rsidR="00B07CAF" w:rsidRPr="00B07CAF" w:rsidRDefault="00B07CAF" w:rsidP="00B07CAF">
      <w:pPr>
        <w:pStyle w:val="a4"/>
        <w:numPr>
          <w:ilvl w:val="0"/>
          <w:numId w:val="2"/>
        </w:numPr>
        <w:jc w:val="both"/>
        <w:rPr>
          <w:rFonts w:ascii="Times" w:hAnsi="Times"/>
          <w:i/>
          <w:sz w:val="24"/>
          <w:szCs w:val="24"/>
          <w:shd w:val="clear" w:color="auto" w:fill="FFFFFF"/>
        </w:rPr>
      </w:pPr>
      <w:r w:rsidRPr="00B07CAF">
        <w:rPr>
          <w:rFonts w:ascii="Times" w:hAnsi="Times"/>
          <w:i/>
          <w:iCs/>
          <w:sz w:val="24"/>
          <w:szCs w:val="24"/>
          <w:shd w:val="clear" w:color="auto" w:fill="FFFFFF"/>
        </w:rPr>
        <w:t>Владимиров В. С.</w:t>
      </w:r>
      <w:r w:rsidRPr="00B07CAF">
        <w:rPr>
          <w:rFonts w:ascii="Times" w:hAnsi="Times"/>
          <w:sz w:val="24"/>
          <w:szCs w:val="24"/>
          <w:shd w:val="clear" w:color="auto" w:fill="FFFFFF"/>
        </w:rPr>
        <w:t xml:space="preserve"> Уравнения математической физики</w:t>
      </w:r>
      <w:r w:rsidR="008C2404">
        <w:rPr>
          <w:rFonts w:ascii="Times" w:hAnsi="Times"/>
          <w:sz w:val="24"/>
          <w:szCs w:val="24"/>
          <w:shd w:val="clear" w:color="auto" w:fill="FFFFFF"/>
          <w:lang w:val="haw-US"/>
        </w:rPr>
        <w:t>,</w:t>
      </w:r>
      <w:r w:rsidRPr="00B07CAF">
        <w:rPr>
          <w:rFonts w:ascii="Times" w:hAnsi="Times"/>
          <w:sz w:val="24"/>
          <w:szCs w:val="24"/>
          <w:shd w:val="clear" w:color="auto" w:fill="FFFFFF"/>
        </w:rPr>
        <w:t xml:space="preserve"> 1981.</w:t>
      </w:r>
    </w:p>
    <w:p w14:paraId="190B0052" w14:textId="1C2FE6C3" w:rsidR="00B07CAF" w:rsidRPr="00B07CAF" w:rsidRDefault="00B07CAF" w:rsidP="00B07CAF">
      <w:pPr>
        <w:pStyle w:val="2"/>
        <w:numPr>
          <w:ilvl w:val="0"/>
          <w:numId w:val="2"/>
        </w:numPr>
        <w:spacing w:before="0" w:beforeAutospacing="0"/>
        <w:rPr>
          <w:b w:val="0"/>
          <w:bCs w:val="0"/>
          <w:color w:val="000000" w:themeColor="text1"/>
          <w:sz w:val="24"/>
          <w:szCs w:val="24"/>
        </w:rPr>
      </w:pPr>
      <w:r w:rsidRPr="00B07CAF">
        <w:rPr>
          <w:b w:val="0"/>
          <w:bCs w:val="0"/>
          <w:i/>
          <w:iCs/>
          <w:color w:val="000000" w:themeColor="text1"/>
          <w:sz w:val="24"/>
          <w:szCs w:val="24"/>
        </w:rPr>
        <w:t>Аристова Е. Н., Завьялова Н. А., Лобанов А. И</w:t>
      </w:r>
      <w:r w:rsidRPr="00B07CAF">
        <w:rPr>
          <w:b w:val="0"/>
          <w:bCs w:val="0"/>
          <w:color w:val="000000" w:themeColor="text1"/>
          <w:sz w:val="24"/>
          <w:szCs w:val="24"/>
        </w:rPr>
        <w:t>.</w:t>
      </w:r>
      <w:r w:rsidRPr="00B07CAF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B07CAF">
        <w:rPr>
          <w:b w:val="0"/>
          <w:bCs w:val="0"/>
          <w:color w:val="000000" w:themeColor="text1"/>
          <w:sz w:val="24"/>
          <w:szCs w:val="24"/>
        </w:rPr>
        <w:t>Практические занятия по вычислительной математике в МФТИ: учебное пособие</w:t>
      </w:r>
      <w:r w:rsidR="008C2404">
        <w:rPr>
          <w:b w:val="0"/>
          <w:bCs w:val="0"/>
          <w:color w:val="000000" w:themeColor="text1"/>
          <w:sz w:val="24"/>
          <w:szCs w:val="24"/>
        </w:rPr>
        <w:t xml:space="preserve"> (ч</w:t>
      </w:r>
      <w:r w:rsidRPr="00B07CAF">
        <w:rPr>
          <w:b w:val="0"/>
          <w:bCs w:val="0"/>
          <w:color w:val="000000" w:themeColor="text1"/>
          <w:sz w:val="24"/>
          <w:szCs w:val="24"/>
        </w:rPr>
        <w:t>асть 1</w:t>
      </w:r>
      <w:r w:rsidR="008C2404">
        <w:rPr>
          <w:b w:val="0"/>
          <w:bCs w:val="0"/>
          <w:color w:val="000000" w:themeColor="text1"/>
          <w:sz w:val="24"/>
          <w:szCs w:val="24"/>
        </w:rPr>
        <w:t>)</w:t>
      </w:r>
      <w:r w:rsidR="008C2404">
        <w:rPr>
          <w:b w:val="0"/>
          <w:bCs w:val="0"/>
          <w:color w:val="000000" w:themeColor="text1"/>
          <w:sz w:val="24"/>
          <w:szCs w:val="24"/>
          <w:lang w:val="haw-US"/>
        </w:rPr>
        <w:t>,</w:t>
      </w:r>
      <w:r w:rsidRPr="00B07CAF">
        <w:rPr>
          <w:b w:val="0"/>
          <w:bCs w:val="0"/>
          <w:color w:val="000000" w:themeColor="text1"/>
          <w:sz w:val="24"/>
          <w:szCs w:val="24"/>
        </w:rPr>
        <w:t xml:space="preserve"> 2014.</w:t>
      </w:r>
    </w:p>
    <w:p w14:paraId="3542CDD7" w14:textId="77777777" w:rsidR="00845E92" w:rsidRPr="00B07CAF" w:rsidRDefault="00845E92" w:rsidP="00B07C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bdr w:val="none" w:sz="0" w:space="0" w:color="auto"/>
          <w:lang w:val="ru-RU" w:eastAsia="ru-RU"/>
        </w:rPr>
      </w:pPr>
    </w:p>
    <w:sectPr w:rsidR="00845E92" w:rsidRPr="00B07CA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FB4C" w14:textId="77777777" w:rsidR="006D547B" w:rsidRDefault="006D547B">
      <w:r>
        <w:separator/>
      </w:r>
    </w:p>
  </w:endnote>
  <w:endnote w:type="continuationSeparator" w:id="0">
    <w:p w14:paraId="13168EBE" w14:textId="77777777" w:rsidR="006D547B" w:rsidRDefault="006D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678A" w14:textId="77777777" w:rsidR="006D547B" w:rsidRDefault="006D547B">
      <w:r>
        <w:separator/>
      </w:r>
    </w:p>
  </w:footnote>
  <w:footnote w:type="continuationSeparator" w:id="0">
    <w:p w14:paraId="0E5D823F" w14:textId="77777777" w:rsidR="006D547B" w:rsidRDefault="006D5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0F25"/>
    <w:multiLevelType w:val="hybridMultilevel"/>
    <w:tmpl w:val="A788B74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6E1"/>
    <w:multiLevelType w:val="hybridMultilevel"/>
    <w:tmpl w:val="33B4FD1A"/>
    <w:lvl w:ilvl="0" w:tplc="92A698D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C"/>
    <w:rsid w:val="00013F60"/>
    <w:rsid w:val="0004668F"/>
    <w:rsid w:val="0008537F"/>
    <w:rsid w:val="000D4E52"/>
    <w:rsid w:val="001951C1"/>
    <w:rsid w:val="00196D8B"/>
    <w:rsid w:val="001B4F8B"/>
    <w:rsid w:val="001D262A"/>
    <w:rsid w:val="001F4487"/>
    <w:rsid w:val="002049E6"/>
    <w:rsid w:val="002365A6"/>
    <w:rsid w:val="00254CF4"/>
    <w:rsid w:val="0027260E"/>
    <w:rsid w:val="0029159F"/>
    <w:rsid w:val="00302B03"/>
    <w:rsid w:val="00337AD6"/>
    <w:rsid w:val="003A5ED6"/>
    <w:rsid w:val="003B0230"/>
    <w:rsid w:val="003B6DA8"/>
    <w:rsid w:val="003C732A"/>
    <w:rsid w:val="00415209"/>
    <w:rsid w:val="00496B27"/>
    <w:rsid w:val="004B64EF"/>
    <w:rsid w:val="004C5ED9"/>
    <w:rsid w:val="0053504C"/>
    <w:rsid w:val="005B4025"/>
    <w:rsid w:val="005D172B"/>
    <w:rsid w:val="005E07C0"/>
    <w:rsid w:val="00635F24"/>
    <w:rsid w:val="00642E3F"/>
    <w:rsid w:val="006B1760"/>
    <w:rsid w:val="006B6BA8"/>
    <w:rsid w:val="006D547B"/>
    <w:rsid w:val="006D6CC6"/>
    <w:rsid w:val="006E111A"/>
    <w:rsid w:val="007276F8"/>
    <w:rsid w:val="00764CB5"/>
    <w:rsid w:val="00773BC5"/>
    <w:rsid w:val="007A0633"/>
    <w:rsid w:val="00845E92"/>
    <w:rsid w:val="008A6A02"/>
    <w:rsid w:val="008B0A46"/>
    <w:rsid w:val="008C2404"/>
    <w:rsid w:val="008E7E8C"/>
    <w:rsid w:val="009702D8"/>
    <w:rsid w:val="00984A92"/>
    <w:rsid w:val="009A74AC"/>
    <w:rsid w:val="00A3670B"/>
    <w:rsid w:val="00AA0D4F"/>
    <w:rsid w:val="00B07CAF"/>
    <w:rsid w:val="00B92A5D"/>
    <w:rsid w:val="00BA0C28"/>
    <w:rsid w:val="00BE7FC8"/>
    <w:rsid w:val="00C9064E"/>
    <w:rsid w:val="00DA04DC"/>
    <w:rsid w:val="00DA3063"/>
    <w:rsid w:val="00DF3AA2"/>
    <w:rsid w:val="00DF42AE"/>
    <w:rsid w:val="00EA176E"/>
    <w:rsid w:val="00F4377A"/>
    <w:rsid w:val="00F814FF"/>
    <w:rsid w:val="00F82E51"/>
    <w:rsid w:val="00FB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4A130"/>
  <w15:docId w15:val="{28FB1823-3FB1-4D6F-986B-935F1B4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B07C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MTEquationSection">
    <w:name w:val="MTEquationSection"/>
    <w:basedOn w:val="a0"/>
    <w:rsid w:val="003A5ED6"/>
    <w:rPr>
      <w:rFonts w:ascii="Times New Roman" w:hAnsi="Times New Roman"/>
      <w:b/>
      <w:bCs/>
      <w:vanish/>
      <w:color w:val="FF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7">
    <w:name w:val="Placeholder Text"/>
    <w:basedOn w:val="a0"/>
    <w:uiPriority w:val="99"/>
    <w:semiHidden/>
    <w:rsid w:val="003A5ED6"/>
    <w:rPr>
      <w:color w:val="808080"/>
    </w:rPr>
  </w:style>
  <w:style w:type="paragraph" w:customStyle="1" w:styleId="MTDisplayEquation">
    <w:name w:val="MTDisplayEquation"/>
    <w:basedOn w:val="a4"/>
    <w:next w:val="a"/>
    <w:link w:val="MTDisplayEquation0"/>
    <w:rsid w:val="00773BC5"/>
    <w:pPr>
      <w:tabs>
        <w:tab w:val="center" w:pos="4820"/>
        <w:tab w:val="right" w:pos="9640"/>
      </w:tabs>
      <w:jc w:val="both"/>
    </w:pPr>
    <w:rPr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5">
    <w:name w:val="По умолчанию Знак"/>
    <w:basedOn w:val="a0"/>
    <w:link w:val="a4"/>
    <w:rsid w:val="00773BC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MTDisplayEquation0">
    <w:name w:val="MTDisplayEquation Знак"/>
    <w:basedOn w:val="a5"/>
    <w:link w:val="MTDisplayEquation"/>
    <w:rsid w:val="00773BC5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8">
    <w:name w:val="FollowedHyperlink"/>
    <w:basedOn w:val="a0"/>
    <w:uiPriority w:val="99"/>
    <w:semiHidden/>
    <w:unhideWhenUsed/>
    <w:rsid w:val="00B07CAF"/>
    <w:rPr>
      <w:color w:val="FF00FF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07CAF"/>
    <w:rPr>
      <w:rFonts w:eastAsia="Times New Roman"/>
      <w:b/>
      <w:bCs/>
      <w:sz w:val="36"/>
      <w:szCs w:val="36"/>
      <w:bdr w:val="none" w:sz="0" w:space="0" w:color="auto"/>
    </w:rPr>
  </w:style>
  <w:style w:type="paragraph" w:styleId="a9">
    <w:name w:val="List Paragraph"/>
    <w:basedOn w:val="a"/>
    <w:uiPriority w:val="34"/>
    <w:qFormat/>
    <w:rsid w:val="00B07CAF"/>
    <w:pPr>
      <w:ind w:left="720"/>
      <w:contextualSpacing/>
    </w:pPr>
  </w:style>
  <w:style w:type="character" w:customStyle="1" w:styleId="apple-converted-space">
    <w:name w:val="apple-converted-space"/>
    <w:basedOn w:val="a0"/>
    <w:rsid w:val="005D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Евсеев</cp:lastModifiedBy>
  <cp:revision>3</cp:revision>
  <dcterms:created xsi:type="dcterms:W3CDTF">2021-10-16T11:41:00Z</dcterms:created>
  <dcterms:modified xsi:type="dcterms:W3CDTF">2021-10-16T11:42:00Z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