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한빛상사 청구수납규정</w:t>
      </w:r>
    </w:p>
    <w:p>
      <w:pPr>
        <w:pStyle w:val="Heading2"/>
      </w:pPr>
      <w:r>
        <w:t>제1장 총칙</w:t>
      </w:r>
    </w:p>
    <w:p>
      <w:pPr>
        <w:pStyle w:val="Heading3"/>
      </w:pPr>
      <w:r>
        <w:t>제1조(목적)</w:t>
      </w:r>
    </w:p>
    <w:p>
      <w:r>
        <w:t>이 규정은 한빛상사가 계약에 따라 고객에게 대금을 청구하고 수납하는 절차와 연체 및 독촉에 관한 기준을 정함을 목적으로 한다.</w:t>
      </w:r>
    </w:p>
    <w:p>
      <w:pPr>
        <w:pStyle w:val="Heading3"/>
      </w:pPr>
      <w:r>
        <w:t>제2조(정의)</w:t>
      </w:r>
    </w:p>
    <w:p>
      <w:r>
        <w:t>이 규정에서 사용하는 용어의 뜻은 다음과 같다.</w:t>
      </w:r>
    </w:p>
    <w:p>
      <w:r>
        <w:t>1. "청구서"란 회사가 계약에 따라 고객에게 대금 지급을 요청하는 문서를 말한다. 청구서는 청구ID, 계약ID, 청구일, 청구금액을 가진다.</w:t>
      </w:r>
    </w:p>
    <w:p>
      <w:r>
        <w:t>2. "청구금액"이란 하나의 청구서로 고객에게 청구하는 금액을 말하며, 한 계약의 청구금액 합계는 계약금액을 초과할 수 없다.</w:t>
      </w:r>
    </w:p>
    <w:p>
      <w:r>
        <w:t>3. "수납"이란 고객이 청구서에 따라 지급한 대금을 회사가 확인하고 받는 것을 말한다. 수납된 금액을 수납금액이라 한다.</w:t>
      </w:r>
    </w:p>
    <w:p>
      <w:r>
        <w:t>4. "수납상태"란 청구서별 대금 회수 상태를 말하며 완납, 부분수납, 미수납, 연체 중 하나로 구분한다.</w:t>
      </w:r>
    </w:p>
    <w:p>
      <w:r>
        <w:t>5. "연체"란 지급기한까지 청구금액 전액이 수납되지 않은 상태를 말한다.</w:t>
      </w:r>
    </w:p>
    <w:p>
      <w:r>
        <w:t>6. "미수금"이란 청구금액에서 수납금액을 뺀 금액을 말한다.</w:t>
      </w:r>
    </w:p>
    <w:p>
      <w:pPr>
        <w:pStyle w:val="Heading2"/>
      </w:pPr>
      <w:r>
        <w:t>제2장 청구</w:t>
      </w:r>
    </w:p>
    <w:p>
      <w:pPr>
        <w:pStyle w:val="Heading3"/>
      </w:pPr>
      <w:r>
        <w:t>제3조(청구서 발행)</w:t>
      </w:r>
    </w:p>
    <w:p>
      <w:r>
        <w:t>① 재무팀은 계약별 청구 일정에 따라 청구서를 발행한다.</w:t>
      </w:r>
    </w:p>
    <w:p>
      <w:r>
        <w:t>② 하나의 계약에 대하여 여러 건의 청구서를 발행할 수 있으며, 각 청구서는 반드시 하나의 계약에 속한다.</w:t>
      </w:r>
    </w:p>
    <w:p>
      <w:r>
        <w:t>③ 청구ID는 "INV-"와 청구 연도 및 일련번호로 구성한다.</w:t>
      </w:r>
    </w:p>
    <w:p>
      <w:pPr>
        <w:pStyle w:val="Heading3"/>
      </w:pPr>
      <w:r>
        <w:t>제4조(지급기한)</w:t>
      </w:r>
    </w:p>
    <w:p>
      <w:r>
        <w:t>청구서의 지급기한은 청구일부터 30일로 한다. 다만, 계약에서 달리 정한 경우에는 그에 따른다.</w:t>
      </w:r>
    </w:p>
    <w:p>
      <w:pPr>
        <w:pStyle w:val="Heading2"/>
      </w:pPr>
      <w:r>
        <w:t>제3장 수납</w:t>
      </w:r>
    </w:p>
    <w:p>
      <w:pPr>
        <w:pStyle w:val="Heading3"/>
      </w:pPr>
      <w:r>
        <w:t>제5조(수납 확인)</w:t>
      </w:r>
    </w:p>
    <w:p>
      <w:r>
        <w:t>① 재무팀은 매 영업일 입금 내역을 확인하여 해당 청구서의 수납금액을 기록한다.</w:t>
      </w:r>
    </w:p>
    <w:p>
      <w:r>
        <w:t>② 수납금액이 청구금액과 같으면 수납상태를 완납으로, 청구금액보다 적으면 부분수납으로 기록한다.</w:t>
      </w:r>
    </w:p>
    <w:p>
      <w:r>
        <w:t>③ 지급기한 전까지 수납이 전혀 없는 청구서는 미수납으로 기록한다.</w:t>
      </w:r>
    </w:p>
    <w:p>
      <w:pPr>
        <w:pStyle w:val="Heading3"/>
      </w:pPr>
      <w:r>
        <w:t>제6조(연체 판정)</w:t>
      </w:r>
    </w:p>
    <w:p>
      <w:r>
        <w:t>지급기한이 지나도록 완납되지 않은 청구서는 수납상태를 연체로 변경하고, 연체일수는 지급기한 다음 날부터 계산한다.</w:t>
      </w:r>
    </w:p>
    <w:p>
      <w:pPr>
        <w:pStyle w:val="Heading2"/>
      </w:pPr>
      <w:r>
        <w:t>제4장 독촉</w:t>
      </w:r>
    </w:p>
    <w:p>
      <w:pPr>
        <w:pStyle w:val="Heading3"/>
      </w:pPr>
      <w:r>
        <w:t>제7조(독촉 절차)</w:t>
      </w:r>
    </w:p>
    <w:p>
      <w:r>
        <w:t>연체된 청구서에 대하여 담당자는 다음 단계에 따라 독촉한다.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연체일수</w:t>
            </w:r>
          </w:p>
        </w:tc>
        <w:tc>
          <w:tcPr>
            <w:tcW w:type="dxa" w:w="4320"/>
          </w:tcPr>
          <w:p>
            <w:r>
              <w:t>조치</w:t>
            </w:r>
          </w:p>
        </w:tc>
      </w:tr>
      <w:tr>
        <w:tc>
          <w:tcPr>
            <w:tcW w:type="dxa" w:w="4320"/>
          </w:tcPr>
          <w:p>
            <w:r>
              <w:t>1일 이상</w:t>
            </w:r>
          </w:p>
        </w:tc>
        <w:tc>
          <w:tcPr>
            <w:tcW w:type="dxa" w:w="4320"/>
          </w:tcPr>
          <w:p>
            <w:r>
              <w:t>담당자 유선 안내</w:t>
            </w:r>
          </w:p>
        </w:tc>
      </w:tr>
      <w:tr>
        <w:tc>
          <w:tcPr>
            <w:tcW w:type="dxa" w:w="4320"/>
          </w:tcPr>
          <w:p>
            <w:r>
              <w:t>30일 이상</w:t>
            </w:r>
          </w:p>
        </w:tc>
        <w:tc>
          <w:tcPr>
            <w:tcW w:type="dxa" w:w="4320"/>
          </w:tcPr>
          <w:p>
            <w:r>
              <w:t>서면 독촉장 발송</w:t>
            </w:r>
          </w:p>
        </w:tc>
      </w:tr>
      <w:tr>
        <w:tc>
          <w:tcPr>
            <w:tcW w:type="dxa" w:w="4320"/>
          </w:tcPr>
          <w:p>
            <w:r>
              <w:t>60일 이상</w:t>
            </w:r>
          </w:p>
        </w:tc>
        <w:tc>
          <w:tcPr>
            <w:tcW w:type="dxa" w:w="4320"/>
          </w:tcPr>
          <w:p>
            <w:r>
              <w:t>영업본부장 보고 및 신규 계약 중지</w:t>
            </w:r>
          </w:p>
        </w:tc>
      </w:tr>
      <w:tr>
        <w:tc>
          <w:tcPr>
            <w:tcW w:type="dxa" w:w="4320"/>
          </w:tcPr>
          <w:p>
            <w:r>
              <w:t>90일 이상</w:t>
            </w:r>
          </w:p>
        </w:tc>
        <w:tc>
          <w:tcPr>
            <w:tcW w:type="dxa" w:w="4320"/>
          </w:tcPr>
          <w:p>
            <w:r>
              <w:t>계약 해지 검토 및 법무팀 이관</w:t>
            </w:r>
          </w:p>
        </w:tc>
      </w:tr>
    </w:tbl>
    <w:p>
      <w:pPr>
        <w:pStyle w:val="Heading3"/>
      </w:pPr>
      <w:r>
        <w:t>제8조(독촉장)</w:t>
      </w:r>
    </w:p>
    <w:p>
      <w:r>
        <w:t>독촉장에는 청구ID, 미수금, 연체일수, 납부기한을 기재하며, 독촉장 발송 내역은 고객별로 기록한다.</w:t>
      </w:r>
    </w:p>
    <w:p>
      <w:pPr>
        <w:pStyle w:val="Heading3"/>
      </w:pPr>
      <w:r>
        <w:t>제9조(연체 고객 관리)</w:t>
      </w:r>
    </w:p>
    <w:p>
      <w:r>
        <w:t>연체 청구서를 보유한 고객은 연체 해소 시까지 신규 계약의 승인이 제한된다.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청구수납규정</dc:title>
  <dc:subject/>
  <dc:creator>OntoSpace samples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