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한빛상사 청구수납규정</w:t>
      </w:r>
    </w:p>
    <w:p>
      <w:pPr>
        <w:pStyle w:val="Heading2"/>
      </w:pPr>
      <w:r>
        <w:t>제1장 총칙</w:t>
      </w:r>
    </w:p>
    <w:p>
      <w:pPr>
        <w:pStyle w:val="Heading3"/>
      </w:pPr>
      <w:r>
        <w:t>제1조(목적)</w:t>
      </w:r>
    </w:p>
    <w:p>
      <w:r>
        <w:t>이 규정은 한빛상사(이하 "회사")가 계약에 따라 고객에게 대금을 청구하고 수납하는 절차와 미수금 관리 기준을 정하여 자금 흐름을 안정적으로 관리함을 목적으로 한다.</w:t>
      </w:r>
    </w:p>
    <w:p>
      <w:pPr>
        <w:pStyle w:val="Heading3"/>
      </w:pPr>
      <w:r>
        <w:t>제2조(정의)</w:t>
      </w:r>
    </w:p>
    <w:p>
      <w:r>
        <w:t>이 규정에서 사용하는 용어의 뜻은 다음과 같다.</w:t>
      </w:r>
    </w:p>
    <w:p>
      <w:r>
        <w:t>1. "청구서"란 회사가 계약에 따라 고객에게 대금 지급을 요청하는 문서를 말한다. 청구서는 청구ID, 계약ID, 청구일, 납기일, 청구금액, 수납금액, 수납상태로 관리한다.</w:t>
      </w:r>
    </w:p>
    <w:p>
      <w:r>
        <w:t>2. "청구ID"란 청구서를 식별하는 번호로서 "INV-", 청구 연도, 네 자리 일련번호로 구성한다(예: INV-20250137).</w:t>
      </w:r>
    </w:p>
    <w:p>
      <w:r>
        <w:t>3. "청구금액"이란 청구서에 기재된 부가가치세 제외 금액을 말하며, 단위는 원으로 한다.</w:t>
      </w:r>
    </w:p>
    <w:p>
      <w:r>
        <w:t>4. "수납"이란 고객이 청구서 대금을 회사 계좌로 입금한 것을 말한다. 수납 한 건은 수납ID, 청구ID, 수납일, 수납금액, 수납방법으로 기록한다.</w:t>
      </w:r>
    </w:p>
    <w:p>
      <w:r>
        <w:t>5. "수납금액"이란 하나의 청구서에 대하여 지금까지 입금된 금액의 합계를 말한다.</w:t>
      </w:r>
    </w:p>
    <w:p>
      <w:r>
        <w:t>6. "납기일"이란 고객이 청구금액을 지급하여야 하는 마지막 날을 말하며, 청구일부터 30일이 되는 날로 한다.</w:t>
      </w:r>
    </w:p>
    <w:p>
      <w:r>
        <w:t>7. "수납상태"란 청구서의 수납 진행 단계를 말하며 완납, 부분수납, 미수납, 연체 중 하나로 구분한다.</w:t>
      </w:r>
    </w:p>
    <w:p>
      <w:pPr>
        <w:pStyle w:val="Heading2"/>
      </w:pPr>
      <w:r>
        <w:t>제2장 청구</w:t>
      </w:r>
    </w:p>
    <w:p>
      <w:pPr>
        <w:pStyle w:val="Heading3"/>
      </w:pPr>
      <w:r>
        <w:t>제3조(청구 주체)</w:t>
      </w:r>
    </w:p>
    <w:p>
      <w:r>
        <w:t>청구서는 재무회계팀이 발행하며, 계약의 담당자는 청구 근거가 되는 주문 실적과 납품 확인서를 매월 말일까지 재무회계팀에 제출한다.</w:t>
      </w:r>
    </w:p>
    <w:p>
      <w:pPr>
        <w:pStyle w:val="Heading3"/>
      </w:pPr>
      <w:r>
        <w:t>제4조(청구 시기)</w:t>
      </w:r>
    </w:p>
    <w:p>
      <w:r>
        <w:t>① 정기 납품 계약은 매월 말일 기준으로 해당 월의 주문 금액을 합산하여 다음 달 5일까지 청구한다.</w:t>
      </w:r>
    </w:p>
    <w:p>
      <w:r>
        <w:t>② 일시 납품 계약은 납품 완료 후 7일 이내에 청구한다.</w:t>
      </w:r>
    </w:p>
    <w:p>
      <w:r>
        <w:t>③ 하나의 계약에 대하여 여러 건의 청구서를 발행할 수 있으나, 청구금액의 합계는 계약금액을 초과할 수 없다.</w:t>
      </w:r>
    </w:p>
    <w:p>
      <w:pPr>
        <w:pStyle w:val="Heading3"/>
      </w:pPr>
      <w:r>
        <w:t>제5조(청구서 기재 사항)</w:t>
      </w:r>
    </w:p>
    <w:p>
      <w:r>
        <w:t>청구서에는 고객명, 계약ID, 청구 대상 기간, 제품코드별 수량과 단가, 청구금액, 납기일, 입금 계좌를 기재한다.</w:t>
      </w:r>
    </w:p>
    <w:p>
      <w:pPr>
        <w:pStyle w:val="Heading2"/>
      </w:pPr>
      <w:r>
        <w:t>제3장 수납</w:t>
      </w:r>
    </w:p>
    <w:p>
      <w:pPr>
        <w:pStyle w:val="Heading3"/>
      </w:pPr>
      <w:r>
        <w:t>제6조(수납 방법)</w:t>
      </w:r>
    </w:p>
    <w:p>
      <w:r>
        <w:t>수납방법은 계좌이체, 전자어음, 법인카드 중 하나로 한다. 전자어음은 신용등급이 A 또는 B인 고객에게만 허용한다.</w:t>
      </w:r>
    </w:p>
    <w:p>
      <w:pPr>
        <w:pStyle w:val="Heading3"/>
      </w:pPr>
      <w:r>
        <w:t>제7조(수납 처리)</w:t>
      </w:r>
    </w:p>
    <w:p>
      <w:r>
        <w:t>① 재무회계팀은 입금을 확인한 날에 수납을 등록하고 수납ID를 부여한다. 수납ID는 "PAY-"와 여섯 자리 일련번호로 구성한다.</w:t>
      </w:r>
    </w:p>
    <w:p>
      <w:r>
        <w:t>② 한 청구서의 대금이 여러 번에 나누어 입금된 경우 입금마다 별도의 수납을 등록하고, 청구서의 수납금액은 그 합계로 갱신한다.</w:t>
      </w:r>
    </w:p>
    <w:p>
      <w:pPr>
        <w:pStyle w:val="Heading3"/>
      </w:pPr>
      <w:r>
        <w:t>제8조(수납상태의 결정)</w:t>
      </w:r>
    </w:p>
    <w:p>
      <w:r>
        <w:t>청구서의 수납상태는 다음 표에 따라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수납상태</w:t>
            </w:r>
          </w:p>
        </w:tc>
        <w:tc>
          <w:tcPr>
            <w:tcW w:type="dxa" w:w="4320"/>
          </w:tcPr>
          <w:p>
            <w:r>
              <w:t>기준</w:t>
            </w:r>
          </w:p>
        </w:tc>
      </w:tr>
      <w:tr>
        <w:tc>
          <w:tcPr>
            <w:tcW w:type="dxa" w:w="4320"/>
          </w:tcPr>
          <w:p>
            <w:r>
              <w:t>완납</w:t>
            </w:r>
          </w:p>
        </w:tc>
        <w:tc>
          <w:tcPr>
            <w:tcW w:type="dxa" w:w="4320"/>
          </w:tcPr>
          <w:p>
            <w:r>
              <w:t>수납금액이 청구금액과 같음</w:t>
            </w:r>
          </w:p>
        </w:tc>
      </w:tr>
      <w:tr>
        <w:tc>
          <w:tcPr>
            <w:tcW w:type="dxa" w:w="4320"/>
          </w:tcPr>
          <w:p>
            <w:r>
              <w:t>부분수납</w:t>
            </w:r>
          </w:p>
        </w:tc>
        <w:tc>
          <w:tcPr>
            <w:tcW w:type="dxa" w:w="4320"/>
          </w:tcPr>
          <w:p>
            <w:r>
              <w:t>수납금액이 0보다 크고 청구금액보다 작으며 납기일이 지나지 않았거나 지난 지 30일 이내</w:t>
            </w:r>
          </w:p>
        </w:tc>
      </w:tr>
      <w:tr>
        <w:tc>
          <w:tcPr>
            <w:tcW w:type="dxa" w:w="4320"/>
          </w:tcPr>
          <w:p>
            <w:r>
              <w:t>미수납</w:t>
            </w:r>
          </w:p>
        </w:tc>
        <w:tc>
          <w:tcPr>
            <w:tcW w:type="dxa" w:w="4320"/>
          </w:tcPr>
          <w:p>
            <w:r>
              <w:t>수납금액이 0이고 납기일이 지나지 않음</w:t>
            </w:r>
          </w:p>
        </w:tc>
      </w:tr>
      <w:tr>
        <w:tc>
          <w:tcPr>
            <w:tcW w:type="dxa" w:w="4320"/>
          </w:tcPr>
          <w:p>
            <w:r>
              <w:t>연체</w:t>
            </w:r>
          </w:p>
        </w:tc>
        <w:tc>
          <w:tcPr>
            <w:tcW w:type="dxa" w:w="4320"/>
          </w:tcPr>
          <w:p>
            <w:r>
              <w:t>납기일이 지난 지 30일을 넘었는데 수납금액이 청구금액보다 작음</w:t>
            </w:r>
          </w:p>
        </w:tc>
      </w:tr>
    </w:tbl>
    <w:p>
      <w:pPr>
        <w:pStyle w:val="Heading2"/>
      </w:pPr>
      <w:r>
        <w:t>제4장 미수금 관리</w:t>
      </w:r>
    </w:p>
    <w:p>
      <w:pPr>
        <w:pStyle w:val="Heading3"/>
      </w:pPr>
      <w:r>
        <w:t>제9조(독촉)</w:t>
      </w:r>
    </w:p>
    <w:p>
      <w:r>
        <w:t>① 납기일이 지난 청구서에 대하여 담당자는 7일 이내에 고객에게 전화와 전자우편으로 지급을 요청한다.</w:t>
      </w:r>
    </w:p>
    <w:p>
      <w:r>
        <w:t>② 연체가 된 청구서에 대하여 재무회계팀은 독촉장을 발송하고, 그 사실을 계약 이력에 기록한다.</w:t>
      </w:r>
    </w:p>
    <w:p>
      <w:pPr>
        <w:pStyle w:val="Heading3"/>
      </w:pPr>
      <w:r>
        <w:t>제10조(연체 고객 관리)</w:t>
      </w:r>
    </w:p>
    <w:p>
      <w:r>
        <w:t>① 연체 청구서가 있는 고객에게는 새로운 계약을 체결하지 않으며, 진행중인 계약의 신규 주문은 영업팀장의 확인을 받아야 한다.</w:t>
      </w:r>
    </w:p>
    <w:p>
      <w:r>
        <w:t>② 청구서 대금을 90일 이상 연체한 고객은 계약관리규정 제14조에 따라 계약 해지를 검토하고, 신용등급을 한 단계 낮춘다.</w:t>
      </w:r>
    </w:p>
    <w:p>
      <w:pPr>
        <w:pStyle w:val="Heading3"/>
      </w:pPr>
      <w:r>
        <w:t>제11조(대손 처리)</w:t>
      </w:r>
    </w:p>
    <w:p>
      <w:r>
        <w:t>연체 기간이 1년을 넘고 회수 가능성이 없다고 판단되는 청구서는 대표이사의 승인을 받아 대손으로 처리한다. 대손 처리된 청구서의 수납상태는 연체로 유지하고 비고란에 대손 처리일을 기록한다.</w:t>
      </w:r>
    </w:p>
    <w:p>
      <w:pPr>
        <w:pStyle w:val="Heading2"/>
      </w:pPr>
      <w:r>
        <w:t>제5장 보고</w:t>
      </w:r>
    </w:p>
    <w:p>
      <w:pPr>
        <w:pStyle w:val="Heading3"/>
      </w:pPr>
      <w:r>
        <w:t>제12조(월간 보고)</w:t>
      </w:r>
    </w:p>
    <w:p>
      <w:r>
        <w:t>재무회계팀은 매월 10일까지 수납상태별 청구서 건수와 금액, 고객별 연체 현황, 수납방법별 수납 금액을 경영지원본부장에게 보고한다.</w:t>
      </w:r>
    </w:p>
    <w:p>
      <w:pPr>
        <w:pStyle w:val="Heading3"/>
      </w:pPr>
      <w:r>
        <w:t>제13조(분기 실적 보고)</w:t>
      </w:r>
    </w:p>
    <w:p>
      <w:r>
        <w:t>분기 실적 보고에는 분기별 청구금액, 수납금액, 수납률(수납금액을 청구금액으로 나눈 값)을 영업팀별로 집계하여 포함한다.</w:t>
      </w:r>
    </w:p>
    <w:p>
      <w:pPr>
        <w:pStyle w:val="Heading2"/>
      </w:pPr>
      <w:r>
        <w:t>제6장 청구의 정정과 환불</w:t>
      </w:r>
    </w:p>
    <w:p>
      <w:pPr>
        <w:pStyle w:val="Heading3"/>
      </w:pPr>
      <w:r>
        <w:t>제14조(청구서 정정)</w:t>
      </w:r>
    </w:p>
    <w:p>
      <w:r>
        <w:t>① 청구금액이나 제품코드별 수량이 잘못 기재된 경우 재무회계팀은 기존 청구서를 취소하고 새로운 청구ID로 청구서를 다시 발행한다.</w:t>
      </w:r>
    </w:p>
    <w:p>
      <w:r>
        <w:t>② 취소된 청구서에 이미 입금된 수납금액은 새로 발행한 청구서의 수납으로 옮겨 기록하며, 수납상태는 제8조에 따라 다시 정한다.</w:t>
      </w:r>
    </w:p>
    <w:p>
      <w:r>
        <w:t>③ 정정 사유와 정정 전후의 청구금액은 계약 이력에 함께 기록한다.</w:t>
      </w:r>
    </w:p>
    <w:p>
      <w:pPr>
        <w:pStyle w:val="Heading3"/>
      </w:pPr>
      <w:r>
        <w:t>제15조(과오납 환불)</w:t>
      </w:r>
    </w:p>
    <w:p>
      <w:r>
        <w:t>① 고객이 청구금액보다 많은 금액을 입금한 경우 초과 금액은 다음 청구서의 수납으로 처리하거나 고객의 요청에 따라 환불한다.</w:t>
      </w:r>
    </w:p>
    <w:p>
      <w:r>
        <w:t>② 환불은 고객이 지정한 계좌로 계좌이체하며, 환불 금액과 환불일을 수납 기록의 비고란에 남긴다.</w:t>
      </w:r>
    </w:p>
    <w:p>
      <w:pPr>
        <w:pStyle w:val="Heading3"/>
      </w:pPr>
      <w:r>
        <w:t>제16조(세금계산서)</w:t>
      </w:r>
    </w:p>
    <w:p>
      <w:r>
        <w:t>재무회계팀은 청구서를 발행하는 날에 같은 금액의 전자세금계산서를 발행하고, 세금계산서 번호를 청구서에 기록한다. 부가가치세는 청구금액의 10%로 계산하며 청구금액에는 포함하지 않는다.</w:t>
      </w:r>
    </w:p>
    <w:p>
      <w:pPr>
        <w:pStyle w:val="Heading3"/>
      </w:pPr>
      <w:r>
        <w:t>제17조(자료의 보관)</w:t>
      </w:r>
    </w:p>
    <w:p>
      <w:r>
        <w:t>청구서, 수납 기록, 독촉장 발송 기록은 청구일부터 10년 동안 보관한다. 고객이 청구 내역이나 수납 내역의 확인을 요청하면 담당자는 3영업일 이내에 청구ID별 내역서를 제공한다.</w:t>
      </w:r>
    </w:p>
    <w:p>
      <w:pPr>
        <w:pStyle w:val="Heading3"/>
      </w:pPr>
      <w:r>
        <w:t>제18조(수납 계좌의 관리)</w:t>
      </w:r>
    </w:p>
    <w:p>
      <w:r>
        <w:t>수납 계좌는 재무회계팀장이 관리하며, 계좌를 새로 만들거나 바꾸는 경우 모든 진행중인 계약의 고객에게 변경 사실을 서면으로 통지한다. 담당자는 고객이 옛 계좌로 입금하지 않도록 다음 청구서 발행 전에 한 번 더 안내한다.</w:t>
      </w:r>
    </w:p>
    <w:p>
      <w:pPr>
        <w:pStyle w:val="Heading3"/>
      </w:pPr>
      <w:r>
        <w:t>제19조(예외 승인)</w:t>
      </w:r>
    </w:p>
    <w:p>
      <w:r>
        <w:t>고객의 사정으로 납기일을 늦추거나 분할 수납을 허용하려면 담당자가 사유와 새 납기일을 적어 영업팀장과 재무회계팀장의 승인을 받아야 한다. 승인된 새 납기일은 청구서에 기록하고, 수납상태는 새 납기일을 기준으로 정한다.</w:t>
      </w:r>
    </w:p>
    <w:p>
      <w:pPr>
        <w:pStyle w:val="Heading3"/>
      </w:pPr>
      <w:r>
        <w:t>제20조(수납 현황의 공유)</w:t>
      </w:r>
    </w:p>
    <w:p>
      <w:r>
        <w:t>재무회계팀은 매주 월요일에 연체 청구서와 부분수납 청구서 목록을 고객별로 정리하여 각 영업팀에 보낸다. 목록에는 고객ID, 고객명, 청구ID, 청구일, 납기일, 청구금액, 수납금액, 남은 금액, 담당자ID를 적는다. 담당자는 목록을 받은 주에 고객과 연락하여 지급 예정일을 확인하고, 그 결과를 재무회계팀에 회신한다.</w:t>
      </w:r>
    </w:p>
    <w:p>
      <w:pPr>
        <w:pStyle w:val="Heading3"/>
      </w:pPr>
      <w:r>
        <w:t>제21조(시스템 장애 시 처리)</w:t>
      </w:r>
    </w:p>
    <w:p>
      <w:r>
        <w:t>청구 시스템이나 수납 시스템에 장애가 생겨 청구서를 정해진 날에 발행하지 못한 경우 재무회계팀은 장애가 해소된 날에 청구서를 발행하고, 납기일은 원래 발행 예정일부터 30일로 한다. 장애 기간에 들어온 입금은 장애가 해소된 뒤 입금일을 기준으로 수납을 등록한다.</w:t>
      </w:r>
    </w:p>
    <w:p>
      <w:pPr>
        <w:pStyle w:val="Heading2"/>
      </w:pPr>
      <w:r>
        <w:t>부칙</w:t>
      </w:r>
    </w:p>
    <w:p>
      <w:r>
        <w:t>이 규정은 2019년 1월 1일부터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청구수납규정</dc:title>
  <dc:subject/>
  <dc:creator>AutoOntology samples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