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2.svg" ContentType="image/svg+xml"/>
  <Override PartName="/word/media/image5.svg" ContentType="image/svg+xml"/>
  <Override PartName="/word/media/image7.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D7452" w14:textId="77777777">
      <w:pPr>
        <w:pStyle w:val="Titledocument"/>
        <w:rPr>
          <w:rFonts w:ascii="Times New Roman" w:hAnsi="Times New Roman" w:cs="Times New Roman"/>
          <w:sz w:val="34"/>
          <w:szCs w:val="34"/>
          <w:lang w:eastAsia="ko-KR"/>
        </w:rPr>
      </w:pPr>
      <w:r>
        <w:t>A Low-Complexity Bit-Loading Engine with Conservative Bit-Error-Rate Estimation for Bidirectional Discrete Multitone Wireline Transceivers</w:t>
      </w:r>
    </w:p>
    <w:p w14:paraId="734447A0" w14:textId="77777777">
      <w:pPr>
        <w:pStyle w:val="Authors"/>
        <w:rPr>
          <w:rFonts w:ascii="Times New Roman" w:hAnsi="Times New Roman" w:cs="Times New Roman"/>
          <w:lang w:eastAsia="ko-KR"/>
        </w:rPr>
      </w:pPr>
      <w:r>
        <w:rPr>
          <w:highlight w:val="yellow"/>
        </w:rPr>
        <w:t>Author A, Author B and Supervisor C</w:t>
      </w:r>
    </w:p>
    <w:p w14:paraId="1D7CBD2A" w14:textId="77777777">
      <w:pPr>
        <w:pStyle w:val="Affiliation"/>
        <w:rPr>
          <w:rFonts w:ascii="Times New Roman" w:hAnsi="Times New Roman" w:cs="Times New Roman"/>
          <w:lang w:eastAsia="ko-KR"/>
        </w:rPr>
      </w:pPr>
      <w:r>
        <w:t>1 School of Electronics and Information Engineering, Korea Aerospace University, Goyang, Republic of Korea</w:t>
      </w:r>
    </w:p>
    <w:p w14:paraId="5571A76F" w14:textId="77777777">
      <w:pPr>
        <w:pStyle w:val="Affiliation"/>
        <w:spacing w:line="120" w:lineRule="auto"/>
        <w:rPr>
          <w:rFonts w:ascii="Times New Roman" w:hAnsi="Times New Roman" w:cs="Times New Roman"/>
          <w:lang w:eastAsia="ko-KR"/>
        </w:rPr>
      </w:pPr>
    </w:p>
    <w:p w14:paraId="0431297D" w14:textId="77777777">
      <w:pPr>
        <w:pStyle w:val="Affiliation"/>
        <w:spacing w:line="120" w:lineRule="auto"/>
        <w:rPr>
          <w:rFonts w:ascii="Times New Roman" w:hAnsi="Times New Roman" w:cs="Times New Roman"/>
          <w:lang w:eastAsia="ko-KR"/>
        </w:rPr>
      </w:pPr>
    </w:p>
    <w:p w14:paraId="6D1163EB" w14:textId="77777777">
      <w:pPr>
        <w:pStyle w:val="AuthNotes"/>
        <w:spacing w:before="160" w:after="60"/>
        <w:rPr>
          <w:rFonts w:cs="Times New Roman"/>
          <w:sz w:val="14"/>
          <w:szCs w:val="14"/>
          <w:lang w:eastAsia="ko-KR"/>
        </w:rPr>
      </w:pPr>
      <w:r>
        <w:rPr>
          <w:highlight w:val="yellow"/>
        </w:rPr>
        <w:t>Email: [corresponding author institutional email]</w:t>
      </w:r>
    </w:p>
    <w:p>
      <w:pPr>
        <w:pStyle w:val="AuthNotes"/>
        <w:spacing w:before="0" w:after="0"/>
      </w:pPr>
      <w:r>
        <w:rPr>
          <w:i/>
          <w:sz w:val="15"/>
        </w:rPr>
        <w:t xml:space="preserve">Running title: </w:t>
      </w:r>
      <w:r>
        <w:rPr>
          <w:sz w:val="15"/>
        </w:rPr>
        <w:t>Conservative Bit-Loading Engine</w:t>
      </w:r>
    </w:p>
    <w:p w14:paraId="4F332176" w14:textId="47C94E0D">
      <w:pPr>
        <w:pStyle w:val="Abstract"/>
        <w:rPr>
          <w:lang w:eastAsia="ko-KR"/>
        </w:rPr>
      </w:pPr>
      <w:r>
        <w:t>To exploit frequency-selective loss in high-speed wireline links, this letter presents an on-physical-layer (PHY) bit-error-rate (BER)-aware bit-loading engine that generates per-tone quadrature-amplitude-modulation (QAM) allocations from a signal-to-noise-ratio (SNR) profile during discrete multitone (DMT) training or retraining. The QAM-specific coefficient search accounts for Q16/Q24 register-transfer-level quantisation and truncation and prevents the fixed-point estimator from falling below the adopted erfc-based BER reference over the design SNR ranges. The engine uses a 32-entry exponential look-up table, Q24 BER arithmetic, transmitted-bit-weighted aggregation, divider-free group comparison, and per-QAM margin refinement. Across two channel profiles, its net-rate loss relative to the erfc-based dynamic-programming reference is at most 2.08%, and full-precision reevaluation of the final allocations using the adopted BER expression confirms that both satisfy the 10⁻⁴ target. Under an identical implementation flow, the proposed engine reduces total cell area by 41.0% and total power by 26.6% relative to an unbiased piecewise-Chebyshev RTL baseline; both complete allocation within 1 ms at 100 MHz.</w:t>
      </w:r>
    </w:p>
    <w:p>
      <w:pPr>
        <w:pStyle w:val="Para"/>
        <w:spacing w:before="0" w:after="0"/>
      </w:pPr>
      <w:r>
        <w:rPr>
          <w:i/>
          <w:sz w:val="15"/>
        </w:rPr>
        <w:t xml:space="preserve">Keywords: </w:t>
      </w:r>
      <w:r>
        <w:rPr>
          <w:sz w:val="15"/>
        </w:rPr>
        <w:t>adaptive bit loading; bit-error-rate estimation; discrete multitone; fixed-point arithmetic; look-up table; wireline transceiver</w:t>
      </w:r>
    </w:p>
    <w:p w14:paraId="779785B4" w14:textId="77777777">
      <w:pPr>
        <w:pStyle w:val="Para"/>
        <w:rPr>
          <w:lang w:eastAsia="ko-KR"/>
        </w:rPr>
      </w:pPr>
      <w:r>
        <w:rPr>
          <w:i/>
        </w:rPr>
        <w:t xml:space="preserve">Introduction: </w:t>
      </w:r>
      <w:r>
        <w:t>As data rates increase, high-speed chip-to-chip and backplane wireline links experience greater high-frequency channel loss and equalisation burden. Because pulse-amplitude-modulation formats carry a fixed number of bits per symbol, they cannot efficiently exploit the SNR distribution across channels with strong frequency selectivity or deep notches. Discrete multitone instead divides the wideband channel into many subcarriers and independently adjusts the QAM order of each tone, making it well suited to frequency-selective channels [1].</w:t>
      </w:r>
    </w:p>
    <w:p w14:paraId="0AF1426E" w14:textId="77777777">
      <w:pPr>
        <w:pStyle w:val="Para"/>
      </w:pPr>
      <w:r>
        <w:t>Although bit loading is well established, executing it rapidly in a compact PHY-internal digital controller during training or retraining presents a distinct implementation challenge. BER-informed bit/power-profile adjustment has improved performance by exploiting the subchannel error distribution, but prior work performed waveform generation, received-data processing, and profile calculation in MATLAB [2]. This work targets a synthesizable on-PHY engine that generates a new QAM map within hundreds of microseconds after an SNR profile becomes available, rather than continuous adaptation during normal data transmission.</w:t>
      </w:r>
    </w:p>
    <w:p w14:paraId="648E2923" w14:textId="017A45D9">
      <w:pPr>
        <w:pStyle w:val="Para"/>
        <w:rPr>
          <w:lang w:eastAsia="ko-KR"/>
        </w:rPr>
      </w:pPr>
      <w:r>
        <w:t>Under the application condition that the two directions of a matched link exhibit sufficiently similar channel quality, we consider a local-RX-to-local-TX architecture. RX-A uses the measured B-to-A SNR profile to compute the A-to-B map for local TX-A, and the opposite endpoint operates identically. A related concept has been reported for visible-light-communication rate selection using identical hardware at both endpoints [3]. This condition does not imply general reciprocity for all wireline links. The resulting architecture is shown in Fig. 1.</w:t>
      </w:r>
    </w:p>
    <w:p w14:paraId="3CCCFFE1" w14:textId="25FEB32B">
      <w:pPr>
        <w:pStyle w:val="Para"/>
        <w:jc w:val="center"/>
        <w:rPr>
          <w:lang w:eastAsia="ko-KR"/>
        </w:rPr>
      </w:pPr>
      <w:r>
        <w:rPr>
          <w:noProof/>
        </w:rPr>
        <w:drawing>
          <wp:inline distT="0" distB="0" distL="0" distR="0" wp14:anchorId="372C3B4F" wp14:editId="1CB83229">
            <wp:extent cx="2981960" cy="1824990"/>
            <wp:effectExtent l="0" t="0" r="0" b="0"/>
            <wp:docPr id="1064459276" name="그래픽 1" descr="Bidirectional discrete multitone transceiver architecture and proposed bit-loading 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459276" name=""/>
                    <pic:cNvPicPr/>
                  </pic:nvPicPr>
                  <pic:blipFill>
                    <a:blip r:embed="rId8">
                      <a:extLst>
                        <a:ext uri="{96DAC541-7B7A-43D3-8B79-37D633B846F1}">
                          <asvg:svgBlip xmlns:asvg="http://schemas.microsoft.com/office/drawing/2016/SVG/main" r:embed="rId9"/>
                        </a:ext>
                      </a:extLst>
                    </a:blip>
                    <a:stretch>
                      <a:fillRect/>
                    </a:stretch>
                  </pic:blipFill>
                  <pic:spPr>
                    <a:xfrm>
                      <a:off x="0" y="0"/>
                      <a:ext cx="2981960" cy="1824990"/>
                    </a:xfrm>
                    <a:prstGeom prst="rect">
                      <a:avLst/>
                    </a:prstGeom>
                  </pic:spPr>
                </pic:pic>
              </a:graphicData>
            </a:graphic>
          </wp:inline>
        </w:drawing>
      </w:r>
    </w:p>
    <w:p w14:paraId="1F811E40" w14:textId="77777777">
      <w:pPr>
        <w:pStyle w:val="FigureCaption"/>
      </w:pPr>
      <w:r>
        <w:t>Fig. 1 Proposed local-RX-to-local-TX bidirectional discrete multitone architecture and conservative-Q24 on-PHY bit-loading engine. The erfc-based DP oracle is used only as an offline reference and is not included in the RTL datapath.</w:t>
      </w:r>
    </w:p>
    <w:p w14:paraId="377249FA" w14:textId="39665891">
      <w:pPr>
        <w:pStyle w:val="Para"/>
      </w:pPr>
      <w:r>
        <w:rPr>
          <w:i/>
        </w:rPr>
        <w:t xml:space="preserve">Proposed engine: </w:t>
      </w:r>
      <w:r>
        <w:t>The evaluation system uses a 20 Gsample/s sampling rate, a 512-point FFT/IFFT, a 40-sample cyclic prefix, 255 active positive-frequency tones, and 4/16/64/256-QAM. The engine receives Q16 per-tone SNRs obtained during training or retraining; the base thresholds for 4-, 16-, 64-, and 256-QAM are 6, 12, 18, and 24 dB, respectively. The performance reference is an offline dynamic-programming (DP) oracle that evaluates the adopted erfc-based BER expression using the same Q16 SNRs and candidate set {unused, 4-QAM, 16-QAM, 64-QAM, 256-QAM} to maximise the total loaded bits subject to a transmitted-bit-weighted BER of at most 10⁻⁴. We adopt the standard high-SNR BER approximation for Gray-coded square M-QAM [4]:</w:t>
      </w:r>
    </w:p>
    <w:p w14:paraId="368CD5A9" w14:textId="77777777">
      <w:pPr>
        <w:pStyle w:val="DisplayFormula"/>
      </w:pPr>
      <m:oMath>
        <m:sSubSup>
          <m:sSubSupPr>
            <m:ctrlPr>
              <w:rPr>
                <w:rFonts w:ascii="Cambria Math" w:hAnsi="Cambria Math"/>
              </w:rPr>
            </m:ctrlPr>
          </m:sSubSupPr>
          <m:e>
            <m:r>
              <w:rPr>
                <w:rFonts w:ascii="Cambria Math" w:hAnsi="Cambria Math"/>
              </w:rPr>
              <m:t>P</m:t>
            </m:r>
          </m:e>
          <m:sub>
            <m:r>
              <w:rPr>
                <w:rFonts w:ascii="Cambria Math" w:hAnsi="Cambria Math"/>
              </w:rPr>
              <m:t>b</m:t>
            </m:r>
          </m:sub>
          <m:sup>
            <m:r>
              <m:rPr>
                <m:sty m:val="p"/>
              </m:rPr>
              <w:rPr>
                <w:rFonts w:ascii="Cambria Math" w:hAnsi="Cambria Math"/>
              </w:rPr>
              <m:t>ref</m:t>
            </m:r>
          </m:sup>
        </m:sSubSup>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γ</m:t>
            </m:r>
          </m:e>
        </m:d>
        <m:r>
          <m:rPr>
            <m:sty m:val="p"/>
          </m:rPr>
          <w:rPr>
            <w:rFonts w:ascii="Cambria Math" w:hAnsi="Cambria Math"/>
          </w:rPr>
          <m:t>=</m:t>
        </m:r>
        <m:f>
          <m:fPr>
            <m:ctrlPr>
              <w:rPr>
                <w:rFonts w:ascii="Cambria Math" w:hAnsi="Cambria Math"/>
              </w:rPr>
            </m:ctrlPr>
          </m:fPr>
          <m:num>
            <m:r>
              <w:rPr>
                <w:rFonts w:ascii="Cambria Math" w:hAnsi="Cambria Math"/>
              </w:rPr>
              <m:t>2</m:t>
            </m:r>
          </m:num>
          <m:den>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M</m:t>
            </m:r>
          </m:den>
        </m:f>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M</m:t>
                    </m:r>
                  </m:e>
                </m:rad>
              </m:den>
            </m:f>
          </m:e>
        </m:d>
        <m:r>
          <m:rPr>
            <m:sty m:val="p"/>
          </m:rPr>
          <w:rPr>
            <w:rFonts w:ascii="Cambria Math" w:hAnsi="Cambria Math"/>
          </w:rPr>
          <m:t>erfc</m:t>
        </m:r>
        <m:d>
          <m:dPr>
            <m:ctrlPr>
              <w:rPr>
                <w:rFonts w:ascii="Cambria Math" w:hAnsi="Cambria Math"/>
              </w:rPr>
            </m:ctrlPr>
          </m:dPr>
          <m:e>
            <m:rad>
              <m:radPr>
                <m:degHide m:val="1"/>
                <m:ctrlPr>
                  <w:rPr>
                    <w:rFonts w:ascii="Cambria Math" w:hAnsi="Cambria Math"/>
                  </w:rPr>
                </m:ctrlPr>
              </m:radPr>
              <m:deg/>
              <m:e>
                <m:f>
                  <m:fPr>
                    <m:ctrlPr>
                      <w:rPr>
                        <w:rFonts w:ascii="Cambria Math" w:hAnsi="Cambria Math"/>
                      </w:rPr>
                    </m:ctrlPr>
                  </m:fPr>
                  <m:num>
                    <m:r>
                      <w:rPr>
                        <w:rFonts w:ascii="Cambria Math" w:hAnsi="Cambria Math"/>
                      </w:rPr>
                      <m:t>3γ</m:t>
                    </m:r>
                  </m:num>
                  <m:den>
                    <m:r>
                      <w:rPr>
                        <w:rFonts w:ascii="Cambria Math" w:hAnsi="Cambria Math"/>
                      </w:rPr>
                      <m:t>2</m:t>
                    </m:r>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1</m:t>
                        </m:r>
                      </m:e>
                    </m:d>
                  </m:den>
                </m:f>
              </m:e>
            </m:rad>
          </m:e>
        </m:d>
      </m:oMath>
      <w:r>
        <w:tab/>
        <w:t>(1)</w:t>
      </w:r>
    </w:p>
    <w:p w14:paraId="53ED8611" w14:textId="33C07E78">
      <w:pPr>
        <w:pStyle w:val="Para"/>
        <w:rPr>
          <w:lang w:eastAsia="ko-KR"/>
        </w:rPr>
      </w:pPr>
      <w:r>
        <w:t>where erfc(·) is the complementary error function, M is the QAM order, and γ is the linear per-tone SNR. Instead of evaluating (1) directly, the engine implements the base-2 exponential form in (2) using fixed-point arithmetic.</w:t>
      </w:r>
    </w:p>
    <w:p w14:paraId="5A3D1390" w14:textId="77777777">
      <w:pPr>
        <w:pStyle w:val="DisplayFormula"/>
        <w:rPr>
          <w:lang w:eastAsia="ko-KR"/>
        </w:rPr>
      </w:pPr>
      <m:oMath>
        <m:sSub>
          <m:sSubPr>
            <m:ctrlPr>
              <w:rPr>
                <w:rFonts w:ascii="Cambria Math" w:hAnsi="Cambria Math"/>
              </w:rPr>
            </m:ctrlPr>
          </m:sSubPr>
          <m:e>
            <m:acc>
              <m:accPr>
                <m:ctrlPr>
                  <w:rPr>
                    <w:rFonts w:ascii="Cambria Math" w:hAnsi="Cambria Math"/>
                  </w:rPr>
                </m:ctrlPr>
              </m:accPr>
              <m:e>
                <m:r>
                  <w:rPr>
                    <w:rFonts w:ascii="Cambria Math" w:hAnsi="Cambria Math"/>
                    <w:lang w:eastAsia="ko-KR"/>
                  </w:rPr>
                  <m:t>P</m:t>
                </m:r>
              </m:e>
            </m:acc>
          </m:e>
          <m:sub>
            <m:r>
              <w:rPr>
                <w:rFonts w:ascii="Cambria Math" w:hAnsi="Cambria Math"/>
                <w:lang w:eastAsia="ko-KR"/>
              </w:rPr>
              <m:t>b</m:t>
            </m:r>
          </m:sub>
        </m:sSub>
        <m:d>
          <m:dPr>
            <m:ctrlPr>
              <w:rPr>
                <w:rFonts w:ascii="Cambria Math" w:hAnsi="Cambria Math"/>
              </w:rPr>
            </m:ctrlPr>
          </m:dPr>
          <m:e>
            <m:r>
              <w:rPr>
                <w:rFonts w:ascii="Cambria Math" w:hAnsi="Cambria Math"/>
                <w:lang w:eastAsia="ko-KR"/>
              </w:rPr>
              <m:t>M</m:t>
            </m:r>
            <m:r>
              <m:rPr>
                <m:sty m:val="p"/>
              </m:rPr>
              <w:rPr>
                <w:rFonts w:ascii="Cambria Math" w:hAnsi="Cambria Math"/>
                <w:lang w:eastAsia="ko-KR"/>
              </w:rPr>
              <m:t>,</m:t>
            </m:r>
            <m:r>
              <w:rPr>
                <w:rFonts w:ascii="Cambria Math" w:hAnsi="Cambria Math"/>
                <w:lang w:eastAsia="ko-KR"/>
              </w:rPr>
              <m:t>γ</m:t>
            </m:r>
          </m:e>
        </m:d>
        <m:r>
          <m:rPr>
            <m:sty m:val="p"/>
          </m:rPr>
          <w:rPr>
            <w:rFonts w:ascii="Cambria Math" w:hAnsi="Cambria Math"/>
            <w:lang w:eastAsia="ko-KR"/>
          </w:rPr>
          <m:t>=</m:t>
        </m:r>
        <m:sSub>
          <m:sSubPr>
            <m:ctrlPr>
              <w:rPr>
                <w:rFonts w:ascii="Cambria Math" w:hAnsi="Cambria Math"/>
              </w:rPr>
            </m:ctrlPr>
          </m:sSubPr>
          <m:e>
            <m:r>
              <w:rPr>
                <w:rFonts w:ascii="Cambria Math" w:hAnsi="Cambria Math"/>
                <w:lang w:eastAsia="ko-KR"/>
              </w:rPr>
              <m:t>C</m:t>
            </m:r>
          </m:e>
          <m:sub>
            <m:r>
              <w:rPr>
                <w:rFonts w:ascii="Cambria Math" w:hAnsi="Cambria Math"/>
                <w:lang w:eastAsia="ko-KR"/>
              </w:rPr>
              <m:t>M</m:t>
            </m:r>
          </m:sub>
        </m:sSub>
        <m:sSup>
          <m:sSupPr>
            <m:ctrlPr>
              <w:rPr>
                <w:rFonts w:ascii="Cambria Math" w:hAnsi="Cambria Math"/>
              </w:rPr>
            </m:ctrlPr>
          </m:sSupPr>
          <m:e>
            <m:r>
              <w:rPr>
                <w:rFonts w:ascii="Cambria Math" w:hAnsi="Cambria Math"/>
                <w:lang w:eastAsia="ko-KR"/>
              </w:rPr>
              <m:t>2</m:t>
            </m:r>
          </m:e>
          <m:sup>
            <m:r>
              <m:rPr>
                <m:sty m:val="p"/>
              </m:rPr>
              <w:rPr>
                <w:rFonts w:ascii="Cambria Math" w:hAnsi="Cambria Math"/>
                <w:lang w:eastAsia="ko-KR"/>
              </w:rPr>
              <m:t>-</m:t>
            </m:r>
            <m:sSub>
              <m:sSubPr>
                <m:ctrlPr>
                  <w:rPr>
                    <w:rFonts w:ascii="Cambria Math" w:hAnsi="Cambria Math"/>
                  </w:rPr>
                </m:ctrlPr>
              </m:sSubPr>
              <m:e>
                <m:r>
                  <w:rPr>
                    <w:rFonts w:ascii="Cambria Math" w:hAnsi="Cambria Math"/>
                    <w:lang w:eastAsia="ko-KR"/>
                  </w:rPr>
                  <m:t>K</m:t>
                </m:r>
              </m:e>
              <m:sub>
                <m:r>
                  <w:rPr>
                    <w:rFonts w:ascii="Cambria Math" w:hAnsi="Cambria Math"/>
                    <w:lang w:eastAsia="ko-KR"/>
                  </w:rPr>
                  <m:t>M</m:t>
                </m:r>
              </m:sub>
            </m:sSub>
            <m:r>
              <w:rPr>
                <w:rFonts w:ascii="Cambria Math" w:hAnsi="Cambria Math"/>
                <w:lang w:eastAsia="ko-KR"/>
              </w:rPr>
              <m:t>γ</m:t>
            </m:r>
          </m:sup>
        </m:sSup>
      </m:oMath>
      <w:r>
        <w:rPr>
          <w:lang w:eastAsia="ko-KR"/>
        </w:rPr>
        <w:tab/>
        <w:t>(2)</w:t>
      </w:r>
    </w:p>
    <w:p w14:paraId="74246FE6" w14:textId="2E752316">
      <w:pPr>
        <w:pStyle w:val="Para"/>
        <w:rPr>
          <w:lang w:eastAsia="ko-KR"/>
        </w:rPr>
      </w:pPr>
      <w:r>
        <w:rPr>
          <w:i/>
        </w:rPr>
        <w:t>K</w:t>
      </w:r>
      <w:r>
        <w:rPr>
          <w:i/>
          <w:vertAlign w:val="subscript"/>
        </w:rPr>
        <w:t>M</w:t>
      </w:r>
      <w:r>
        <w:t xml:space="preserve">, </w:t>
      </w:r>
      <w:r>
        <w:rPr>
          <w:i/>
        </w:rPr>
        <w:t>C</w:t>
      </w:r>
      <w:r>
        <w:rPr>
          <w:i/>
          <w:vertAlign w:val="subscript"/>
        </w:rPr>
        <w:t>M</w:t>
      </w:r>
      <w:r>
        <w:t>, and the SNR are quantised in Q16. The five fractional bits of Y=</w:t>
      </w:r>
      <w:r>
        <w:rPr>
          <w:i/>
        </w:rPr>
        <w:t>K</w:t>
      </w:r>
      <w:r>
        <w:rPr>
          <w:i/>
          <w:vertAlign w:val="subscript"/>
        </w:rPr>
        <w:t>M</w:t>
      </w:r>
      <w:r>
        <w:t xml:space="preserve">γ address a 32-entry Q16 look-up table, while the integer part provides the shift amount. The </w:t>
      </w:r>
      <w:r>
        <w:rPr>
          <w:i/>
        </w:rPr>
        <w:t>C</w:t>
      </w:r>
      <w:r>
        <w:rPr>
          <w:i/>
          <w:vertAlign w:val="subscript"/>
        </w:rPr>
        <w:t>M</w:t>
      </w:r>
      <w:r>
        <w:t xml:space="preserve">×LUT product forms a Q24 BER base, which is right-shifted by the integer part of Y to obtain the final per-tone BER. Registers R1-R3 align the tier, SNR, carrier index, and valid signal at each stage, allowing one tone to be accepted per clock after pipeline filling. </w:t>
      </w:r>
      <w:r>
        <w:rPr>
          <w:i/>
        </w:rPr>
        <w:t>K</w:t>
      </w:r>
      <w:r>
        <w:rPr>
          <w:i/>
          <w:vertAlign w:val="subscript"/>
        </w:rPr>
        <w:t>M</w:t>
      </w:r>
      <w:r>
        <w:t xml:space="preserve"> and </w:t>
      </w:r>
      <w:r>
        <w:rPr>
          <w:i/>
        </w:rPr>
        <w:t>C</w:t>
      </w:r>
      <w:r>
        <w:rPr>
          <w:i/>
          <w:vertAlign w:val="subscript"/>
        </w:rPr>
        <w:t>M</w:t>
      </w:r>
      <w:r>
        <w:t xml:space="preserve"> are selected such that the one-sided condition in (3) holds over the QAM-specific domain </w:t>
      </w:r>
      <w:r>
        <w:rPr>
          <w:i/>
        </w:rPr>
        <w:t>D</w:t>
      </w:r>
      <w:r>
        <w:rPr>
          <w:i/>
          <w:vertAlign w:val="subscript"/>
        </w:rPr>
        <w:t>M</w:t>
      </w:r>
      <w:r>
        <w:t>, which extends from each base threshold to the point at which the reference BER reaches 2⁻²⁰.</w:t>
      </w:r>
    </w:p>
    <w:p w14:paraId="09908758" w14:textId="6910C6D8">
      <w:pPr>
        <w:pStyle w:val="DisplayFormula"/>
        <w:rPr>
          <w:lang w:eastAsia="ko-KR"/>
        </w:rPr>
      </w:pPr>
      <m:oMath>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r>
              <w:rPr>
                <w:rFonts w:ascii="Cambria Math" w:hAnsi="Cambria Math"/>
              </w:rPr>
              <m:t>b</m:t>
            </m:r>
          </m:sub>
          <m:sup>
            <m:r>
              <m:rPr>
                <m:sty m:val="p"/>
              </m:rPr>
              <w:rPr>
                <w:rFonts w:ascii="Cambria Math" w:hAnsi="Cambria Math"/>
              </w:rPr>
              <m:t>Q24</m:t>
            </m:r>
          </m:sup>
        </m:sSubSup>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γ</m:t>
            </m:r>
          </m:e>
        </m:d>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b</m:t>
            </m:r>
          </m:sub>
          <m:sup>
            <m:r>
              <m:rPr>
                <m:sty m:val="p"/>
              </m:rPr>
              <w:rPr>
                <w:rFonts w:ascii="Cambria Math" w:hAnsi="Cambria Math"/>
              </w:rPr>
              <m:t>ref</m:t>
            </m:r>
          </m:sup>
        </m:sSubSup>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γ</m:t>
            </m:r>
          </m:e>
        </m:d>
        <m:r>
          <m:rPr>
            <m:sty m:val="p"/>
          </m:rPr>
          <w:rPr>
            <w:rFonts w:ascii="Cambria Math" w:hAnsi="Cambria Math"/>
          </w:rPr>
          <m:t>,</m:t>
        </m:r>
        <m:r>
          <w:rPr>
            <w:rFonts w:ascii="Cambria Math" w:hAnsi="Cambria Math"/>
          </w:rPr>
          <m:t>  γ</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D</m:t>
            </m:r>
          </m:e>
          <m:sub>
            <m:r>
              <w:rPr>
                <w:rFonts w:ascii="Cambria Math" w:hAnsi="Cambria Math"/>
              </w:rPr>
              <m:t>M</m:t>
            </m:r>
          </m:sub>
        </m:sSub>
      </m:oMath>
      <w:r>
        <w:tab/>
        <w:t>(3)</w:t>
      </w:r>
    </w:p>
    <w:p w14:paraId="6C83DE89" w14:textId="0A5F62F4">
      <w:pPr>
        <w:pStyle w:val="Para"/>
      </w:pPr>
      <w:r>
        <w:t>During coefficient generation, all 65,536 unsigned Q16 candidates for K are examined for each QAM order. For every K, the minimum C satisfying (3) is found, and the pair that minimises the worst-case estimator-to-reference-BER ratio is selected. In the order [4-QAM, 16-QAM, 64-QAM, 256-QAM], the resulting Q16 coefficients are K=[50734, 10213, 2436, 602] and C=[12756, 10206, 8057, 6506]. For example, the Q24 estimator-to-reference-BER ratio over the 64-QAM verification domain ranges from 1.00005 to 1.23031, with no underestimation. For very high γ, where the full-precision reference BER is below 2⁻²⁰ and the Q24 result may quantise to zero, a global residual guard is used instead of unnecessarily increasing the coefficients.</w:t>
      </w:r>
    </w:p>
    <w:p w14:paraId="19FD159F" w14:textId="60C2BF0C">
      <w:pPr>
        <w:pStyle w:val="Para"/>
      </w:pPr>
      <w:r>
        <w:t>Because the QAM orders carry different numbers of bits per tone, the controller evaluates link BER using a transmitted-bit-weighted average rather than a simple tone average.</w:t>
      </w:r>
    </w:p>
    <w:p w14:paraId="1D334550" w14:textId="77777777">
      <w:pPr>
        <w:pStyle w:val="DisplayFormula"/>
      </w:pPr>
      <m:oMath>
        <m:sSub>
          <m:sSubPr>
            <m:ctrlPr>
              <w:rPr>
                <w:rFonts w:ascii="Cambria Math" w:hAnsi="Cambria Math"/>
              </w:rPr>
            </m:ctrlPr>
          </m:sSubPr>
          <m:e>
            <m:r>
              <w:rPr>
                <w:rFonts w:ascii="Cambria Math" w:hAnsi="Cambria Math"/>
              </w:rPr>
              <m:t>P</m:t>
            </m:r>
          </m:e>
          <m:sub>
            <m:r>
              <w:rPr>
                <w:rFonts w:ascii="Cambria Math" w:hAnsi="Cambria Math"/>
              </w:rPr>
              <m:t>b</m:t>
            </m:r>
            <m:r>
              <m:rPr>
                <m:sty m:val="p"/>
              </m:rPr>
              <w:rPr>
                <w:rFonts w:ascii="Cambria Math" w:hAnsi="Cambria Math"/>
              </w:rPr>
              <m:t>,total</m:t>
            </m:r>
          </m:sub>
        </m:sSub>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b</m:t>
                    </m:r>
                  </m:e>
                  <m:sub>
                    <m:r>
                      <w:rPr>
                        <w:rFonts w:ascii="Cambria Math" w:hAnsi="Cambria Math"/>
                      </w:rPr>
                      <m:t>k</m:t>
                    </m:r>
                  </m:sub>
                </m:sSub>
              </m:e>
            </m:nary>
            <m:sSub>
              <m:sSubPr>
                <m:ctrlPr>
                  <w:rPr>
                    <w:rFonts w:ascii="Cambria Math" w:hAnsi="Cambria Math"/>
                  </w:rPr>
                </m:ctrlPr>
              </m:sSubPr>
              <m:e>
                <m:r>
                  <w:rPr>
                    <w:rFonts w:ascii="Cambria Math" w:hAnsi="Cambria Math"/>
                  </w:rPr>
                  <m:t>P</m:t>
                </m:r>
              </m:e>
              <m:sub>
                <m:r>
                  <w:rPr>
                    <w:rFonts w:ascii="Cambria Math" w:hAnsi="Cambria Math"/>
                  </w:rPr>
                  <m:t>b</m:t>
                </m:r>
                <m:r>
                  <m:rPr>
                    <m:sty m:val="p"/>
                  </m:rPr>
                  <w:rPr>
                    <w:rFonts w:ascii="Cambria Math" w:hAnsi="Cambria Math"/>
                  </w:rPr>
                  <m:t>,</m:t>
                </m:r>
                <m:r>
                  <w:rPr>
                    <w:rFonts w:ascii="Cambria Math" w:hAnsi="Cambria Math"/>
                  </w:rPr>
                  <m:t>k</m:t>
                </m:r>
              </m:sub>
            </m:sSub>
          </m:num>
          <m:den>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b</m:t>
                    </m:r>
                  </m:e>
                  <m:sub>
                    <m:r>
                      <w:rPr>
                        <w:rFonts w:ascii="Cambria Math" w:hAnsi="Cambria Math"/>
                      </w:rPr>
                      <m:t>k</m:t>
                    </m:r>
                  </m:sub>
                </m:sSub>
              </m:e>
            </m:nary>
          </m:den>
        </m:f>
      </m:oMath>
      <w:r>
        <w:tab/>
        <w:t>(4)</w:t>
      </w:r>
    </w:p>
    <w:p w14:paraId="52F6CBA7" w14:textId="3221907C">
      <w:pPr>
        <w:pStyle w:val="Para"/>
        <w:rPr>
          <w:lang w:eastAsia="ko-KR"/>
        </w:rPr>
      </w:pPr>
      <w:r>
        <w:t xml:space="preserve">The target is </w:t>
      </w:r>
      <w:r>
        <w:rPr>
          <w:i/>
        </w:rPr>
        <w:t>P</w:t>
      </w:r>
      <w:r>
        <w:rPr>
          <w:i/>
          <w:vertAlign w:val="subscript"/>
        </w:rPr>
        <w:t>b,target</w:t>
      </w:r>
      <w:r>
        <w:t>=10⁻⁴. To reserve the maximum possible missing contribution, 2⁻²⁰, from the low-BER quantisation tail, the runtime acceptance threshold is defined by (5). The RTL avoids division by comparing the weighted-error sum with the guarded target multiplied by the total number of loaded bits through cross multiplication.</w:t>
      </w:r>
    </w:p>
    <w:p w14:paraId="60EFAB58" w14:textId="77777777">
      <w:pPr>
        <w:pStyle w:val="DisplayFormula"/>
      </w:pP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b</m:t>
            </m:r>
            <m:r>
              <m:rPr>
                <m:sty m:val="p"/>
              </m:rPr>
              <w:rPr>
                <w:rFonts w:ascii="Cambria Math" w:hAnsi="Cambria Math"/>
              </w:rPr>
              <m:t>,total</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b</m:t>
            </m:r>
            <m:r>
              <m:rPr>
                <m:sty m:val="p"/>
              </m:rPr>
              <w:rPr>
                <w:rFonts w:ascii="Cambria Math" w:hAnsi="Cambria Math"/>
              </w:rPr>
              <m:t>,target</m:t>
            </m:r>
          </m:sub>
        </m:sSub>
        <m:r>
          <m:rPr>
            <m:sty m:val="p"/>
          </m:rPr>
          <w:rPr>
            <w:rFonts w:ascii="Cambria Math" w:hAnsi="Cambria Math"/>
          </w:rPr>
          <m:t>-</m:t>
        </m:r>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20</m:t>
            </m:r>
          </m:sup>
        </m:sSup>
        <m:r>
          <m:rPr>
            <m:sty m:val="p"/>
          </m:rPr>
          <w:rPr>
            <w:rFonts w:ascii="Cambria Math" w:hAnsi="Cambria Math"/>
          </w:rPr>
          <m:t>=</m:t>
        </m:r>
        <m:r>
          <w:rPr>
            <w:rFonts w:ascii="Cambria Math" w:hAnsi="Cambria Math"/>
          </w:rPr>
          <m:t>9.90463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tab/>
        <w:t>(5)</w:t>
      </w:r>
    </w:p>
    <w:p w14:paraId="6BECEAAF" w14:textId="77777777">
      <w:pPr>
        <w:pStyle w:val="Para"/>
        <w:rPr>
          <w:lang w:eastAsia="ko-KR"/>
        </w:rPr>
      </w:pPr>
      <w:r>
        <w:t>The engine FSM executes scan, BER evaluation, margin update, and output phases in sequence.</w:t>
      </w:r>
    </w:p>
    <w:p w14:paraId="7AF431CF" w14:textId="02F7206A">
      <w:pPr>
        <w:pStyle w:val="DisplayFormula"/>
        <w:rPr>
          <w:rFonts w:ascii="Times New Roman" w:hAnsi="Times New Roman" w:cs="Times New Roman"/>
        </w:rPr>
      </w:pPr>
      <m:oMath>
        <m:sSub>
          <m:sSubPr>
            <m:ctrlPr>
              <w:rPr>
                <w:rFonts w:ascii="Cambria Math" w:hAnsi="Cambria Math"/>
              </w:rPr>
            </m:ctrlPr>
          </m:sSubPr>
          <m:e>
            <m:r>
              <w:rPr>
                <w:rFonts w:ascii="Cambria Math" w:hAnsi="Cambria Math"/>
              </w:rPr>
              <m:t>Th</m:t>
            </m:r>
          </m:e>
          <m:sub>
            <m:r>
              <w:rPr>
                <w:rFonts w:ascii="Cambria Math" w:hAnsi="Cambria Math"/>
              </w:rPr>
              <m:t>M,final</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M</m:t>
            </m:r>
          </m:sub>
        </m:sSub>
      </m:oMath>
      <w:r>
        <w:tab/>
        <w:t>(</w:t>
      </w:r>
      <w:r>
        <w:rPr>
          <w:rFonts w:hint="eastAsia"/>
          <w:lang w:eastAsia="ko-KR"/>
        </w:rPr>
        <w:t>6</w:t>
      </w:r>
      <w:r>
        <w:t>)</w:t>
      </w:r>
    </w:p>
    <w:p w14:paraId="658D3B77" w14:textId="701EE74B">
      <w:pPr>
        <w:pStyle w:val="Para"/>
        <w:rPr>
          <w:lang w:eastAsia="ko-KR"/>
        </w:rPr>
      </w:pPr>
      <w:r>
        <w:t xml:space="preserve">During each scan, the engine assigns each tone the highest QAM order whose base threshold </w:t>
      </w:r>
      <w:r>
        <w:rPr>
          <w:i/>
        </w:rPr>
        <w:t>T</w:t>
      </w:r>
      <w:r>
        <w:rPr>
          <w:i/>
          <w:vertAlign w:val="subscript"/>
        </w:rPr>
        <w:t>M</w:t>
      </w:r>
      <w:r>
        <w:t xml:space="preserve"> plus current QAM-specific margin </w:t>
      </w:r>
      <w:r>
        <w:rPr>
          <w:i/>
        </w:rPr>
        <w:t>μ</w:t>
      </w:r>
      <w:r>
        <w:rPr>
          <w:i/>
          <w:vertAlign w:val="subscript"/>
        </w:rPr>
        <w:t>M</w:t>
      </w:r>
      <w:r>
        <w:t xml:space="preserve"> does not exceed the tone SNR. If the guarded BER target is violated, the average estimated BERs of the four QAM groups are compared using their error sums and counts, and </w:t>
      </w:r>
      <w:r>
        <w:rPr>
          <w:i/>
        </w:rPr>
        <w:t>μ</w:t>
      </w:r>
      <w:r>
        <w:rPr>
          <w:i/>
          <w:vertAlign w:val="subscript"/>
        </w:rPr>
        <w:t>M</w:t>
      </w:r>
      <w:r>
        <w:t xml:space="preserve"> of the worst tier is increased by 6554/65536=0.100006 dB. Division is avoided through sequential cross multiplication. After the first valid allocation is found, each QAM margin is reduced by one step and the tones are rescanned. Among candidates satisfying the guarded target, the allocation with the largest loaded-bit count is retained. Scanning terminates when no further valid margin reduction is found, and the final allocation is output. Figure 2 compares the adopted erfc-based reference, the one-sided Q24 approximation, and the corresponding allocations.</w:t>
      </w:r>
    </w:p>
    <w:p w14:paraId="762F1EAA" w14:textId="77777777">
      <w:pPr>
        <w:pStyle w:val="Para"/>
        <w:jc w:val="center"/>
        <w:rPr>
          <w:lang w:eastAsia="ko-KR"/>
        </w:rPr>
      </w:pPr>
      <w:r>
        <w:rPr>
          <w:noProof/>
        </w:rPr>
        <w:drawing>
          <wp:inline distT="0" distB="0" distL="0" distR="0" wp14:anchorId="5EE78A2A" wp14:editId="5D475AC8">
            <wp:extent cx="2710892" cy="1741748"/>
            <wp:effectExtent l="0" t="0" r="0" b="1905"/>
            <wp:docPr id="2" name="Picture 2" descr="BER comparison between the erfc-based reference and conservative Q24 estim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conservative_ber.png"/>
                    <pic:cNvPicPr/>
                  </pic:nvPicPr>
                  <pic:blipFill>
                    <a:blip r:embed="rId10"/>
                    <a:stretch>
                      <a:fillRect/>
                    </a:stretch>
                  </pic:blipFill>
                  <pic:spPr>
                    <a:xfrm>
                      <a:off x="0" y="0"/>
                      <a:ext cx="2714110" cy="1741748"/>
                    </a:xfrm>
                    <a:prstGeom prst="rect">
                      <a:avLst/>
                    </a:prstGeom>
                  </pic:spPr>
                </pic:pic>
              </a:graphicData>
            </a:graphic>
          </wp:inline>
        </w:drawing>
      </w:r>
    </w:p>
    <w:p w14:paraId="4EABE681" w14:textId="0F4D52CE">
      <w:pPr>
        <w:pStyle w:val="Para"/>
        <w:jc w:val="center"/>
        <w:rPr>
          <w:lang w:eastAsia="ko-KR"/>
        </w:rPr>
      </w:pPr>
    </w:p>
    <w:p w14:paraId="6708F21B" w14:textId="08BFBD8D">
      <w:pPr>
        <w:pStyle w:val="Para"/>
        <w:ind w:firstLine="0"/>
        <w:rPr>
          <w:lang w:eastAsia="ko-KR"/>
        </w:rPr>
      </w:pPr>
      <w:r>
        <w:rPr>
          <w:noProof/>
        </w:rPr>
        <w:drawing>
          <wp:inline distT="0" distB="0" distL="0" distR="0" wp14:anchorId="2BE12237" wp14:editId="76EA5891">
            <wp:extent cx="2981960" cy="1172210"/>
            <wp:effectExtent l="0" t="0" r="8890" b="8890"/>
            <wp:docPr id="1923232550" name="그래픽 1" descr="Channel-25 erfc-based and proposed QAM allo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232550"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2981960" cy="1172210"/>
                    </a:xfrm>
                    <a:prstGeom prst="rect">
                      <a:avLst/>
                    </a:prstGeom>
                  </pic:spPr>
                </pic:pic>
              </a:graphicData>
            </a:graphic>
          </wp:inline>
        </w:drawing>
      </w:r>
      <w:r>
        <w:t xml:space="preserve"> </w:t>
      </w:r>
      <w:r>
        <w:rPr>
          <w:noProof/>
        </w:rPr>
        <w:drawing>
          <wp:inline distT="0" distB="0" distL="0" distR="0" wp14:anchorId="3ED77DB3" wp14:editId="1C1B319D">
            <wp:extent cx="2981960" cy="1172210"/>
            <wp:effectExtent l="0" t="0" r="8890" b="8890"/>
            <wp:docPr id="859984333" name="그래픽 1" descr="Two-null erfc-based and proposed QAM allo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984333"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2981960" cy="1172210"/>
                    </a:xfrm>
                    <a:prstGeom prst="rect">
                      <a:avLst/>
                    </a:prstGeom>
                  </pic:spPr>
                </pic:pic>
              </a:graphicData>
            </a:graphic>
          </wp:inline>
        </w:drawing>
      </w:r>
    </w:p>
    <w:p w14:paraId="08B8692E" w14:textId="6ADADBE0">
      <w:pPr>
        <w:pStyle w:val="FigureCaption"/>
      </w:pPr>
      <w:r>
        <w:t>Fig. 2 Adopted erfc-based reference and one-sided Q24 approximation for 4/16/64/256-QAM (top), with erfc-based and proposed allocations for the Channel-25 and two-null profiles (bottom). Each curve spans its QAM verification range from the base threshold to the reference BER of 2⁻²⁰.</w:t>
      </w:r>
    </w:p>
    <w:p w14:paraId="25A7C249" w14:textId="2B44863E">
      <w:pPr>
        <w:pStyle w:val="Para"/>
      </w:pPr>
      <w:r>
        <w:rPr>
          <w:i/>
        </w:rPr>
        <w:t xml:space="preserve">Results and discussion: </w:t>
      </w:r>
      <w:r>
        <w:t>We evaluate a pole-residue-based Channel-25 profile and a deterministic two-null profile. The offline erfc-based DP reference uses the same Q16 SNRs and candidate set and is not a synthesizable baseline. Relative to this reference, the rate changes from 38.261 to 37.464 Gb/s for Channel-25 and from 37.899 to 37.464 Gb/s for two-null, corresponding to rate losses of 2.08% and 1.15%, respectively.</w:t>
      </w:r>
    </w:p>
    <w:p w14:paraId="2FD52351" w14:textId="56CAC073">
      <w:pPr>
        <w:pStyle w:val="Para"/>
      </w:pPr>
      <w:r>
        <w:t>The runtime conservative-Q24 BERs of the proposed engine are 9.901×10⁻⁵ and 9.853×10⁻⁵ for the two profiles, whereas full-precision reevaluation of (1) for the same final allocations gives 8.229×10⁻⁵ and 8.178×10⁻⁵, respectively. Thus, although the runtime estimator stops allocation close to the target, both reference BERs remain below 10⁻⁴, consistent with the one-sided coefficient selection and 2⁻²⁰ residual guard. The erfc-based DP reference is a software-only global optimum under the adopted model and candidate set; hence, the rate gap represents the cost of the hardware-oriented estimator and margin-search/refinement controller.</w:t>
      </w:r>
    </w:p>
    <w:p w14:paraId="1EB8A821" w14:textId="29CD178C">
      <w:pPr>
        <w:pStyle w:val="Para"/>
      </w:pPr>
      <w:r>
        <w:t>Implementation cost is compared against an unbiased piecewise-Chebyshev RTL baseline with the same controller, BER target, Q16/Q24 interface, and one-tone-per-clock initiation interval. Unlike the offline erfc-based DP reference, this is a synthesizable hardware baseline and includes the same allocation controller as the proposed implementation.</w:t>
      </w:r>
    </w:p>
    <w:p w14:paraId="5D698A1D" w14:textId="3744CC2A">
      <w:pPr>
        <w:pStyle w:val="Para"/>
        <w:ind w:firstLineChars="100" w:firstLine="200"/>
        <w:rPr>
          <w:lang w:eastAsia="ko-KR"/>
        </w:rPr>
      </w:pPr>
      <w:r>
        <w:t>The unbiased Chebyshev baseline approximates h(z)=erfc(√z) over z∈[1.25,12.25) using 44 intervals of width 0.25 and a fourth-order polynomial in each interval. It uses Q30 coefficients and a four-stage Horner pipeline, yielding a seven-cycle datapath latency. Across the 720,896 representable Q16 z values, 363,139 cases (50.37%) fall below the directly evaluated erfc-based reference; thus, the baseline provides no one-sided guarantee. Nevertheless, its maximum relative underestimation in the target-centred range 5×10⁻⁵≤BER≤2×10⁻⁴ is only 0.0634%.</w:t>
      </w:r>
    </w:p>
    <w:tbl>
      <w:tblPr>
        <w:tblStyle w:val="ad"/>
        <w:tblW w:w="4070" w:type="dxa"/>
        <w:jc w:val="center"/>
        <w:tblLayout w:type="fixed"/>
        <w:tblLook w:val="04A0" w:firstRow="1" w:lastRow="0" w:firstColumn="1" w:lastColumn="0" w:noHBand="0" w:noVBand="1"/>
      </w:tblPr>
      <w:tblGrid>
        <w:gridCol w:w="1091"/>
        <w:gridCol w:w="1512"/>
        <w:gridCol w:w="1467"/>
      </w:tblGrid>
      <w:tr w14:paraId="5E5E8C6F" w14:textId="77777777">
        <w:trPr>
          <w:cantSplit/>
          <w:trHeight w:val="361"/>
          <w:jc w:val="center"/>
        </w:trPr>
        <w:tc>
          <w:tcPr>
            <w:tcW w:w="1091" w:type="dxa"/>
            <w:tcBorders>
              <w:top w:val="single" w:sz="6" w:space="0" w:color="B7B7B7"/>
              <w:left w:val="single" w:sz="6" w:space="0" w:color="B7B7B7"/>
              <w:bottom w:val="single" w:sz="6" w:space="0" w:color="B7B7B7"/>
              <w:right w:val="single" w:sz="6" w:space="0" w:color="B7B7B7"/>
              <w:tl2br w:val="single" w:sz="4" w:space="0" w:color="auto"/>
            </w:tcBorders>
            <w:shd w:val="clear" w:color="auto" w:fill="F3F3F3"/>
            <w:tcMar>
              <w:top w:w="30" w:type="dxa"/>
              <w:left w:w="30" w:type="dxa"/>
              <w:bottom w:w="30" w:type="dxa"/>
              <w:right w:w="30" w:type="dxa"/>
            </w:tcMar>
            <w:vAlign w:val="center"/>
          </w:tcPr>
          <w:p w14:paraId="2D16BB54" w14:textId="77777777">
            <w:pPr>
              <w:jc w:val="center"/>
            </w:pPr>
            <w:r>
              <w:t>Metric</w:t>
            </w:r>
          </w:p>
        </w:tc>
        <w:tc>
          <w:tcPr>
            <w:tcW w:w="1512" w:type="dxa"/>
            <w:tcMar>
              <w:top w:w="30" w:type="dxa"/>
              <w:left w:w="30" w:type="dxa"/>
              <w:bottom w:w="30" w:type="dxa"/>
              <w:right w:w="30" w:type="dxa"/>
            </w:tcMar>
            <w:vAlign w:val="center"/>
          </w:tcPr>
          <w:p w14:paraId="5C1D47FA" w14:textId="77777777">
            <w:pPr>
              <w:jc w:val="center"/>
            </w:pPr>
            <w:r>
              <w:t>Chebyshev RTL</w:t>
            </w:r>
          </w:p>
        </w:tc>
        <w:tc>
          <w:tcPr>
            <w:tcW w:w="1467" w:type="dxa"/>
            <w:tcMar>
              <w:top w:w="30" w:type="dxa"/>
              <w:left w:w="30" w:type="dxa"/>
              <w:bottom w:w="30" w:type="dxa"/>
              <w:right w:w="30" w:type="dxa"/>
            </w:tcMar>
            <w:vAlign w:val="center"/>
          </w:tcPr>
          <w:p w14:paraId="6A5F2014" w14:textId="77777777">
            <w:pPr>
              <w:jc w:val="center"/>
            </w:pPr>
            <w:r>
              <w:t>Proposed</w:t>
            </w:r>
          </w:p>
        </w:tc>
      </w:tr>
      <w:tr w14:paraId="152AF7D1" w14:textId="77777777">
        <w:trPr>
          <w:cantSplit/>
          <w:trHeight w:val="334"/>
          <w:jc w:val="center"/>
        </w:trPr>
        <w:tc>
          <w:tcPr>
            <w:tcW w:w="1091" w:type="dxa"/>
            <w:tcMar>
              <w:top w:w="30" w:type="dxa"/>
              <w:left w:w="30" w:type="dxa"/>
              <w:bottom w:w="30" w:type="dxa"/>
              <w:right w:w="30" w:type="dxa"/>
            </w:tcMar>
            <w:vAlign w:val="center"/>
          </w:tcPr>
          <w:p w14:paraId="6C3E711D" w14:textId="77777777">
            <w:pPr>
              <w:jc w:val="center"/>
            </w:pPr>
            <w:r>
              <w:t>Total cell area (tool units)</w:t>
            </w:r>
          </w:p>
        </w:tc>
        <w:tc>
          <w:tcPr>
            <w:tcW w:w="1512" w:type="dxa"/>
            <w:tcMar>
              <w:top w:w="30" w:type="dxa"/>
              <w:left w:w="30" w:type="dxa"/>
              <w:bottom w:w="30" w:type="dxa"/>
              <w:right w:w="30" w:type="dxa"/>
            </w:tcMar>
            <w:vAlign w:val="center"/>
          </w:tcPr>
          <w:p w14:paraId="328649DE" w14:textId="77777777">
            <w:pPr>
              <w:jc w:val="center"/>
            </w:pPr>
            <w:r>
              <w:t>50,813.64</w:t>
            </w:r>
          </w:p>
        </w:tc>
        <w:tc>
          <w:tcPr>
            <w:tcW w:w="1467" w:type="dxa"/>
            <w:tcMar>
              <w:top w:w="30" w:type="dxa"/>
              <w:left w:w="30" w:type="dxa"/>
              <w:bottom w:w="30" w:type="dxa"/>
              <w:right w:w="30" w:type="dxa"/>
            </w:tcMar>
            <w:vAlign w:val="center"/>
          </w:tcPr>
          <w:p w14:paraId="64CC8584" w14:textId="77777777">
            <w:pPr>
              <w:jc w:val="center"/>
            </w:pPr>
            <w:r>
              <w:t>29,958.48</w:t>
            </w:r>
          </w:p>
        </w:tc>
      </w:tr>
      <w:tr w14:paraId="5138CD00" w14:textId="77777777">
        <w:trPr>
          <w:cantSplit/>
          <w:trHeight w:val="334"/>
          <w:jc w:val="center"/>
        </w:trPr>
        <w:tc>
          <w:tcPr>
            <w:tcW w:w="1091" w:type="dxa"/>
            <w:tcMar>
              <w:top w:w="30" w:type="dxa"/>
              <w:left w:w="30" w:type="dxa"/>
              <w:bottom w:w="30" w:type="dxa"/>
              <w:right w:w="30" w:type="dxa"/>
            </w:tcMar>
            <w:vAlign w:val="center"/>
          </w:tcPr>
          <w:p w14:paraId="5CA8F5C9" w14:textId="77777777">
            <w:pPr>
              <w:jc w:val="center"/>
            </w:pPr>
            <w:r>
              <w:t>Total power (mW)</w:t>
            </w:r>
          </w:p>
        </w:tc>
        <w:tc>
          <w:tcPr>
            <w:tcW w:w="1512" w:type="dxa"/>
            <w:tcMar>
              <w:top w:w="30" w:type="dxa"/>
              <w:left w:w="30" w:type="dxa"/>
              <w:bottom w:w="30" w:type="dxa"/>
              <w:right w:w="30" w:type="dxa"/>
            </w:tcMar>
            <w:vAlign w:val="center"/>
          </w:tcPr>
          <w:p w14:paraId="58E9FC54" w14:textId="7103C3C4">
            <w:pPr>
              <w:jc w:val="center"/>
            </w:pPr>
            <w:r>
              <w:t>2.5048</w:t>
            </w:r>
          </w:p>
        </w:tc>
        <w:tc>
          <w:tcPr>
            <w:tcW w:w="1467" w:type="dxa"/>
            <w:tcMar>
              <w:top w:w="30" w:type="dxa"/>
              <w:left w:w="30" w:type="dxa"/>
              <w:bottom w:w="30" w:type="dxa"/>
              <w:right w:w="30" w:type="dxa"/>
            </w:tcMar>
            <w:vAlign w:val="center"/>
          </w:tcPr>
          <w:p w14:paraId="23821A54" w14:textId="4138D70B">
            <w:pPr>
              <w:jc w:val="center"/>
            </w:pPr>
            <w:r>
              <w:t>1.8381</w:t>
            </w:r>
          </w:p>
        </w:tc>
      </w:tr>
      <w:tr w14:paraId="72A7F3E6" w14:textId="77777777">
        <w:trPr>
          <w:cantSplit/>
          <w:trHeight w:val="199"/>
          <w:jc w:val="center"/>
        </w:trPr>
        <w:tc>
          <w:tcPr>
            <w:tcW w:w="1091" w:type="dxa"/>
            <w:tcMar>
              <w:top w:w="30" w:type="dxa"/>
              <w:left w:w="30" w:type="dxa"/>
              <w:bottom w:w="30" w:type="dxa"/>
              <w:right w:w="30" w:type="dxa"/>
            </w:tcMar>
            <w:vAlign w:val="center"/>
          </w:tcPr>
          <w:p w14:paraId="0B1D5398" w14:textId="77777777">
            <w:pPr>
              <w:jc w:val="center"/>
            </w:pPr>
            <w:r>
              <w:t>Channel-25 latency (μs)</w:t>
            </w:r>
          </w:p>
        </w:tc>
        <w:tc>
          <w:tcPr>
            <w:tcW w:w="1512" w:type="dxa"/>
            <w:tcMar>
              <w:top w:w="30" w:type="dxa"/>
              <w:left w:w="30" w:type="dxa"/>
              <w:bottom w:w="30" w:type="dxa"/>
              <w:right w:w="30" w:type="dxa"/>
            </w:tcMar>
            <w:vAlign w:val="center"/>
          </w:tcPr>
          <w:p w14:paraId="7F1C927B" w14:textId="5B55760B">
            <w:pPr>
              <w:jc w:val="center"/>
            </w:pPr>
            <w:r>
              <w:t>511.09</w:t>
            </w:r>
          </w:p>
        </w:tc>
        <w:tc>
          <w:tcPr>
            <w:tcW w:w="1467" w:type="dxa"/>
            <w:tcMar>
              <w:top w:w="30" w:type="dxa"/>
              <w:left w:w="30" w:type="dxa"/>
              <w:bottom w:w="30" w:type="dxa"/>
              <w:right w:w="30" w:type="dxa"/>
            </w:tcMar>
            <w:vAlign w:val="center"/>
          </w:tcPr>
          <w:p w14:paraId="062C7598" w14:textId="6DBC5556">
            <w:pPr>
              <w:jc w:val="center"/>
            </w:pPr>
            <w:r>
              <w:t>565.55</w:t>
            </w:r>
          </w:p>
        </w:tc>
      </w:tr>
      <w:tr w14:paraId="0EE49559" w14:textId="77777777">
        <w:trPr>
          <w:cantSplit/>
          <w:trHeight w:val="199"/>
          <w:jc w:val="center"/>
        </w:trPr>
        <w:tc>
          <w:tcPr>
            <w:tcW w:w="1091" w:type="dxa"/>
            <w:tcMar>
              <w:top w:w="30" w:type="dxa"/>
              <w:left w:w="30" w:type="dxa"/>
              <w:bottom w:w="30" w:type="dxa"/>
              <w:right w:w="30" w:type="dxa"/>
            </w:tcMar>
            <w:vAlign w:val="center"/>
          </w:tcPr>
          <w:p w14:paraId="34E45BB8" w14:textId="77777777">
            <w:pPr>
              <w:jc w:val="center"/>
            </w:pPr>
            <w:r>
              <w:t>Two-null latency (μs)</w:t>
            </w:r>
          </w:p>
        </w:tc>
        <w:tc>
          <w:tcPr>
            <w:tcW w:w="1512" w:type="dxa"/>
            <w:tcMar>
              <w:top w:w="30" w:type="dxa"/>
              <w:left w:w="30" w:type="dxa"/>
              <w:bottom w:w="30" w:type="dxa"/>
              <w:right w:w="30" w:type="dxa"/>
            </w:tcMar>
            <w:vAlign w:val="center"/>
          </w:tcPr>
          <w:p w14:paraId="379F6BE0" w14:textId="2C0F41C9">
            <w:pPr>
              <w:jc w:val="center"/>
            </w:pPr>
            <w:r>
              <w:t>581.03</w:t>
            </w:r>
          </w:p>
        </w:tc>
        <w:tc>
          <w:tcPr>
            <w:tcW w:w="1467" w:type="dxa"/>
            <w:tcMar>
              <w:top w:w="30" w:type="dxa"/>
              <w:left w:w="30" w:type="dxa"/>
              <w:bottom w:w="30" w:type="dxa"/>
              <w:right w:w="30" w:type="dxa"/>
            </w:tcMar>
            <w:vAlign w:val="center"/>
          </w:tcPr>
          <w:p w14:paraId="79FA3588" w14:textId="65FCB8BE">
            <w:pPr>
              <w:jc w:val="center"/>
            </w:pPr>
            <w:r>
              <w:t>578.53</w:t>
            </w:r>
          </w:p>
        </w:tc>
      </w:tr>
    </w:tbl>
    <w:p w14:paraId="042951AC" w14:textId="5609D63F">
      <w:pPr>
        <w:pStyle w:val="TableCaption"/>
        <w:keepNext w:val="0"/>
        <w:keepLines/>
      </w:pPr>
      <w:r>
        <w:t>Table 1 Tool-reported area, total power, and end-to-end latency comparison.</w:t>
      </w:r>
    </w:p>
    <w:p w14:paraId="402EF86B" w14:textId="3A2488B1">
      <w:pPr>
        <w:pStyle w:val="Para"/>
        <w:keepLines/>
      </w:pPr>
      <w:r>
        <w:t>With the same implementation flow, total cell area is 50,813.64 tool units for the unbiased piecewise-Chebyshev baseline and 29,958.48 for the proposed engine, a 41.0% reduction. Total power decreases by 26.6%, from 2.5048 to 1.8381 mW. Table 1 summarises these results and the end-to-end latencies.</w:t>
      </w:r>
    </w:p>
    <w:p>
      <w:pPr>
        <w:pStyle w:val="Para"/>
        <w:spacing w:before="0" w:after="0"/>
      </w:pPr>
      <w:r>
        <w:rPr>
          <w:i/>
          <w:sz w:val="14"/>
          <w:highlight w:val="yellow"/>
        </w:rPr>
        <w:t xml:space="preserve">Implementation details to complete before submission: </w:t>
      </w:r>
      <w:r>
        <w:rPr>
          <w:sz w:val="14"/>
          <w:highlight w:val="yellow"/>
        </w:rPr>
        <w:t>[standard-cell library/process and PVT corner; synthesis and power-analysis tools/versions; switching-activity method; external-memory inclusion; physical area unit.]</w:t>
      </w:r>
    </w:p>
    <w:p w14:paraId="72424362" w14:textId="53113F56">
      <w:pPr>
        <w:pStyle w:val="Para"/>
        <w:keepLines/>
      </w:pPr>
      <w:r>
        <w:t>At 100 MHz on Channel-25, the Chebyshev baseline and proposed engine require 511.09 and 565.55 μs, respectively. The baseline performs 186 scans and the proposed engine 210; therefore, the scan-count difference dominates the seven-cycle versus three-cycle datapath latency, making the baseline 54.46 μs faster. For two-null, the scan counts are similar (212 and 215), and the proposed engine is 2.50 μs faster. End-to-end latency therefore depends not only on BER-datapath depth but also on the number of margin-search/refinement scans induced by the estimator. Both implementations satisfy the 1 ms constraint for both profiles.</w:t>
      </w:r>
    </w:p>
    <w:p w14:paraId="64FCFEE7" w14:textId="5E276EA8">
      <w:pPr>
        <w:pStyle w:val="Para"/>
        <w:keepLines/>
      </w:pPr>
      <w:r>
        <w:rPr>
          <w:i/>
        </w:rPr>
        <w:t xml:space="preserve">Conclusion: </w:t>
      </w:r>
      <w:r>
        <w:t>This letter presented a conservative fixed-point BER-aware bit-loading engine for discrete-multitone wireline-transceiver training and retraining. QAM-specific K and C pairs are selected to avoid underestimating the adopted erfc-based reference over the design ranges, and the architecture combines a 2⁻²⁰ residual guard, transmitted-bit-weighted BER, divider-free group selection, and a two-phase margin search. Across two channel profiles, the engine limits the rate loss relative to the erfc-based DP reference to 2.08% while satisfying the full-precision BER target. Relative to the unbiased piecewise-Chebyshev RTL baseline, it reduces total cell area by 41.0% and total power by 26.6%; both implementations remain below 1 ms at 100 MHz.</w:t>
      </w:r>
    </w:p>
    <w:p>
      <w:pPr>
        <w:pStyle w:val="Para"/>
        <w:spacing w:before="0" w:after="0"/>
      </w:pPr>
      <w:r>
        <w:rPr>
          <w:i/>
          <w:sz w:val="15"/>
          <w:highlight w:val="yellow"/>
        </w:rPr>
        <w:t xml:space="preserve">Acknowledgments: </w:t>
      </w:r>
      <w:r>
        <w:rPr>
          <w:sz w:val="15"/>
          <w:highlight w:val="yellow"/>
        </w:rPr>
        <w:t>[Insert all funding and other support, or state “None”.]</w:t>
      </w:r>
    </w:p>
    <w:p>
      <w:pPr>
        <w:pStyle w:val="Para"/>
        <w:spacing w:before="0" w:after="0"/>
      </w:pPr>
      <w:r>
        <w:rPr>
          <w:i/>
          <w:sz w:val="15"/>
          <w:highlight w:val="yellow"/>
        </w:rPr>
        <w:t xml:space="preserve">Data availability statement: </w:t>
      </w:r>
      <w:r>
        <w:rPr>
          <w:sz w:val="15"/>
          <w:highlight w:val="yellow"/>
        </w:rPr>
        <w:t>[Insert the applicable Wiley data-availability statement.]</w:t>
      </w:r>
    </w:p>
    <w:p>
      <w:pPr>
        <w:pStyle w:val="Para"/>
        <w:spacing w:before="0" w:after="0"/>
      </w:pPr>
      <w:r>
        <w:rPr>
          <w:i/>
          <w:sz w:val="15"/>
          <w:highlight w:val="yellow"/>
        </w:rPr>
        <w:t xml:space="preserve">Conflict of interest: </w:t>
      </w:r>
      <w:r>
        <w:rPr>
          <w:sz w:val="15"/>
          <w:highlight w:val="yellow"/>
        </w:rPr>
        <w:t>[Declare any conflicts, or state “None”.]</w:t>
      </w:r>
    </w:p>
    <w:p>
      <w:pPr>
        <w:pStyle w:val="Para"/>
        <w:spacing w:before="0" w:after="0"/>
      </w:pPr>
      <w:r>
        <w:rPr>
          <w:i/>
          <w:sz w:val="15"/>
        </w:rPr>
        <w:t xml:space="preserve">AI use disclosure: </w:t>
      </w:r>
      <w:r>
        <w:rPr>
          <w:sz w:val="15"/>
        </w:rPr>
        <w:t>OpenAI ChatGPT was used for language editing, terminology checking, and manuscript-formatting assistance. The authors reviewed and take full responsibility for the final content.</w:t>
      </w:r>
    </w:p>
    <w:p w14:paraId="58CBE28C" w14:textId="77777777">
      <w:pPr>
        <w:pStyle w:val="ReferenceHead"/>
        <w:rPr>
          <w:rFonts w:ascii="Times New Roman" w:hAnsi="Times New Roman" w:cs="Times New Roman"/>
        </w:rPr>
      </w:pPr>
      <w:r>
        <w:t>References</w:t>
      </w:r>
    </w:p>
    <w:p w14:paraId="20BEEDA7" w14:textId="77777777">
      <w:pPr>
        <w:pStyle w:val="Bibentry"/>
        <w:rPr>
          <w:rFonts w:ascii="Times New Roman" w:hAnsi="Times New Roman" w:cs="Times New Roman"/>
        </w:rPr>
      </w:pPr>
      <w:r>
        <w:t>1. G. Kim, “Design Space Exploration of Single-Lane OFDM-Based Serial Links for High-Speed Wireline Communications,” IEEE Open Journal of Circuits and Systems 3 (2022): 134–146, https://doi.org/10.1109/OJCAS.2022.3189550.</w:t>
      </w:r>
    </w:p>
    <w:p w14:paraId="57AFDC82" w14:textId="77777777">
      <w:pPr>
        <w:pStyle w:val="Bibentry"/>
        <w:rPr>
          <w:rFonts w:ascii="Times New Roman" w:hAnsi="Times New Roman" w:cs="Times New Roman"/>
          <w:sz w:val="15"/>
          <w:lang w:eastAsia="ko-KR"/>
        </w:rPr>
      </w:pPr>
    </w:p>
    <w:p w14:paraId="10AB53F3" w14:textId="77777777">
      <w:pPr>
        <w:pStyle w:val="Bibentry"/>
        <w:rPr>
          <w:rFonts w:ascii="Times New Roman" w:hAnsi="Times New Roman" w:cs="Times New Roman"/>
        </w:rPr>
      </w:pPr>
      <w:r>
        <w:t>2. B. Vatankhahghadim, B. Radi, M. Hossain, and A. C. Carusone, “Spectrally Efficient DMT Operation With BER-Informed Dynamic Bit and Power Loading,” IEEE Access 10 (2022): 122061–122076, https://doi.org/10.1109/ACCESS.2022.3222757.</w:t>
      </w:r>
    </w:p>
    <w:p w14:paraId="17C05A43" w14:textId="77777777">
      <w:pPr>
        <w:pStyle w:val="Bibentry"/>
        <w:rPr>
          <w:rFonts w:ascii="Times New Roman" w:hAnsi="Times New Roman" w:cs="Times New Roman"/>
        </w:rPr>
      </w:pPr>
    </w:p>
    <w:p w14:paraId="49536CAB" w14:textId="77777777">
      <w:pPr>
        <w:pStyle w:val="Bibentry"/>
      </w:pPr>
      <w:r>
        <w:t>3. J. Zhang, X. Zhang, and G. Wu, “Dancing with Light: Predictive In-Frame Rate Selection for Visible Light Networks,” in Proceedings of IEEE INFOCOM 2015 (2015), 2434–2442, https://doi.org/10.1109/INFOCOM.2015.7218632.</w:t>
      </w:r>
    </w:p>
    <w:p>
      <w:pPr>
        <w:pStyle w:val="Bibentry"/>
        <w:spacing w:after="0"/>
      </w:pPr>
    </w:p>
    <w:p>
      <w:pPr>
        <w:pStyle w:val="Bibentry"/>
      </w:pPr>
      <w:r>
        <w:rPr>
          <w:rFonts w:ascii="Times New Roman" w:hAnsi="Times New Roman"/>
          <w:sz w:val="15"/>
        </w:rPr>
        <w:t>4. K. Cho and D. Yoon, “On the General BER Expression of One- and Two-Dimensional Amplitude Modulations,” IEEE Transactions on Communications 50, no. 7 (2002): 1074–1080, https://doi.org/10.1109/TCOMM.2002.800818.</w:t>
      </w:r>
    </w:p>
    <w:sectPr>
      <w:footerReference w:type="even" r:id="rId15"/>
      <w:footerReference w:type="default" r:id="rId16"/>
      <w:headerReference w:type="first" r:id="rId17"/>
      <w:footerReference w:type="first" r:id="rId18"/>
      <w:type w:val="continuous"/>
      <w:pgSz w:w="11232" w:h="15408"/>
      <w:pgMar w:top="520" w:right="780" w:bottom="520" w:left="780" w:header="560" w:footer="360" w:gutter="0"/>
      <w:cols w:num="2" w:space="28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E98F07" w14:textId="77777777">
      <w:pPr>
        <w:spacing w:after="0" w:line="240" w:lineRule="auto"/>
      </w:pPr>
      <w:r>
        <w:separator/>
      </w:r>
    </w:p>
  </w:endnote>
  <w:endnote w:type="continuationSeparator" w:id="0">
    <w:p w14:paraId="2B3DF8E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nux Biolinum O">
    <w:altName w:val="Times New Roman"/>
    <w:charset w:val="00"/>
    <w:family w:val="auto"/>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Helvetica-Light">
    <w:altName w:val="Times New Roman"/>
    <w:charset w:val="00"/>
    <w:family w:val="swiss"/>
    <w:pitch w:val="variable"/>
    <w:sig w:usb0="00000003" w:usb1="00000000" w:usb2="00000000" w:usb3="00000000" w:csb0="00000001" w:csb1="00000000"/>
  </w:font>
  <w:font w:name="Linux Biolinum">
    <w:altName w:val="Times New Roman"/>
    <w:charset w:val="00"/>
    <w:family w:val="auto"/>
    <w:pitch w:val="variable"/>
    <w:sig w:usb0="E0000AFF" w:usb1="5000E5FB" w:usb2="00000020" w:usb3="00000000" w:csb0="000001BF" w:csb1="00000000"/>
  </w:font>
  <w:font w:name="Linux Libertine">
    <w:altName w:val="Times New Roman"/>
    <w:charset w:val="00"/>
    <w:family w:val="auto"/>
    <w:pitch w:val="variable"/>
    <w:sig w:usb0="E0000AFF" w:usb1="5200E5FB" w:usb2="02000020" w:usb3="00000000" w:csb0="000001BF" w:csb1="00000000"/>
  </w:font>
  <w:font w:name="Arial Unicode MS">
    <w:panose1 w:val="020B0604020202020204"/>
    <w:charset w:val="80"/>
    <w:family w:val="swiss"/>
    <w:pitch w:val="variable"/>
    <w:sig w:usb0="F7FFAFFF" w:usb1="E9DFFFFF" w:usb2="0000003F" w:usb3="00000000" w:csb0="003F01FF" w:csb1="00000000"/>
  </w:font>
  <w:font w:name="MTSYN">
    <w:panose1 w:val="00000000000000000000"/>
    <w:charset w:val="00"/>
    <w:family w:val="auto"/>
    <w:notTrueType/>
    <w:pitch w:val="default"/>
    <w:sig w:usb0="00000003" w:usb1="00000000" w:usb2="00000000" w:usb3="00000000" w:csb0="00000001" w:csb1="00000000"/>
  </w:font>
  <w:font w:name="FormataOTF-Bold">
    <w:altName w:val="Calibri"/>
    <w:panose1 w:val="00000000000000000000"/>
    <w:charset w:val="00"/>
    <w:family w:val="auto"/>
    <w:notTrueType/>
    <w:pitch w:val="default"/>
    <w:sig w:usb0="00000003" w:usb1="00000000" w:usb2="00000000" w:usb3="00000000" w:csb0="00000001" w:csb1="00000000"/>
  </w:font>
  <w:font w:name="TimesLTStd-Roman">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Noto Serif CJK KR">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000" w:firstRow="0" w:lastRow="0" w:firstColumn="0" w:lastColumn="0" w:noHBand="0" w:noVBand="0"/>
    </w:tblPr>
    <w:tblGrid>
      <w:gridCol w:w="4917"/>
      <w:gridCol w:w="4755"/>
    </w:tblGrid>
    <w:tr w14:paraId="45866A59" w14:textId="77777777">
      <w:tc>
        <w:tcPr>
          <w:tcW w:w="2542" w:type="pct"/>
          <w:vAlign w:val="center"/>
        </w:tcPr>
        <w:p w14:paraId="2C5C68BF" w14:textId="77777777">
          <w:pPr>
            <w:pStyle w:val="a6"/>
            <w:ind w:right="360"/>
            <w:rPr>
              <w:rFonts w:ascii="Arial" w:hAnsi="Arial" w:cs="Arial"/>
              <w:sz w:val="18"/>
              <w:szCs w:val="18"/>
            </w:rPr>
          </w:pPr>
          <w:r>
            <w:rPr>
              <w:rStyle w:val="a9"/>
              <w:rFonts w:ascii="Arial" w:hAnsi="Arial" w:cs="Arial"/>
              <w:sz w:val="18"/>
              <w:szCs w:val="18"/>
            </w:rPr>
            <w:fldChar w:fldCharType="begin"/>
          </w:r>
          <w:r>
            <w:rPr>
              <w:rStyle w:val="a9"/>
              <w:rFonts w:ascii="Arial" w:hAnsi="Arial" w:cs="Arial"/>
              <w:sz w:val="18"/>
              <w:szCs w:val="18"/>
            </w:rPr>
            <w:instrText xml:space="preserve"> PAGE </w:instrText>
          </w:r>
          <w:r>
            <w:rPr>
              <w:rStyle w:val="a9"/>
              <w:rFonts w:ascii="Arial" w:hAnsi="Arial" w:cs="Arial"/>
              <w:sz w:val="18"/>
              <w:szCs w:val="18"/>
            </w:rPr>
            <w:fldChar w:fldCharType="separate"/>
          </w:r>
          <w:r>
            <w:rPr>
              <w:rStyle w:val="a9"/>
              <w:rFonts w:ascii="Arial" w:hAnsi="Arial" w:cs="Arial"/>
              <w:noProof/>
              <w:sz w:val="18"/>
              <w:szCs w:val="18"/>
            </w:rPr>
            <w:t>2</w:t>
          </w:r>
          <w:r>
            <w:rPr>
              <w:rStyle w:val="a9"/>
              <w:rFonts w:ascii="Arial" w:hAnsi="Arial" w:cs="Arial"/>
              <w:sz w:val="18"/>
              <w:szCs w:val="18"/>
            </w:rPr>
            <w:fldChar w:fldCharType="end"/>
          </w:r>
        </w:p>
      </w:tc>
      <w:tc>
        <w:tcPr>
          <w:tcW w:w="2458" w:type="pct"/>
          <w:vAlign w:val="center"/>
        </w:tcPr>
        <w:p w14:paraId="702B3B14" w14:textId="77777777">
          <w:pPr>
            <w:pStyle w:val="a6"/>
            <w:jc w:val="right"/>
            <w:rPr>
              <w:rFonts w:ascii="Arial" w:hAnsi="Arial" w:cs="Arial"/>
              <w:sz w:val="18"/>
              <w:szCs w:val="18"/>
            </w:rPr>
          </w:pPr>
          <w:r>
            <w:rPr>
              <w:rFonts w:ascii="Arial" w:hAnsi="Arial" w:cs="Arial"/>
              <w:i/>
              <w:sz w:val="18"/>
              <w:szCs w:val="18"/>
            </w:rPr>
            <w:t>ELECTRONICS LETTERS</w:t>
          </w:r>
          <w:r>
            <w:rPr>
              <w:rFonts w:ascii="Arial" w:hAnsi="Arial" w:cs="Arial"/>
              <w:sz w:val="18"/>
              <w:szCs w:val="18"/>
            </w:rPr>
            <w:t xml:space="preserve"> wileyonlinelibrary.com/</w:t>
          </w:r>
          <w:proofErr w:type="spellStart"/>
          <w:r>
            <w:rPr>
              <w:rFonts w:ascii="Arial" w:hAnsi="Arial" w:cs="Arial"/>
              <w:sz w:val="18"/>
              <w:szCs w:val="18"/>
            </w:rPr>
            <w:t>iet</w:t>
          </w:r>
          <w:proofErr w:type="spellEnd"/>
          <w:r>
            <w:rPr>
              <w:rFonts w:ascii="Arial" w:hAnsi="Arial" w:cs="Arial"/>
              <w:sz w:val="18"/>
              <w:szCs w:val="18"/>
            </w:rPr>
            <w:t>-el</w:t>
          </w:r>
        </w:p>
      </w:tc>
    </w:tr>
  </w:tbl>
  <w:p w14:paraId="50AAAA61" w14:textId="77777777">
    <w:pPr>
      <w:pStyle w:val="a6"/>
      <w:rPr>
        <w:rFonts w:ascii="Arial" w:hAnsi="Arial" w:cs="Arial"/>
        <w:sz w:val="14"/>
        <w:szCs w:val="1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000" w:firstRow="0" w:lastRow="0" w:firstColumn="0" w:lastColumn="0" w:noHBand="0" w:noVBand="0"/>
    </w:tblPr>
    <w:tblGrid>
      <w:gridCol w:w="5039"/>
      <w:gridCol w:w="4633"/>
    </w:tblGrid>
    <w:tr w14:paraId="7387FA3E" w14:textId="77777777">
      <w:tc>
        <w:tcPr>
          <w:tcW w:w="2605" w:type="pct"/>
          <w:vAlign w:val="center"/>
        </w:tcPr>
        <w:p w14:paraId="2F9DE8CB" w14:textId="77777777">
          <w:pPr>
            <w:pStyle w:val="a6"/>
            <w:ind w:right="360"/>
            <w:rPr>
              <w:rFonts w:ascii="Arial" w:hAnsi="Arial" w:cs="Arial"/>
              <w:sz w:val="18"/>
              <w:szCs w:val="18"/>
            </w:rPr>
          </w:pPr>
          <w:r>
            <w:rPr>
              <w:rFonts w:ascii="Arial" w:hAnsi="Arial" w:cs="Arial"/>
              <w:i/>
              <w:sz w:val="18"/>
              <w:szCs w:val="18"/>
            </w:rPr>
            <w:t>ELECTRONICS LETTERS</w:t>
          </w:r>
          <w:r>
            <w:rPr>
              <w:rFonts w:ascii="Arial" w:hAnsi="Arial" w:cs="Arial"/>
              <w:sz w:val="18"/>
              <w:szCs w:val="18"/>
            </w:rPr>
            <w:t xml:space="preserve"> wileyonlinelibrary.com/</w:t>
          </w:r>
          <w:proofErr w:type="spellStart"/>
          <w:r>
            <w:rPr>
              <w:rFonts w:ascii="Arial" w:hAnsi="Arial" w:cs="Arial"/>
              <w:sz w:val="18"/>
              <w:szCs w:val="18"/>
            </w:rPr>
            <w:t>iet</w:t>
          </w:r>
          <w:proofErr w:type="spellEnd"/>
          <w:r>
            <w:rPr>
              <w:rFonts w:ascii="Arial" w:hAnsi="Arial" w:cs="Arial"/>
              <w:sz w:val="18"/>
              <w:szCs w:val="18"/>
            </w:rPr>
            <w:t>-el</w:t>
          </w:r>
        </w:p>
      </w:tc>
      <w:tc>
        <w:tcPr>
          <w:tcW w:w="2395" w:type="pct"/>
          <w:vAlign w:val="center"/>
        </w:tcPr>
        <w:p w14:paraId="57F8815F" w14:textId="77777777">
          <w:pPr>
            <w:pStyle w:val="a6"/>
            <w:jc w:val="right"/>
            <w:rPr>
              <w:rFonts w:ascii="Arial" w:hAnsi="Arial" w:cs="Arial"/>
              <w:sz w:val="18"/>
              <w:szCs w:val="18"/>
            </w:rPr>
          </w:pPr>
          <w:r>
            <w:rPr>
              <w:rStyle w:val="a9"/>
              <w:rFonts w:ascii="Arial" w:hAnsi="Arial" w:cs="Arial"/>
              <w:sz w:val="18"/>
              <w:szCs w:val="18"/>
            </w:rPr>
            <w:fldChar w:fldCharType="begin"/>
          </w:r>
          <w:r>
            <w:rPr>
              <w:rStyle w:val="a9"/>
              <w:rFonts w:ascii="Arial" w:hAnsi="Arial" w:cs="Arial"/>
              <w:sz w:val="18"/>
              <w:szCs w:val="18"/>
            </w:rPr>
            <w:instrText xml:space="preserve"> PAGE </w:instrText>
          </w:r>
          <w:r>
            <w:rPr>
              <w:rStyle w:val="a9"/>
              <w:rFonts w:ascii="Arial" w:hAnsi="Arial" w:cs="Arial"/>
              <w:sz w:val="18"/>
              <w:szCs w:val="18"/>
            </w:rPr>
            <w:fldChar w:fldCharType="separate"/>
          </w:r>
          <w:r>
            <w:rPr>
              <w:rStyle w:val="a9"/>
              <w:rFonts w:ascii="Arial" w:hAnsi="Arial" w:cs="Arial"/>
              <w:noProof/>
              <w:sz w:val="18"/>
              <w:szCs w:val="18"/>
            </w:rPr>
            <w:t>3</w:t>
          </w:r>
          <w:r>
            <w:rPr>
              <w:rStyle w:val="a9"/>
              <w:rFonts w:ascii="Arial" w:hAnsi="Arial" w:cs="Arial"/>
              <w:sz w:val="18"/>
              <w:szCs w:val="18"/>
            </w:rPr>
            <w:fldChar w:fldCharType="end"/>
          </w:r>
        </w:p>
      </w:tc>
    </w:tr>
  </w:tbl>
  <w:p w14:paraId="42980978" w14:textId="77777777">
    <w:pPr>
      <w:pStyle w:val="a6"/>
      <w:rPr>
        <w:rFonts w:ascii="Arial" w:hAnsi="Arial" w:cs="Arial"/>
        <w:sz w:val="14"/>
        <w:szCs w:val="1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000" w:firstRow="0" w:lastRow="0" w:firstColumn="0" w:lastColumn="0" w:noHBand="0" w:noVBand="0"/>
    </w:tblPr>
    <w:tblGrid>
      <w:gridCol w:w="2923"/>
      <w:gridCol w:w="6749"/>
    </w:tblGrid>
    <w:tr w14:paraId="699E949A" w14:textId="77777777">
      <w:tc>
        <w:tcPr>
          <w:tcW w:w="1511" w:type="pct"/>
          <w:vAlign w:val="center"/>
        </w:tcPr>
        <w:p w14:paraId="7573031F" w14:textId="77777777">
          <w:pPr>
            <w:pStyle w:val="a6"/>
            <w:ind w:right="360"/>
            <w:rPr>
              <w:rFonts w:ascii="Arial" w:hAnsi="Arial" w:cs="Arial"/>
              <w:sz w:val="14"/>
              <w:szCs w:val="14"/>
            </w:rPr>
          </w:pPr>
          <w:r>
            <w:rPr>
              <w:rFonts w:ascii="Arial" w:hAnsi="Arial" w:cs="Arial"/>
              <w:sz w:val="14"/>
              <w:szCs w:val="14"/>
            </w:rPr>
            <w:t>VOLUME. 00 2020</w:t>
          </w:r>
        </w:p>
      </w:tc>
      <w:tc>
        <w:tcPr>
          <w:tcW w:w="3489" w:type="pct"/>
          <w:vAlign w:val="center"/>
        </w:tcPr>
        <w:p w14:paraId="584BA8FB" w14:textId="77777777">
          <w:pPr>
            <w:pStyle w:val="a6"/>
            <w:jc w:val="right"/>
            <w:rPr>
              <w:rFonts w:ascii="Arial" w:hAnsi="Arial" w:cs="Arial"/>
              <w:sz w:val="14"/>
              <w:szCs w:val="14"/>
            </w:rPr>
          </w:pPr>
          <w:r>
            <w:rPr>
              <w:rStyle w:val="a9"/>
              <w:rFonts w:ascii="Arial" w:hAnsi="Arial" w:cs="Arial"/>
              <w:sz w:val="14"/>
              <w:szCs w:val="14"/>
            </w:rPr>
            <w:fldChar w:fldCharType="begin"/>
          </w:r>
          <w:r>
            <w:rPr>
              <w:rStyle w:val="a9"/>
              <w:rFonts w:ascii="Arial" w:hAnsi="Arial" w:cs="Arial"/>
              <w:sz w:val="14"/>
              <w:szCs w:val="14"/>
            </w:rPr>
            <w:instrText xml:space="preserve"> PAGE </w:instrText>
          </w:r>
          <w:r>
            <w:rPr>
              <w:rStyle w:val="a9"/>
              <w:rFonts w:ascii="Arial" w:hAnsi="Arial" w:cs="Arial"/>
              <w:sz w:val="14"/>
              <w:szCs w:val="14"/>
            </w:rPr>
            <w:fldChar w:fldCharType="separate"/>
          </w:r>
          <w:r>
            <w:rPr>
              <w:rStyle w:val="a9"/>
              <w:rFonts w:ascii="Arial" w:hAnsi="Arial" w:cs="Arial"/>
              <w:noProof/>
              <w:sz w:val="14"/>
              <w:szCs w:val="14"/>
            </w:rPr>
            <w:t>1</w:t>
          </w:r>
          <w:r>
            <w:rPr>
              <w:rStyle w:val="a9"/>
              <w:rFonts w:ascii="Arial" w:hAnsi="Arial" w:cs="Arial"/>
              <w:sz w:val="14"/>
              <w:szCs w:val="14"/>
            </w:rPr>
            <w:fldChar w:fldCharType="end"/>
          </w:r>
        </w:p>
      </w:tc>
    </w:tr>
  </w:tbl>
  <w:p w14:paraId="03B7B59C" w14:textId="77777777">
    <w:pPr>
      <w:pStyle w:val="a6"/>
      <w:spacing w:before="480"/>
      <w:rPr>
        <w:rFonts w:ascii="Arial" w:hAnsi="Arial" w:cs="Arial"/>
        <w:sz w:val="14"/>
        <w:szCs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DA4CF5" w14:textId="77777777">
      <w:pPr>
        <w:spacing w:after="0" w:line="240" w:lineRule="auto"/>
      </w:pPr>
      <w:r>
        <w:separator/>
      </w:r>
    </w:p>
  </w:footnote>
  <w:footnote w:type="continuationSeparator" w:id="0">
    <w:p w14:paraId="57EE873E"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3DEC1" w14:textId="77777777">
    <w:pPr>
      <w:pStyle w:val="a5"/>
      <w:pBdr>
        <w:bottom w:val="single" w:sz="4" w:space="1" w:color="auto"/>
      </w:pBdr>
      <w:tabs>
        <w:tab w:val="clear" w:pos="4680"/>
        <w:tab w:val="clear" w:pos="9360"/>
        <w:tab w:val="left" w:pos="4170"/>
      </w:tabs>
      <w:rPr>
        <w:sz w:val="14"/>
        <w:szCs w:val="1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B2C71"/>
    <w:multiLevelType w:val="hybridMultilevel"/>
    <w:tmpl w:val="503803E4"/>
    <w:lvl w:ilvl="0" w:tplc="8B86083E">
      <w:start w:val="19"/>
      <w:numFmt w:val="upperLetter"/>
      <w:lvlText w:val="%1."/>
      <w:lvlJc w:val="left"/>
      <w:pPr>
        <w:ind w:left="339" w:hanging="221"/>
      </w:pPr>
      <w:rPr>
        <w:rFonts w:ascii="Times New Roman" w:eastAsia="Times New Roman" w:hAnsi="Times New Roman" w:cs="Times New Roman" w:hint="default"/>
        <w:b/>
        <w:bCs/>
        <w:w w:val="99"/>
        <w:sz w:val="21"/>
        <w:szCs w:val="21"/>
      </w:rPr>
    </w:lvl>
    <w:lvl w:ilvl="1" w:tplc="836642AA">
      <w:numFmt w:val="bullet"/>
      <w:lvlText w:val="•"/>
      <w:lvlJc w:val="left"/>
      <w:pPr>
        <w:ind w:left="1680" w:hanging="221"/>
      </w:pPr>
      <w:rPr>
        <w:rFonts w:hint="default"/>
      </w:rPr>
    </w:lvl>
    <w:lvl w:ilvl="2" w:tplc="F69EAC30">
      <w:numFmt w:val="bullet"/>
      <w:lvlText w:val="•"/>
      <w:lvlJc w:val="left"/>
      <w:pPr>
        <w:ind w:left="2106" w:hanging="221"/>
      </w:pPr>
      <w:rPr>
        <w:rFonts w:hint="default"/>
      </w:rPr>
    </w:lvl>
    <w:lvl w:ilvl="3" w:tplc="51886050">
      <w:numFmt w:val="bullet"/>
      <w:lvlText w:val="•"/>
      <w:lvlJc w:val="left"/>
      <w:pPr>
        <w:ind w:left="2533" w:hanging="221"/>
      </w:pPr>
      <w:rPr>
        <w:rFonts w:hint="default"/>
      </w:rPr>
    </w:lvl>
    <w:lvl w:ilvl="4" w:tplc="609CC936">
      <w:numFmt w:val="bullet"/>
      <w:lvlText w:val="•"/>
      <w:lvlJc w:val="left"/>
      <w:pPr>
        <w:ind w:left="2959" w:hanging="221"/>
      </w:pPr>
      <w:rPr>
        <w:rFonts w:hint="default"/>
      </w:rPr>
    </w:lvl>
    <w:lvl w:ilvl="5" w:tplc="C33C7E48">
      <w:numFmt w:val="bullet"/>
      <w:lvlText w:val="•"/>
      <w:lvlJc w:val="left"/>
      <w:pPr>
        <w:ind w:left="3386" w:hanging="221"/>
      </w:pPr>
      <w:rPr>
        <w:rFonts w:hint="default"/>
      </w:rPr>
    </w:lvl>
    <w:lvl w:ilvl="6" w:tplc="3800C420">
      <w:numFmt w:val="bullet"/>
      <w:lvlText w:val="•"/>
      <w:lvlJc w:val="left"/>
      <w:pPr>
        <w:ind w:left="3812" w:hanging="221"/>
      </w:pPr>
      <w:rPr>
        <w:rFonts w:hint="default"/>
      </w:rPr>
    </w:lvl>
    <w:lvl w:ilvl="7" w:tplc="B2E6B0FA">
      <w:numFmt w:val="bullet"/>
      <w:lvlText w:val="•"/>
      <w:lvlJc w:val="left"/>
      <w:pPr>
        <w:ind w:left="4239" w:hanging="221"/>
      </w:pPr>
      <w:rPr>
        <w:rFonts w:hint="default"/>
      </w:rPr>
    </w:lvl>
    <w:lvl w:ilvl="8" w:tplc="0CAA18E0">
      <w:numFmt w:val="bullet"/>
      <w:lvlText w:val="•"/>
      <w:lvlJc w:val="left"/>
      <w:pPr>
        <w:ind w:left="4665" w:hanging="221"/>
      </w:pPr>
      <w:rPr>
        <w:rFonts w:hint="default"/>
      </w:rPr>
    </w:lvl>
  </w:abstractNum>
  <w:abstractNum w:abstractNumId="1" w15:restartNumberingAfterBreak="0">
    <w:nsid w:val="14C34356"/>
    <w:multiLevelType w:val="hybridMultilevel"/>
    <w:tmpl w:val="BEA2CFCA"/>
    <w:lvl w:ilvl="0" w:tplc="5DECA17C">
      <w:start w:val="1"/>
      <w:numFmt w:val="lowerLetter"/>
      <w:pStyle w:val="4"/>
      <w:lvlText w:val="%1."/>
      <w:lvlJc w:val="left"/>
      <w:pPr>
        <w:ind w:left="5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8E6D66"/>
    <w:multiLevelType w:val="hybridMultilevel"/>
    <w:tmpl w:val="6F36EE5A"/>
    <w:lvl w:ilvl="0" w:tplc="04090001">
      <w:start w:val="1"/>
      <w:numFmt w:val="bullet"/>
      <w:lvlText w:val=""/>
      <w:lvlJc w:val="left"/>
      <w:pPr>
        <w:ind w:left="1213" w:hanging="360"/>
      </w:pPr>
      <w:rPr>
        <w:rFonts w:ascii="Symbol" w:hAnsi="Symbol" w:hint="default"/>
      </w:rPr>
    </w:lvl>
    <w:lvl w:ilvl="1" w:tplc="04090003" w:tentative="1">
      <w:start w:val="1"/>
      <w:numFmt w:val="bullet"/>
      <w:lvlText w:val="o"/>
      <w:lvlJc w:val="left"/>
      <w:pPr>
        <w:ind w:left="1933" w:hanging="360"/>
      </w:pPr>
      <w:rPr>
        <w:rFonts w:ascii="Courier New" w:hAnsi="Courier New" w:cs="Courier New" w:hint="default"/>
      </w:rPr>
    </w:lvl>
    <w:lvl w:ilvl="2" w:tplc="04090005" w:tentative="1">
      <w:start w:val="1"/>
      <w:numFmt w:val="bullet"/>
      <w:lvlText w:val=""/>
      <w:lvlJc w:val="left"/>
      <w:pPr>
        <w:ind w:left="2653" w:hanging="360"/>
      </w:pPr>
      <w:rPr>
        <w:rFonts w:ascii="Wingdings" w:hAnsi="Wingdings" w:hint="default"/>
      </w:rPr>
    </w:lvl>
    <w:lvl w:ilvl="3" w:tplc="04090001" w:tentative="1">
      <w:start w:val="1"/>
      <w:numFmt w:val="bullet"/>
      <w:lvlText w:val=""/>
      <w:lvlJc w:val="left"/>
      <w:pPr>
        <w:ind w:left="3373" w:hanging="360"/>
      </w:pPr>
      <w:rPr>
        <w:rFonts w:ascii="Symbol" w:hAnsi="Symbol" w:hint="default"/>
      </w:rPr>
    </w:lvl>
    <w:lvl w:ilvl="4" w:tplc="04090003" w:tentative="1">
      <w:start w:val="1"/>
      <w:numFmt w:val="bullet"/>
      <w:lvlText w:val="o"/>
      <w:lvlJc w:val="left"/>
      <w:pPr>
        <w:ind w:left="4093" w:hanging="360"/>
      </w:pPr>
      <w:rPr>
        <w:rFonts w:ascii="Courier New" w:hAnsi="Courier New" w:cs="Courier New" w:hint="default"/>
      </w:rPr>
    </w:lvl>
    <w:lvl w:ilvl="5" w:tplc="04090005" w:tentative="1">
      <w:start w:val="1"/>
      <w:numFmt w:val="bullet"/>
      <w:lvlText w:val=""/>
      <w:lvlJc w:val="left"/>
      <w:pPr>
        <w:ind w:left="4813" w:hanging="360"/>
      </w:pPr>
      <w:rPr>
        <w:rFonts w:ascii="Wingdings" w:hAnsi="Wingdings" w:hint="default"/>
      </w:rPr>
    </w:lvl>
    <w:lvl w:ilvl="6" w:tplc="04090001" w:tentative="1">
      <w:start w:val="1"/>
      <w:numFmt w:val="bullet"/>
      <w:lvlText w:val=""/>
      <w:lvlJc w:val="left"/>
      <w:pPr>
        <w:ind w:left="5533" w:hanging="360"/>
      </w:pPr>
      <w:rPr>
        <w:rFonts w:ascii="Symbol" w:hAnsi="Symbol" w:hint="default"/>
      </w:rPr>
    </w:lvl>
    <w:lvl w:ilvl="7" w:tplc="04090003" w:tentative="1">
      <w:start w:val="1"/>
      <w:numFmt w:val="bullet"/>
      <w:lvlText w:val="o"/>
      <w:lvlJc w:val="left"/>
      <w:pPr>
        <w:ind w:left="6253" w:hanging="360"/>
      </w:pPr>
      <w:rPr>
        <w:rFonts w:ascii="Courier New" w:hAnsi="Courier New" w:cs="Courier New" w:hint="default"/>
      </w:rPr>
    </w:lvl>
    <w:lvl w:ilvl="8" w:tplc="04090005" w:tentative="1">
      <w:start w:val="1"/>
      <w:numFmt w:val="bullet"/>
      <w:lvlText w:val=""/>
      <w:lvlJc w:val="left"/>
      <w:pPr>
        <w:ind w:left="6973" w:hanging="360"/>
      </w:pPr>
      <w:rPr>
        <w:rFonts w:ascii="Wingdings" w:hAnsi="Wingdings" w:hint="default"/>
      </w:rPr>
    </w:lvl>
  </w:abstractNum>
  <w:abstractNum w:abstractNumId="3" w15:restartNumberingAfterBreak="0">
    <w:nsid w:val="3E493D3A"/>
    <w:multiLevelType w:val="hybridMultilevel"/>
    <w:tmpl w:val="CB10A4A0"/>
    <w:lvl w:ilvl="0" w:tplc="04090001">
      <w:start w:val="1"/>
      <w:numFmt w:val="bullet"/>
      <w:lvlText w:val=""/>
      <w:lvlJc w:val="left"/>
      <w:pPr>
        <w:ind w:left="838" w:hanging="360"/>
      </w:pPr>
      <w:rPr>
        <w:rFonts w:ascii="Symbol" w:hAnsi="Symbol" w:hint="default"/>
      </w:rPr>
    </w:lvl>
    <w:lvl w:ilvl="1" w:tplc="04090003" w:tentative="1">
      <w:start w:val="1"/>
      <w:numFmt w:val="bullet"/>
      <w:lvlText w:val="o"/>
      <w:lvlJc w:val="left"/>
      <w:pPr>
        <w:ind w:left="1558" w:hanging="360"/>
      </w:pPr>
      <w:rPr>
        <w:rFonts w:ascii="Courier New" w:hAnsi="Courier New" w:cs="Courier New" w:hint="default"/>
      </w:rPr>
    </w:lvl>
    <w:lvl w:ilvl="2" w:tplc="04090005" w:tentative="1">
      <w:start w:val="1"/>
      <w:numFmt w:val="bullet"/>
      <w:lvlText w:val=""/>
      <w:lvlJc w:val="left"/>
      <w:pPr>
        <w:ind w:left="2278" w:hanging="360"/>
      </w:pPr>
      <w:rPr>
        <w:rFonts w:ascii="Wingdings" w:hAnsi="Wingdings" w:hint="default"/>
      </w:rPr>
    </w:lvl>
    <w:lvl w:ilvl="3" w:tplc="04090001" w:tentative="1">
      <w:start w:val="1"/>
      <w:numFmt w:val="bullet"/>
      <w:lvlText w:val=""/>
      <w:lvlJc w:val="left"/>
      <w:pPr>
        <w:ind w:left="2998" w:hanging="360"/>
      </w:pPr>
      <w:rPr>
        <w:rFonts w:ascii="Symbol" w:hAnsi="Symbol" w:hint="default"/>
      </w:rPr>
    </w:lvl>
    <w:lvl w:ilvl="4" w:tplc="04090003" w:tentative="1">
      <w:start w:val="1"/>
      <w:numFmt w:val="bullet"/>
      <w:lvlText w:val="o"/>
      <w:lvlJc w:val="left"/>
      <w:pPr>
        <w:ind w:left="3718" w:hanging="360"/>
      </w:pPr>
      <w:rPr>
        <w:rFonts w:ascii="Courier New" w:hAnsi="Courier New" w:cs="Courier New" w:hint="default"/>
      </w:rPr>
    </w:lvl>
    <w:lvl w:ilvl="5" w:tplc="04090005" w:tentative="1">
      <w:start w:val="1"/>
      <w:numFmt w:val="bullet"/>
      <w:lvlText w:val=""/>
      <w:lvlJc w:val="left"/>
      <w:pPr>
        <w:ind w:left="4438" w:hanging="360"/>
      </w:pPr>
      <w:rPr>
        <w:rFonts w:ascii="Wingdings" w:hAnsi="Wingdings" w:hint="default"/>
      </w:rPr>
    </w:lvl>
    <w:lvl w:ilvl="6" w:tplc="04090001" w:tentative="1">
      <w:start w:val="1"/>
      <w:numFmt w:val="bullet"/>
      <w:lvlText w:val=""/>
      <w:lvlJc w:val="left"/>
      <w:pPr>
        <w:ind w:left="5158" w:hanging="360"/>
      </w:pPr>
      <w:rPr>
        <w:rFonts w:ascii="Symbol" w:hAnsi="Symbol" w:hint="default"/>
      </w:rPr>
    </w:lvl>
    <w:lvl w:ilvl="7" w:tplc="04090003" w:tentative="1">
      <w:start w:val="1"/>
      <w:numFmt w:val="bullet"/>
      <w:lvlText w:val="o"/>
      <w:lvlJc w:val="left"/>
      <w:pPr>
        <w:ind w:left="5878" w:hanging="360"/>
      </w:pPr>
      <w:rPr>
        <w:rFonts w:ascii="Courier New" w:hAnsi="Courier New" w:cs="Courier New" w:hint="default"/>
      </w:rPr>
    </w:lvl>
    <w:lvl w:ilvl="8" w:tplc="04090005" w:tentative="1">
      <w:start w:val="1"/>
      <w:numFmt w:val="bullet"/>
      <w:lvlText w:val=""/>
      <w:lvlJc w:val="left"/>
      <w:pPr>
        <w:ind w:left="6598" w:hanging="360"/>
      </w:pPr>
      <w:rPr>
        <w:rFonts w:ascii="Wingdings" w:hAnsi="Wingdings" w:hint="default"/>
      </w:rPr>
    </w:lvl>
  </w:abstractNum>
  <w:abstractNum w:abstractNumId="4" w15:restartNumberingAfterBreak="0">
    <w:nsid w:val="53FE0C31"/>
    <w:multiLevelType w:val="hybridMultilevel"/>
    <w:tmpl w:val="F3A00260"/>
    <w:lvl w:ilvl="0" w:tplc="0C7C76E6">
      <w:start w:val="1"/>
      <w:numFmt w:val="lowerLetter"/>
      <w:lvlText w:val="%1."/>
      <w:lvlJc w:val="left"/>
      <w:pPr>
        <w:ind w:left="218" w:hanging="214"/>
      </w:pPr>
      <w:rPr>
        <w:rFonts w:ascii="Times New Roman" w:eastAsia="Times New Roman" w:hAnsi="Times New Roman" w:cs="Times New Roman" w:hint="default"/>
        <w:w w:val="99"/>
        <w:sz w:val="17"/>
        <w:szCs w:val="17"/>
        <w:lang w:val="en-US" w:eastAsia="en-US" w:bidi="ar-SA"/>
      </w:rPr>
    </w:lvl>
    <w:lvl w:ilvl="1" w:tplc="1E4EDCCA">
      <w:numFmt w:val="bullet"/>
      <w:lvlText w:val="•"/>
      <w:lvlJc w:val="left"/>
      <w:pPr>
        <w:ind w:left="882" w:hanging="218"/>
      </w:pPr>
      <w:rPr>
        <w:rFonts w:hint="default"/>
        <w:lang w:val="en-US" w:eastAsia="en-US" w:bidi="ar-SA"/>
      </w:rPr>
    </w:lvl>
    <w:lvl w:ilvl="2" w:tplc="BB8223DA">
      <w:numFmt w:val="bullet"/>
      <w:lvlText w:val="•"/>
      <w:lvlJc w:val="left"/>
      <w:pPr>
        <w:ind w:left="1385" w:hanging="218"/>
      </w:pPr>
      <w:rPr>
        <w:rFonts w:hint="default"/>
        <w:lang w:val="en-US" w:eastAsia="en-US" w:bidi="ar-SA"/>
      </w:rPr>
    </w:lvl>
    <w:lvl w:ilvl="3" w:tplc="CE006DCE">
      <w:numFmt w:val="bullet"/>
      <w:lvlText w:val="•"/>
      <w:lvlJc w:val="left"/>
      <w:pPr>
        <w:ind w:left="1888" w:hanging="218"/>
      </w:pPr>
      <w:rPr>
        <w:rFonts w:hint="default"/>
        <w:lang w:val="en-US" w:eastAsia="en-US" w:bidi="ar-SA"/>
      </w:rPr>
    </w:lvl>
    <w:lvl w:ilvl="4" w:tplc="D7FC6A88">
      <w:numFmt w:val="bullet"/>
      <w:lvlText w:val="•"/>
      <w:lvlJc w:val="left"/>
      <w:pPr>
        <w:ind w:left="2391" w:hanging="218"/>
      </w:pPr>
      <w:rPr>
        <w:rFonts w:hint="default"/>
        <w:lang w:val="en-US" w:eastAsia="en-US" w:bidi="ar-SA"/>
      </w:rPr>
    </w:lvl>
    <w:lvl w:ilvl="5" w:tplc="52F87360">
      <w:numFmt w:val="bullet"/>
      <w:lvlText w:val="•"/>
      <w:lvlJc w:val="left"/>
      <w:pPr>
        <w:ind w:left="2894" w:hanging="218"/>
      </w:pPr>
      <w:rPr>
        <w:rFonts w:hint="default"/>
        <w:lang w:val="en-US" w:eastAsia="en-US" w:bidi="ar-SA"/>
      </w:rPr>
    </w:lvl>
    <w:lvl w:ilvl="6" w:tplc="C17A19B8">
      <w:numFmt w:val="bullet"/>
      <w:lvlText w:val="•"/>
      <w:lvlJc w:val="left"/>
      <w:pPr>
        <w:ind w:left="3397" w:hanging="218"/>
      </w:pPr>
      <w:rPr>
        <w:rFonts w:hint="default"/>
        <w:lang w:val="en-US" w:eastAsia="en-US" w:bidi="ar-SA"/>
      </w:rPr>
    </w:lvl>
    <w:lvl w:ilvl="7" w:tplc="3258C1DA">
      <w:numFmt w:val="bullet"/>
      <w:lvlText w:val="•"/>
      <w:lvlJc w:val="left"/>
      <w:pPr>
        <w:ind w:left="3900" w:hanging="218"/>
      </w:pPr>
      <w:rPr>
        <w:rFonts w:hint="default"/>
        <w:lang w:val="en-US" w:eastAsia="en-US" w:bidi="ar-SA"/>
      </w:rPr>
    </w:lvl>
    <w:lvl w:ilvl="8" w:tplc="500A0778">
      <w:numFmt w:val="bullet"/>
      <w:lvlText w:val="•"/>
      <w:lvlJc w:val="left"/>
      <w:pPr>
        <w:ind w:left="4402" w:hanging="218"/>
      </w:pPr>
      <w:rPr>
        <w:rFonts w:hint="default"/>
        <w:lang w:val="en-US" w:eastAsia="en-US" w:bidi="ar-SA"/>
      </w:rPr>
    </w:lvl>
  </w:abstractNum>
  <w:abstractNum w:abstractNumId="5" w15:restartNumberingAfterBreak="0">
    <w:nsid w:val="5C422028"/>
    <w:multiLevelType w:val="hybridMultilevel"/>
    <w:tmpl w:val="DC2E5F10"/>
    <w:lvl w:ilvl="0" w:tplc="7CA2F260">
      <w:numFmt w:val="bullet"/>
      <w:lvlText w:val="•"/>
      <w:lvlJc w:val="left"/>
      <w:pPr>
        <w:ind w:left="200" w:hanging="185"/>
      </w:pPr>
      <w:rPr>
        <w:rFonts w:ascii="Linux Biolinum O" w:eastAsia="Linux Biolinum O" w:hAnsi="Linux Biolinum O" w:cs="Linux Biolinum O" w:hint="default"/>
        <w:i/>
        <w:w w:val="150"/>
        <w:sz w:val="16"/>
        <w:szCs w:val="16"/>
        <w:lang w:val="en-US" w:eastAsia="en-US" w:bidi="ar-SA"/>
      </w:rPr>
    </w:lvl>
    <w:lvl w:ilvl="1" w:tplc="1F6237AA">
      <w:start w:val="1"/>
      <w:numFmt w:val="decimal"/>
      <w:lvlText w:val="%2."/>
      <w:lvlJc w:val="left"/>
      <w:pPr>
        <w:ind w:left="677" w:hanging="279"/>
      </w:pPr>
      <w:rPr>
        <w:rFonts w:ascii="Times New Roman" w:eastAsia="Times New Roman" w:hAnsi="Times New Roman" w:cs="Times New Roman" w:hint="default"/>
        <w:w w:val="99"/>
        <w:sz w:val="16"/>
        <w:szCs w:val="16"/>
        <w:lang w:val="en-US" w:eastAsia="en-US" w:bidi="ar-SA"/>
      </w:rPr>
    </w:lvl>
    <w:lvl w:ilvl="2" w:tplc="03620D3A">
      <w:numFmt w:val="bullet"/>
      <w:lvlText w:val="•"/>
      <w:lvlJc w:val="left"/>
      <w:pPr>
        <w:ind w:left="680" w:hanging="279"/>
      </w:pPr>
      <w:rPr>
        <w:rFonts w:hint="default"/>
        <w:lang w:val="en-US" w:eastAsia="en-US" w:bidi="ar-SA"/>
      </w:rPr>
    </w:lvl>
    <w:lvl w:ilvl="3" w:tplc="EBFA5CA8">
      <w:numFmt w:val="bullet"/>
      <w:lvlText w:val="•"/>
      <w:lvlJc w:val="left"/>
      <w:pPr>
        <w:ind w:left="2720" w:hanging="279"/>
      </w:pPr>
      <w:rPr>
        <w:rFonts w:hint="default"/>
        <w:lang w:val="en-US" w:eastAsia="en-US" w:bidi="ar-SA"/>
      </w:rPr>
    </w:lvl>
    <w:lvl w:ilvl="4" w:tplc="332A33EA">
      <w:numFmt w:val="bullet"/>
      <w:lvlText w:val="•"/>
      <w:lvlJc w:val="left"/>
      <w:pPr>
        <w:ind w:left="2325" w:hanging="279"/>
      </w:pPr>
      <w:rPr>
        <w:rFonts w:hint="default"/>
        <w:lang w:val="en-US" w:eastAsia="en-US" w:bidi="ar-SA"/>
      </w:rPr>
    </w:lvl>
    <w:lvl w:ilvl="5" w:tplc="19FC16DE">
      <w:numFmt w:val="bullet"/>
      <w:lvlText w:val="•"/>
      <w:lvlJc w:val="left"/>
      <w:pPr>
        <w:ind w:left="1931" w:hanging="279"/>
      </w:pPr>
      <w:rPr>
        <w:rFonts w:hint="default"/>
        <w:lang w:val="en-US" w:eastAsia="en-US" w:bidi="ar-SA"/>
      </w:rPr>
    </w:lvl>
    <w:lvl w:ilvl="6" w:tplc="90A44FA2">
      <w:numFmt w:val="bullet"/>
      <w:lvlText w:val="•"/>
      <w:lvlJc w:val="left"/>
      <w:pPr>
        <w:ind w:left="1537" w:hanging="279"/>
      </w:pPr>
      <w:rPr>
        <w:rFonts w:hint="default"/>
        <w:lang w:val="en-US" w:eastAsia="en-US" w:bidi="ar-SA"/>
      </w:rPr>
    </w:lvl>
    <w:lvl w:ilvl="7" w:tplc="6DBE7802">
      <w:numFmt w:val="bullet"/>
      <w:lvlText w:val="•"/>
      <w:lvlJc w:val="left"/>
      <w:pPr>
        <w:ind w:left="1142" w:hanging="279"/>
      </w:pPr>
      <w:rPr>
        <w:rFonts w:hint="default"/>
        <w:lang w:val="en-US" w:eastAsia="en-US" w:bidi="ar-SA"/>
      </w:rPr>
    </w:lvl>
    <w:lvl w:ilvl="8" w:tplc="5F001F0E">
      <w:numFmt w:val="bullet"/>
      <w:lvlText w:val="•"/>
      <w:lvlJc w:val="left"/>
      <w:pPr>
        <w:ind w:left="748" w:hanging="279"/>
      </w:pPr>
      <w:rPr>
        <w:rFonts w:hint="default"/>
        <w:lang w:val="en-US" w:eastAsia="en-US" w:bidi="ar-SA"/>
      </w:rPr>
    </w:lvl>
  </w:abstractNum>
  <w:abstractNum w:abstractNumId="6" w15:restartNumberingAfterBreak="0">
    <w:nsid w:val="5D02683D"/>
    <w:multiLevelType w:val="hybridMultilevel"/>
    <w:tmpl w:val="04E6619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9AA7195"/>
    <w:multiLevelType w:val="hybridMultilevel"/>
    <w:tmpl w:val="7CA8C968"/>
    <w:lvl w:ilvl="0" w:tplc="FDA6696C">
      <w:start w:val="1"/>
      <w:numFmt w:val="decimal"/>
      <w:lvlText w:val="%1."/>
      <w:lvlJc w:val="left"/>
      <w:pPr>
        <w:ind w:left="240" w:hanging="240"/>
      </w:pPr>
      <w:rPr>
        <w:rFonts w:ascii="Times New Roman" w:eastAsia="Times New Roman" w:hAnsi="Times New Roman" w:cs="Times New Roman" w:hint="default"/>
        <w:w w:val="99"/>
        <w:sz w:val="17"/>
        <w:szCs w:val="17"/>
        <w:lang w:val="en-US" w:eastAsia="en-US" w:bidi="ar-SA"/>
      </w:rPr>
    </w:lvl>
    <w:lvl w:ilvl="1" w:tplc="F328DA84">
      <w:start w:val="1"/>
      <w:numFmt w:val="decimal"/>
      <w:lvlText w:val="%2."/>
      <w:lvlJc w:val="left"/>
      <w:pPr>
        <w:ind w:left="564" w:hanging="227"/>
      </w:pPr>
      <w:rPr>
        <w:rFonts w:ascii="Times New Roman" w:eastAsia="Times New Roman" w:hAnsi="Times New Roman" w:cs="Times New Roman" w:hint="default"/>
        <w:w w:val="99"/>
        <w:sz w:val="17"/>
        <w:szCs w:val="17"/>
        <w:lang w:val="en-US" w:eastAsia="en-US" w:bidi="ar-SA"/>
      </w:rPr>
    </w:lvl>
    <w:lvl w:ilvl="2" w:tplc="3A8C7276">
      <w:numFmt w:val="bullet"/>
      <w:lvlText w:val="•"/>
      <w:lvlJc w:val="left"/>
      <w:pPr>
        <w:ind w:left="1205" w:hanging="227"/>
      </w:pPr>
      <w:rPr>
        <w:rFonts w:hint="default"/>
        <w:lang w:val="en-US" w:eastAsia="en-US" w:bidi="ar-SA"/>
      </w:rPr>
    </w:lvl>
    <w:lvl w:ilvl="3" w:tplc="886042F0">
      <w:numFmt w:val="bullet"/>
      <w:lvlText w:val="•"/>
      <w:lvlJc w:val="left"/>
      <w:pPr>
        <w:ind w:left="1730" w:hanging="227"/>
      </w:pPr>
      <w:rPr>
        <w:rFonts w:hint="default"/>
        <w:lang w:val="en-US" w:eastAsia="en-US" w:bidi="ar-SA"/>
      </w:rPr>
    </w:lvl>
    <w:lvl w:ilvl="4" w:tplc="3BA6CE62">
      <w:numFmt w:val="bullet"/>
      <w:lvlText w:val="•"/>
      <w:lvlJc w:val="left"/>
      <w:pPr>
        <w:ind w:left="2256" w:hanging="227"/>
      </w:pPr>
      <w:rPr>
        <w:rFonts w:hint="default"/>
        <w:lang w:val="en-US" w:eastAsia="en-US" w:bidi="ar-SA"/>
      </w:rPr>
    </w:lvl>
    <w:lvl w:ilvl="5" w:tplc="30E063F2">
      <w:numFmt w:val="bullet"/>
      <w:lvlText w:val="•"/>
      <w:lvlJc w:val="left"/>
      <w:pPr>
        <w:ind w:left="2781" w:hanging="227"/>
      </w:pPr>
      <w:rPr>
        <w:rFonts w:hint="default"/>
        <w:lang w:val="en-US" w:eastAsia="en-US" w:bidi="ar-SA"/>
      </w:rPr>
    </w:lvl>
    <w:lvl w:ilvl="6" w:tplc="DB3C47D8">
      <w:numFmt w:val="bullet"/>
      <w:lvlText w:val="•"/>
      <w:lvlJc w:val="left"/>
      <w:pPr>
        <w:ind w:left="3307" w:hanging="227"/>
      </w:pPr>
      <w:rPr>
        <w:rFonts w:hint="default"/>
        <w:lang w:val="en-US" w:eastAsia="en-US" w:bidi="ar-SA"/>
      </w:rPr>
    </w:lvl>
    <w:lvl w:ilvl="7" w:tplc="AB80E4E0">
      <w:numFmt w:val="bullet"/>
      <w:lvlText w:val="•"/>
      <w:lvlJc w:val="left"/>
      <w:pPr>
        <w:ind w:left="3832" w:hanging="227"/>
      </w:pPr>
      <w:rPr>
        <w:rFonts w:hint="default"/>
        <w:lang w:val="en-US" w:eastAsia="en-US" w:bidi="ar-SA"/>
      </w:rPr>
    </w:lvl>
    <w:lvl w:ilvl="8" w:tplc="E65AC21E">
      <w:numFmt w:val="bullet"/>
      <w:lvlText w:val="•"/>
      <w:lvlJc w:val="left"/>
      <w:pPr>
        <w:ind w:left="4357" w:hanging="227"/>
      </w:pPr>
      <w:rPr>
        <w:rFonts w:hint="default"/>
        <w:lang w:val="en-US" w:eastAsia="en-US" w:bidi="ar-SA"/>
      </w:rPr>
    </w:lvl>
  </w:abstractNum>
  <w:abstractNum w:abstractNumId="8" w15:restartNumberingAfterBreak="0">
    <w:nsid w:val="71CF69D6"/>
    <w:multiLevelType w:val="hybridMultilevel"/>
    <w:tmpl w:val="1D268148"/>
    <w:lvl w:ilvl="0" w:tplc="AEFC89E2">
      <w:start w:val="1"/>
      <w:numFmt w:val="decimal"/>
      <w:pStyle w:val="3"/>
      <w:lvlText w:val="%1)"/>
      <w:lvlJc w:val="left"/>
      <w:pPr>
        <w:ind w:left="1840" w:hanging="520"/>
      </w:pPr>
      <w:rPr>
        <w:rFonts w:hint="default"/>
      </w:rPr>
    </w:lvl>
    <w:lvl w:ilvl="1" w:tplc="04090019" w:tentative="1">
      <w:start w:val="1"/>
      <w:numFmt w:val="lowerLetter"/>
      <w:lvlText w:val="%2."/>
      <w:lvlJc w:val="left"/>
      <w:pPr>
        <w:ind w:left="2440" w:hanging="360"/>
      </w:pPr>
    </w:lvl>
    <w:lvl w:ilvl="2" w:tplc="0409001B" w:tentative="1">
      <w:start w:val="1"/>
      <w:numFmt w:val="lowerRoman"/>
      <w:lvlText w:val="%3."/>
      <w:lvlJc w:val="right"/>
      <w:pPr>
        <w:ind w:left="3160" w:hanging="180"/>
      </w:pPr>
    </w:lvl>
    <w:lvl w:ilvl="3" w:tplc="0409000F" w:tentative="1">
      <w:start w:val="1"/>
      <w:numFmt w:val="decimal"/>
      <w:lvlText w:val="%4."/>
      <w:lvlJc w:val="left"/>
      <w:pPr>
        <w:ind w:left="3880" w:hanging="360"/>
      </w:pPr>
    </w:lvl>
    <w:lvl w:ilvl="4" w:tplc="04090019" w:tentative="1">
      <w:start w:val="1"/>
      <w:numFmt w:val="lowerLetter"/>
      <w:lvlText w:val="%5."/>
      <w:lvlJc w:val="left"/>
      <w:pPr>
        <w:ind w:left="4600" w:hanging="360"/>
      </w:pPr>
    </w:lvl>
    <w:lvl w:ilvl="5" w:tplc="0409001B" w:tentative="1">
      <w:start w:val="1"/>
      <w:numFmt w:val="lowerRoman"/>
      <w:lvlText w:val="%6."/>
      <w:lvlJc w:val="right"/>
      <w:pPr>
        <w:ind w:left="5320" w:hanging="180"/>
      </w:pPr>
    </w:lvl>
    <w:lvl w:ilvl="6" w:tplc="0409000F" w:tentative="1">
      <w:start w:val="1"/>
      <w:numFmt w:val="decimal"/>
      <w:lvlText w:val="%7."/>
      <w:lvlJc w:val="left"/>
      <w:pPr>
        <w:ind w:left="6040" w:hanging="360"/>
      </w:pPr>
    </w:lvl>
    <w:lvl w:ilvl="7" w:tplc="04090019" w:tentative="1">
      <w:start w:val="1"/>
      <w:numFmt w:val="lowerLetter"/>
      <w:lvlText w:val="%8."/>
      <w:lvlJc w:val="left"/>
      <w:pPr>
        <w:ind w:left="6760" w:hanging="360"/>
      </w:pPr>
    </w:lvl>
    <w:lvl w:ilvl="8" w:tplc="0409001B" w:tentative="1">
      <w:start w:val="1"/>
      <w:numFmt w:val="lowerRoman"/>
      <w:lvlText w:val="%9."/>
      <w:lvlJc w:val="right"/>
      <w:pPr>
        <w:ind w:left="7480" w:hanging="180"/>
      </w:pPr>
    </w:lvl>
  </w:abstractNum>
  <w:abstractNum w:abstractNumId="9" w15:restartNumberingAfterBreak="0">
    <w:nsid w:val="774E3C49"/>
    <w:multiLevelType w:val="hybridMultilevel"/>
    <w:tmpl w:val="921CA5B8"/>
    <w:lvl w:ilvl="0" w:tplc="41CEEAE2">
      <w:start w:val="1"/>
      <w:numFmt w:val="upperLetter"/>
      <w:lvlText w:val="%1."/>
      <w:lvlJc w:val="left"/>
      <w:pPr>
        <w:ind w:left="320" w:hanging="200"/>
      </w:pPr>
      <w:rPr>
        <w:rFonts w:hint="default"/>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10" w15:restartNumberingAfterBreak="0">
    <w:nsid w:val="7CE774FC"/>
    <w:multiLevelType w:val="hybridMultilevel"/>
    <w:tmpl w:val="69487F90"/>
    <w:lvl w:ilvl="0" w:tplc="423C61AC">
      <w:start w:val="1"/>
      <w:numFmt w:val="decimal"/>
      <w:lvlText w:val="%1."/>
      <w:lvlJc w:val="left"/>
      <w:pPr>
        <w:ind w:left="351" w:hanging="133"/>
      </w:pPr>
      <w:rPr>
        <w:rFonts w:ascii="Arial" w:eastAsia="Arial" w:hAnsi="Arial" w:cs="Arial" w:hint="default"/>
        <w:w w:val="99"/>
        <w:sz w:val="14"/>
        <w:szCs w:val="14"/>
      </w:rPr>
    </w:lvl>
    <w:lvl w:ilvl="1" w:tplc="6EAC2BF2">
      <w:numFmt w:val="bullet"/>
      <w:lvlText w:val="•"/>
      <w:lvlJc w:val="left"/>
      <w:pPr>
        <w:ind w:left="765" w:hanging="133"/>
      </w:pPr>
      <w:rPr>
        <w:rFonts w:hint="default"/>
      </w:rPr>
    </w:lvl>
    <w:lvl w:ilvl="2" w:tplc="30BE7152">
      <w:numFmt w:val="bullet"/>
      <w:lvlText w:val="•"/>
      <w:lvlJc w:val="left"/>
      <w:pPr>
        <w:ind w:left="1171" w:hanging="133"/>
      </w:pPr>
      <w:rPr>
        <w:rFonts w:hint="default"/>
      </w:rPr>
    </w:lvl>
    <w:lvl w:ilvl="3" w:tplc="C9926CC6">
      <w:numFmt w:val="bullet"/>
      <w:lvlText w:val="•"/>
      <w:lvlJc w:val="left"/>
      <w:pPr>
        <w:ind w:left="1577" w:hanging="133"/>
      </w:pPr>
      <w:rPr>
        <w:rFonts w:hint="default"/>
      </w:rPr>
    </w:lvl>
    <w:lvl w:ilvl="4" w:tplc="4D76418E">
      <w:numFmt w:val="bullet"/>
      <w:lvlText w:val="•"/>
      <w:lvlJc w:val="left"/>
      <w:pPr>
        <w:ind w:left="1983" w:hanging="133"/>
      </w:pPr>
      <w:rPr>
        <w:rFonts w:hint="default"/>
      </w:rPr>
    </w:lvl>
    <w:lvl w:ilvl="5" w:tplc="790C2F4C">
      <w:numFmt w:val="bullet"/>
      <w:lvlText w:val="•"/>
      <w:lvlJc w:val="left"/>
      <w:pPr>
        <w:ind w:left="2389" w:hanging="133"/>
      </w:pPr>
      <w:rPr>
        <w:rFonts w:hint="default"/>
      </w:rPr>
    </w:lvl>
    <w:lvl w:ilvl="6" w:tplc="F28A493E">
      <w:numFmt w:val="bullet"/>
      <w:lvlText w:val="•"/>
      <w:lvlJc w:val="left"/>
      <w:pPr>
        <w:ind w:left="2794" w:hanging="133"/>
      </w:pPr>
      <w:rPr>
        <w:rFonts w:hint="default"/>
      </w:rPr>
    </w:lvl>
    <w:lvl w:ilvl="7" w:tplc="410CC44A">
      <w:numFmt w:val="bullet"/>
      <w:lvlText w:val="•"/>
      <w:lvlJc w:val="left"/>
      <w:pPr>
        <w:ind w:left="3200" w:hanging="133"/>
      </w:pPr>
      <w:rPr>
        <w:rFonts w:hint="default"/>
      </w:rPr>
    </w:lvl>
    <w:lvl w:ilvl="8" w:tplc="E99ED870">
      <w:numFmt w:val="bullet"/>
      <w:lvlText w:val="•"/>
      <w:lvlJc w:val="left"/>
      <w:pPr>
        <w:ind w:left="3606" w:hanging="133"/>
      </w:pPr>
      <w:rPr>
        <w:rFonts w:hint="default"/>
      </w:rPr>
    </w:lvl>
  </w:abstractNum>
  <w:abstractNum w:abstractNumId="11" w15:restartNumberingAfterBreak="0">
    <w:nsid w:val="7F554111"/>
    <w:multiLevelType w:val="hybridMultilevel"/>
    <w:tmpl w:val="07A0E5DE"/>
    <w:lvl w:ilvl="0" w:tplc="36920270">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56052868">
    <w:abstractNumId w:val="10"/>
  </w:num>
  <w:num w:numId="2" w16cid:durableId="439035681">
    <w:abstractNumId w:val="0"/>
  </w:num>
  <w:num w:numId="3" w16cid:durableId="1239049605">
    <w:abstractNumId w:val="2"/>
  </w:num>
  <w:num w:numId="4" w16cid:durableId="1692681052">
    <w:abstractNumId w:val="3"/>
  </w:num>
  <w:num w:numId="5" w16cid:durableId="293028053">
    <w:abstractNumId w:val="11"/>
  </w:num>
  <w:num w:numId="6" w16cid:durableId="580918516">
    <w:abstractNumId w:val="9"/>
  </w:num>
  <w:num w:numId="7" w16cid:durableId="137303937">
    <w:abstractNumId w:val="8"/>
  </w:num>
  <w:num w:numId="8" w16cid:durableId="659162536">
    <w:abstractNumId w:val="1"/>
  </w:num>
  <w:num w:numId="9" w16cid:durableId="2109081432">
    <w:abstractNumId w:val="9"/>
    <w:lvlOverride w:ilvl="0">
      <w:startOverride w:val="1"/>
    </w:lvlOverride>
  </w:num>
  <w:num w:numId="10" w16cid:durableId="38625690">
    <w:abstractNumId w:val="9"/>
    <w:lvlOverride w:ilvl="0">
      <w:startOverride w:val="1"/>
    </w:lvlOverride>
  </w:num>
  <w:num w:numId="11" w16cid:durableId="949707657">
    <w:abstractNumId w:val="9"/>
    <w:lvlOverride w:ilvl="0">
      <w:startOverride w:val="1"/>
    </w:lvlOverride>
  </w:num>
  <w:num w:numId="12" w16cid:durableId="693573361">
    <w:abstractNumId w:val="8"/>
    <w:lvlOverride w:ilvl="0">
      <w:startOverride w:val="1"/>
    </w:lvlOverride>
  </w:num>
  <w:num w:numId="13" w16cid:durableId="187572919">
    <w:abstractNumId w:val="9"/>
    <w:lvlOverride w:ilvl="0">
      <w:startOverride w:val="1"/>
    </w:lvlOverride>
  </w:num>
  <w:num w:numId="14" w16cid:durableId="1578594158">
    <w:abstractNumId w:val="6"/>
  </w:num>
  <w:num w:numId="15" w16cid:durableId="1120421164">
    <w:abstractNumId w:val="7"/>
  </w:num>
  <w:num w:numId="16" w16cid:durableId="743142111">
    <w:abstractNumId w:val="4"/>
  </w:num>
  <w:num w:numId="17" w16cid:durableId="167472587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bordersDoNotSurroundHeader/>
  <w:bordersDoNotSurroundFooter/>
  <w:proofState w:spelling="clean" w:grammar="clean"/>
  <w:defaultTabStop w:val="39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08B6"/>
    <w:rsid w:val="00001079"/>
    <w:rsid w:val="000048E0"/>
    <w:rsid w:val="00006821"/>
    <w:rsid w:val="00011DF3"/>
    <w:rsid w:val="000131F8"/>
    <w:rsid w:val="00014865"/>
    <w:rsid w:val="00021B07"/>
    <w:rsid w:val="00031F99"/>
    <w:rsid w:val="0003226D"/>
    <w:rsid w:val="00034827"/>
    <w:rsid w:val="00036BDA"/>
    <w:rsid w:val="00047DC2"/>
    <w:rsid w:val="0005273A"/>
    <w:rsid w:val="000568C7"/>
    <w:rsid w:val="00066E6F"/>
    <w:rsid w:val="000736C4"/>
    <w:rsid w:val="000808AC"/>
    <w:rsid w:val="000852E2"/>
    <w:rsid w:val="00090694"/>
    <w:rsid w:val="00093A92"/>
    <w:rsid w:val="000968F2"/>
    <w:rsid w:val="00096BD9"/>
    <w:rsid w:val="000B190C"/>
    <w:rsid w:val="000C2709"/>
    <w:rsid w:val="000D082B"/>
    <w:rsid w:val="000D148B"/>
    <w:rsid w:val="000D6553"/>
    <w:rsid w:val="000D7416"/>
    <w:rsid w:val="000E002A"/>
    <w:rsid w:val="000E081E"/>
    <w:rsid w:val="000E1866"/>
    <w:rsid w:val="000E1C71"/>
    <w:rsid w:val="000E30D4"/>
    <w:rsid w:val="000E5B83"/>
    <w:rsid w:val="000F25A4"/>
    <w:rsid w:val="00103F33"/>
    <w:rsid w:val="0010491D"/>
    <w:rsid w:val="00105EEB"/>
    <w:rsid w:val="0011485C"/>
    <w:rsid w:val="0012069A"/>
    <w:rsid w:val="00127A56"/>
    <w:rsid w:val="00132404"/>
    <w:rsid w:val="00136D07"/>
    <w:rsid w:val="00143B04"/>
    <w:rsid w:val="001647DC"/>
    <w:rsid w:val="001647E2"/>
    <w:rsid w:val="001655E6"/>
    <w:rsid w:val="00166AC4"/>
    <w:rsid w:val="0017647E"/>
    <w:rsid w:val="0017731B"/>
    <w:rsid w:val="00182153"/>
    <w:rsid w:val="00190E56"/>
    <w:rsid w:val="001940CA"/>
    <w:rsid w:val="00197B92"/>
    <w:rsid w:val="001B2D06"/>
    <w:rsid w:val="001C0A92"/>
    <w:rsid w:val="001D1DBB"/>
    <w:rsid w:val="001D38FE"/>
    <w:rsid w:val="001D3F71"/>
    <w:rsid w:val="001D68D8"/>
    <w:rsid w:val="001D753E"/>
    <w:rsid w:val="001E0B79"/>
    <w:rsid w:val="001E1699"/>
    <w:rsid w:val="001E3F21"/>
    <w:rsid w:val="001F4797"/>
    <w:rsid w:val="001F64FD"/>
    <w:rsid w:val="00201A2B"/>
    <w:rsid w:val="0021508A"/>
    <w:rsid w:val="00216BC8"/>
    <w:rsid w:val="002230C8"/>
    <w:rsid w:val="0022515A"/>
    <w:rsid w:val="00226967"/>
    <w:rsid w:val="002359C9"/>
    <w:rsid w:val="00243BF2"/>
    <w:rsid w:val="00243DCB"/>
    <w:rsid w:val="00250179"/>
    <w:rsid w:val="002520E6"/>
    <w:rsid w:val="00263AD1"/>
    <w:rsid w:val="00264576"/>
    <w:rsid w:val="00272A21"/>
    <w:rsid w:val="002810C5"/>
    <w:rsid w:val="00282EA1"/>
    <w:rsid w:val="002830A5"/>
    <w:rsid w:val="00286715"/>
    <w:rsid w:val="00286CD8"/>
    <w:rsid w:val="00290254"/>
    <w:rsid w:val="00292B71"/>
    <w:rsid w:val="00297C55"/>
    <w:rsid w:val="002A1D86"/>
    <w:rsid w:val="002A5329"/>
    <w:rsid w:val="002B18C0"/>
    <w:rsid w:val="002B6496"/>
    <w:rsid w:val="002C1D36"/>
    <w:rsid w:val="002C20F8"/>
    <w:rsid w:val="002C334D"/>
    <w:rsid w:val="002D4C2A"/>
    <w:rsid w:val="002E0B4A"/>
    <w:rsid w:val="002E1068"/>
    <w:rsid w:val="002F0811"/>
    <w:rsid w:val="002F13EA"/>
    <w:rsid w:val="002F1EA4"/>
    <w:rsid w:val="002F38FF"/>
    <w:rsid w:val="002F787A"/>
    <w:rsid w:val="002F7A8E"/>
    <w:rsid w:val="00312257"/>
    <w:rsid w:val="00312F41"/>
    <w:rsid w:val="003161CE"/>
    <w:rsid w:val="0032059D"/>
    <w:rsid w:val="00326B2A"/>
    <w:rsid w:val="00327463"/>
    <w:rsid w:val="00332C2F"/>
    <w:rsid w:val="00334C2C"/>
    <w:rsid w:val="003370AA"/>
    <w:rsid w:val="003464B8"/>
    <w:rsid w:val="00347912"/>
    <w:rsid w:val="00356737"/>
    <w:rsid w:val="00360BC4"/>
    <w:rsid w:val="00364AAA"/>
    <w:rsid w:val="00365855"/>
    <w:rsid w:val="003658F1"/>
    <w:rsid w:val="0036771B"/>
    <w:rsid w:val="00384044"/>
    <w:rsid w:val="003851B9"/>
    <w:rsid w:val="0038619A"/>
    <w:rsid w:val="00390B47"/>
    <w:rsid w:val="00391C9E"/>
    <w:rsid w:val="00394018"/>
    <w:rsid w:val="00395969"/>
    <w:rsid w:val="003A4D2C"/>
    <w:rsid w:val="003B4AD0"/>
    <w:rsid w:val="003B57C1"/>
    <w:rsid w:val="003C1666"/>
    <w:rsid w:val="003D125B"/>
    <w:rsid w:val="003D3226"/>
    <w:rsid w:val="003D38E5"/>
    <w:rsid w:val="003D56BE"/>
    <w:rsid w:val="003D630E"/>
    <w:rsid w:val="003E1937"/>
    <w:rsid w:val="003E1D6C"/>
    <w:rsid w:val="003E7EFF"/>
    <w:rsid w:val="004065F5"/>
    <w:rsid w:val="004078BC"/>
    <w:rsid w:val="00411EBC"/>
    <w:rsid w:val="004145F1"/>
    <w:rsid w:val="00423B4A"/>
    <w:rsid w:val="00423D30"/>
    <w:rsid w:val="00424320"/>
    <w:rsid w:val="00424F4B"/>
    <w:rsid w:val="00425A89"/>
    <w:rsid w:val="004333DF"/>
    <w:rsid w:val="004344A1"/>
    <w:rsid w:val="00440122"/>
    <w:rsid w:val="00442992"/>
    <w:rsid w:val="00442AB0"/>
    <w:rsid w:val="00443DF1"/>
    <w:rsid w:val="00444C4F"/>
    <w:rsid w:val="00453698"/>
    <w:rsid w:val="0047412D"/>
    <w:rsid w:val="00477AFA"/>
    <w:rsid w:val="004835C0"/>
    <w:rsid w:val="00484278"/>
    <w:rsid w:val="00491898"/>
    <w:rsid w:val="00494557"/>
    <w:rsid w:val="00497EED"/>
    <w:rsid w:val="004A1A8C"/>
    <w:rsid w:val="004B1532"/>
    <w:rsid w:val="004B1552"/>
    <w:rsid w:val="004B3BDA"/>
    <w:rsid w:val="004B6EB3"/>
    <w:rsid w:val="004C0371"/>
    <w:rsid w:val="004D23E3"/>
    <w:rsid w:val="004D3759"/>
    <w:rsid w:val="004D6620"/>
    <w:rsid w:val="004E2D70"/>
    <w:rsid w:val="004F488D"/>
    <w:rsid w:val="004F7E66"/>
    <w:rsid w:val="0050242B"/>
    <w:rsid w:val="00505E1F"/>
    <w:rsid w:val="00517E37"/>
    <w:rsid w:val="00517E9A"/>
    <w:rsid w:val="00521AE3"/>
    <w:rsid w:val="00524FA2"/>
    <w:rsid w:val="00527432"/>
    <w:rsid w:val="00527CCC"/>
    <w:rsid w:val="00533D96"/>
    <w:rsid w:val="00535CFE"/>
    <w:rsid w:val="00544ABE"/>
    <w:rsid w:val="005559B4"/>
    <w:rsid w:val="00566CFE"/>
    <w:rsid w:val="005707C0"/>
    <w:rsid w:val="00573915"/>
    <w:rsid w:val="00577776"/>
    <w:rsid w:val="00580E3C"/>
    <w:rsid w:val="00585627"/>
    <w:rsid w:val="00585BAA"/>
    <w:rsid w:val="00594C18"/>
    <w:rsid w:val="005A33E9"/>
    <w:rsid w:val="005B2BAB"/>
    <w:rsid w:val="005C0A05"/>
    <w:rsid w:val="005C1958"/>
    <w:rsid w:val="005C2DBB"/>
    <w:rsid w:val="005D7344"/>
    <w:rsid w:val="005D7861"/>
    <w:rsid w:val="005D789C"/>
    <w:rsid w:val="005F2186"/>
    <w:rsid w:val="005F39BF"/>
    <w:rsid w:val="005F60BF"/>
    <w:rsid w:val="005F76B2"/>
    <w:rsid w:val="005F7C04"/>
    <w:rsid w:val="006025CA"/>
    <w:rsid w:val="00606CE2"/>
    <w:rsid w:val="0061093C"/>
    <w:rsid w:val="006154D8"/>
    <w:rsid w:val="0062137D"/>
    <w:rsid w:val="0062389D"/>
    <w:rsid w:val="006264E7"/>
    <w:rsid w:val="00643391"/>
    <w:rsid w:val="00654396"/>
    <w:rsid w:val="006544FE"/>
    <w:rsid w:val="00654CA3"/>
    <w:rsid w:val="006553CC"/>
    <w:rsid w:val="00666C3F"/>
    <w:rsid w:val="0067165F"/>
    <w:rsid w:val="00684247"/>
    <w:rsid w:val="00687137"/>
    <w:rsid w:val="006904C1"/>
    <w:rsid w:val="00695AE0"/>
    <w:rsid w:val="006A409B"/>
    <w:rsid w:val="006A56AB"/>
    <w:rsid w:val="006B0C14"/>
    <w:rsid w:val="006B53C5"/>
    <w:rsid w:val="006D081A"/>
    <w:rsid w:val="006D2A75"/>
    <w:rsid w:val="006D6483"/>
    <w:rsid w:val="006D6669"/>
    <w:rsid w:val="006E0E4C"/>
    <w:rsid w:val="006E5135"/>
    <w:rsid w:val="006E7072"/>
    <w:rsid w:val="006F04EA"/>
    <w:rsid w:val="006F225D"/>
    <w:rsid w:val="006F6BC6"/>
    <w:rsid w:val="006F7A90"/>
    <w:rsid w:val="00702924"/>
    <w:rsid w:val="00702FC0"/>
    <w:rsid w:val="00714D6F"/>
    <w:rsid w:val="00715234"/>
    <w:rsid w:val="00715F85"/>
    <w:rsid w:val="0071605F"/>
    <w:rsid w:val="00716FEF"/>
    <w:rsid w:val="007218D9"/>
    <w:rsid w:val="00724476"/>
    <w:rsid w:val="007256E3"/>
    <w:rsid w:val="00733FF1"/>
    <w:rsid w:val="0073516B"/>
    <w:rsid w:val="00737918"/>
    <w:rsid w:val="007379D8"/>
    <w:rsid w:val="00742BAC"/>
    <w:rsid w:val="0075113F"/>
    <w:rsid w:val="00757C68"/>
    <w:rsid w:val="00761D52"/>
    <w:rsid w:val="00764A60"/>
    <w:rsid w:val="00766C1D"/>
    <w:rsid w:val="007715C1"/>
    <w:rsid w:val="00784D31"/>
    <w:rsid w:val="007862D9"/>
    <w:rsid w:val="00794D7B"/>
    <w:rsid w:val="00795B6C"/>
    <w:rsid w:val="007A5AB6"/>
    <w:rsid w:val="007A5B91"/>
    <w:rsid w:val="007B305A"/>
    <w:rsid w:val="007B5E77"/>
    <w:rsid w:val="007B7AAD"/>
    <w:rsid w:val="007C351C"/>
    <w:rsid w:val="007C7EE6"/>
    <w:rsid w:val="007D1DC1"/>
    <w:rsid w:val="007D663C"/>
    <w:rsid w:val="007E3E06"/>
    <w:rsid w:val="007E75DC"/>
    <w:rsid w:val="007E7DD4"/>
    <w:rsid w:val="007F19B2"/>
    <w:rsid w:val="00800141"/>
    <w:rsid w:val="00801E6B"/>
    <w:rsid w:val="00804DD8"/>
    <w:rsid w:val="00805E5E"/>
    <w:rsid w:val="008071CC"/>
    <w:rsid w:val="008108BC"/>
    <w:rsid w:val="00812B98"/>
    <w:rsid w:val="00814FBE"/>
    <w:rsid w:val="00822669"/>
    <w:rsid w:val="00822901"/>
    <w:rsid w:val="00823BDE"/>
    <w:rsid w:val="008259A3"/>
    <w:rsid w:val="0082759A"/>
    <w:rsid w:val="00831698"/>
    <w:rsid w:val="00833321"/>
    <w:rsid w:val="008353C5"/>
    <w:rsid w:val="00836DEF"/>
    <w:rsid w:val="00842CA0"/>
    <w:rsid w:val="00844BAC"/>
    <w:rsid w:val="0086269E"/>
    <w:rsid w:val="00863598"/>
    <w:rsid w:val="00863718"/>
    <w:rsid w:val="00867034"/>
    <w:rsid w:val="00867553"/>
    <w:rsid w:val="00875361"/>
    <w:rsid w:val="00880E19"/>
    <w:rsid w:val="00883BCD"/>
    <w:rsid w:val="008870FA"/>
    <w:rsid w:val="00887FDB"/>
    <w:rsid w:val="008904CA"/>
    <w:rsid w:val="00892853"/>
    <w:rsid w:val="008A6DC7"/>
    <w:rsid w:val="008C2BB6"/>
    <w:rsid w:val="008C3803"/>
    <w:rsid w:val="008C40F2"/>
    <w:rsid w:val="008D09B5"/>
    <w:rsid w:val="008D498C"/>
    <w:rsid w:val="008E1554"/>
    <w:rsid w:val="008E4497"/>
    <w:rsid w:val="008E44DC"/>
    <w:rsid w:val="008F0B62"/>
    <w:rsid w:val="008F1C91"/>
    <w:rsid w:val="008F2589"/>
    <w:rsid w:val="009016CA"/>
    <w:rsid w:val="009024F3"/>
    <w:rsid w:val="009029C4"/>
    <w:rsid w:val="00903D1C"/>
    <w:rsid w:val="00904B3E"/>
    <w:rsid w:val="00911D35"/>
    <w:rsid w:val="00913E5C"/>
    <w:rsid w:val="00916E8E"/>
    <w:rsid w:val="009245C5"/>
    <w:rsid w:val="00925DAF"/>
    <w:rsid w:val="009263F2"/>
    <w:rsid w:val="00927872"/>
    <w:rsid w:val="0093450A"/>
    <w:rsid w:val="009420C4"/>
    <w:rsid w:val="00946BEA"/>
    <w:rsid w:val="00955159"/>
    <w:rsid w:val="00955779"/>
    <w:rsid w:val="0095798C"/>
    <w:rsid w:val="00964F2A"/>
    <w:rsid w:val="009659B4"/>
    <w:rsid w:val="00967C62"/>
    <w:rsid w:val="009708B6"/>
    <w:rsid w:val="00970C38"/>
    <w:rsid w:val="0097386C"/>
    <w:rsid w:val="00983CFF"/>
    <w:rsid w:val="009861BD"/>
    <w:rsid w:val="00990F3E"/>
    <w:rsid w:val="00992CDE"/>
    <w:rsid w:val="00994167"/>
    <w:rsid w:val="009941A7"/>
    <w:rsid w:val="0099581E"/>
    <w:rsid w:val="009A08B6"/>
    <w:rsid w:val="009A7BE2"/>
    <w:rsid w:val="009B133D"/>
    <w:rsid w:val="009B2076"/>
    <w:rsid w:val="009B32C2"/>
    <w:rsid w:val="009B3809"/>
    <w:rsid w:val="009B47A2"/>
    <w:rsid w:val="009B6B0E"/>
    <w:rsid w:val="009B73B6"/>
    <w:rsid w:val="009C0F6F"/>
    <w:rsid w:val="009D56D3"/>
    <w:rsid w:val="009D5C87"/>
    <w:rsid w:val="009D636D"/>
    <w:rsid w:val="009D67AA"/>
    <w:rsid w:val="009E7CF5"/>
    <w:rsid w:val="009F24D8"/>
    <w:rsid w:val="00A057D7"/>
    <w:rsid w:val="00A06D61"/>
    <w:rsid w:val="00A409B3"/>
    <w:rsid w:val="00A41AEC"/>
    <w:rsid w:val="00A423D9"/>
    <w:rsid w:val="00A42749"/>
    <w:rsid w:val="00A428DF"/>
    <w:rsid w:val="00A42A4F"/>
    <w:rsid w:val="00A46498"/>
    <w:rsid w:val="00A519A8"/>
    <w:rsid w:val="00A57597"/>
    <w:rsid w:val="00A62A1E"/>
    <w:rsid w:val="00A73BAC"/>
    <w:rsid w:val="00A76B7B"/>
    <w:rsid w:val="00A82A82"/>
    <w:rsid w:val="00A9565A"/>
    <w:rsid w:val="00A95AFE"/>
    <w:rsid w:val="00AA00F4"/>
    <w:rsid w:val="00AA2A6A"/>
    <w:rsid w:val="00AA6B16"/>
    <w:rsid w:val="00AA70F8"/>
    <w:rsid w:val="00AB523E"/>
    <w:rsid w:val="00AB6AD6"/>
    <w:rsid w:val="00AB6F5D"/>
    <w:rsid w:val="00AC4540"/>
    <w:rsid w:val="00AC4BEC"/>
    <w:rsid w:val="00AD25D2"/>
    <w:rsid w:val="00AD2E7E"/>
    <w:rsid w:val="00AD46DC"/>
    <w:rsid w:val="00AD49AE"/>
    <w:rsid w:val="00AD4D59"/>
    <w:rsid w:val="00AD6BE6"/>
    <w:rsid w:val="00AE106A"/>
    <w:rsid w:val="00AE3DE5"/>
    <w:rsid w:val="00AE4E98"/>
    <w:rsid w:val="00AE748D"/>
    <w:rsid w:val="00AF0992"/>
    <w:rsid w:val="00AF3A6A"/>
    <w:rsid w:val="00AF7CA9"/>
    <w:rsid w:val="00B00354"/>
    <w:rsid w:val="00B00A87"/>
    <w:rsid w:val="00B02D23"/>
    <w:rsid w:val="00B05EE6"/>
    <w:rsid w:val="00B1017E"/>
    <w:rsid w:val="00B101FB"/>
    <w:rsid w:val="00B10AD0"/>
    <w:rsid w:val="00B10F37"/>
    <w:rsid w:val="00B20CB3"/>
    <w:rsid w:val="00B20E4F"/>
    <w:rsid w:val="00B24319"/>
    <w:rsid w:val="00B245A2"/>
    <w:rsid w:val="00B25671"/>
    <w:rsid w:val="00B257AC"/>
    <w:rsid w:val="00B260E6"/>
    <w:rsid w:val="00B3144F"/>
    <w:rsid w:val="00B31CDE"/>
    <w:rsid w:val="00B31EE5"/>
    <w:rsid w:val="00B34C4B"/>
    <w:rsid w:val="00B40E01"/>
    <w:rsid w:val="00B52455"/>
    <w:rsid w:val="00B75CF9"/>
    <w:rsid w:val="00B84DDB"/>
    <w:rsid w:val="00B8624B"/>
    <w:rsid w:val="00B86FF7"/>
    <w:rsid w:val="00B87569"/>
    <w:rsid w:val="00B90DB2"/>
    <w:rsid w:val="00B91E09"/>
    <w:rsid w:val="00BA054C"/>
    <w:rsid w:val="00BA08B9"/>
    <w:rsid w:val="00BA2188"/>
    <w:rsid w:val="00BA696F"/>
    <w:rsid w:val="00BA6A3C"/>
    <w:rsid w:val="00BB0923"/>
    <w:rsid w:val="00BB0B96"/>
    <w:rsid w:val="00BC0A2E"/>
    <w:rsid w:val="00BC3721"/>
    <w:rsid w:val="00BD02DD"/>
    <w:rsid w:val="00BD04A9"/>
    <w:rsid w:val="00BD0CC3"/>
    <w:rsid w:val="00BD2B5C"/>
    <w:rsid w:val="00BE2BE6"/>
    <w:rsid w:val="00BE4614"/>
    <w:rsid w:val="00BE660F"/>
    <w:rsid w:val="00BF0530"/>
    <w:rsid w:val="00C02F2A"/>
    <w:rsid w:val="00C04B6C"/>
    <w:rsid w:val="00C04CBA"/>
    <w:rsid w:val="00C06EC2"/>
    <w:rsid w:val="00C11A45"/>
    <w:rsid w:val="00C13F29"/>
    <w:rsid w:val="00C174E7"/>
    <w:rsid w:val="00C21ED1"/>
    <w:rsid w:val="00C23C93"/>
    <w:rsid w:val="00C26236"/>
    <w:rsid w:val="00C264B5"/>
    <w:rsid w:val="00C32BBF"/>
    <w:rsid w:val="00C401E8"/>
    <w:rsid w:val="00C407D4"/>
    <w:rsid w:val="00C44C49"/>
    <w:rsid w:val="00C4679D"/>
    <w:rsid w:val="00C5401A"/>
    <w:rsid w:val="00C612D5"/>
    <w:rsid w:val="00C62689"/>
    <w:rsid w:val="00C6349A"/>
    <w:rsid w:val="00C64DE7"/>
    <w:rsid w:val="00C67B60"/>
    <w:rsid w:val="00C719E5"/>
    <w:rsid w:val="00C7408F"/>
    <w:rsid w:val="00C7616C"/>
    <w:rsid w:val="00C83010"/>
    <w:rsid w:val="00C836EF"/>
    <w:rsid w:val="00C8709C"/>
    <w:rsid w:val="00CA31B8"/>
    <w:rsid w:val="00CA5D0B"/>
    <w:rsid w:val="00CA613B"/>
    <w:rsid w:val="00CB46AB"/>
    <w:rsid w:val="00CC5927"/>
    <w:rsid w:val="00CD125A"/>
    <w:rsid w:val="00CD1B4A"/>
    <w:rsid w:val="00CD2C8D"/>
    <w:rsid w:val="00CE08D2"/>
    <w:rsid w:val="00CE0BC1"/>
    <w:rsid w:val="00CE14E0"/>
    <w:rsid w:val="00CF0C4B"/>
    <w:rsid w:val="00CF25CA"/>
    <w:rsid w:val="00D02E4C"/>
    <w:rsid w:val="00D0764B"/>
    <w:rsid w:val="00D13052"/>
    <w:rsid w:val="00D21ED2"/>
    <w:rsid w:val="00D25CA9"/>
    <w:rsid w:val="00D262FA"/>
    <w:rsid w:val="00D26842"/>
    <w:rsid w:val="00D26BE5"/>
    <w:rsid w:val="00D31C1F"/>
    <w:rsid w:val="00D3709F"/>
    <w:rsid w:val="00D43026"/>
    <w:rsid w:val="00D439F0"/>
    <w:rsid w:val="00D565E9"/>
    <w:rsid w:val="00D57F46"/>
    <w:rsid w:val="00D63469"/>
    <w:rsid w:val="00D72534"/>
    <w:rsid w:val="00D73A04"/>
    <w:rsid w:val="00D76084"/>
    <w:rsid w:val="00D76A1D"/>
    <w:rsid w:val="00D805A3"/>
    <w:rsid w:val="00D81CCD"/>
    <w:rsid w:val="00D82FE0"/>
    <w:rsid w:val="00D95872"/>
    <w:rsid w:val="00D95933"/>
    <w:rsid w:val="00DA28C3"/>
    <w:rsid w:val="00DA310B"/>
    <w:rsid w:val="00DA39E3"/>
    <w:rsid w:val="00DA4AEB"/>
    <w:rsid w:val="00DA5ECD"/>
    <w:rsid w:val="00DA6884"/>
    <w:rsid w:val="00DA724E"/>
    <w:rsid w:val="00DA7FF0"/>
    <w:rsid w:val="00DB173C"/>
    <w:rsid w:val="00DB2110"/>
    <w:rsid w:val="00DB33B8"/>
    <w:rsid w:val="00DB524A"/>
    <w:rsid w:val="00DB5579"/>
    <w:rsid w:val="00DC3D2F"/>
    <w:rsid w:val="00DC4BB7"/>
    <w:rsid w:val="00DD0298"/>
    <w:rsid w:val="00DD1AA4"/>
    <w:rsid w:val="00DD475B"/>
    <w:rsid w:val="00DD6A5C"/>
    <w:rsid w:val="00DE0234"/>
    <w:rsid w:val="00DF2C9C"/>
    <w:rsid w:val="00DF3225"/>
    <w:rsid w:val="00DF432C"/>
    <w:rsid w:val="00E0400F"/>
    <w:rsid w:val="00E0500F"/>
    <w:rsid w:val="00E05E08"/>
    <w:rsid w:val="00E1297D"/>
    <w:rsid w:val="00E1349E"/>
    <w:rsid w:val="00E14604"/>
    <w:rsid w:val="00E14A8A"/>
    <w:rsid w:val="00E15C88"/>
    <w:rsid w:val="00E2303A"/>
    <w:rsid w:val="00E23E01"/>
    <w:rsid w:val="00E24906"/>
    <w:rsid w:val="00E2533D"/>
    <w:rsid w:val="00E266C9"/>
    <w:rsid w:val="00E303AC"/>
    <w:rsid w:val="00E362E6"/>
    <w:rsid w:val="00E3683E"/>
    <w:rsid w:val="00E411CB"/>
    <w:rsid w:val="00E418AC"/>
    <w:rsid w:val="00E44652"/>
    <w:rsid w:val="00E44D86"/>
    <w:rsid w:val="00E50705"/>
    <w:rsid w:val="00E55F81"/>
    <w:rsid w:val="00E57ACE"/>
    <w:rsid w:val="00E70934"/>
    <w:rsid w:val="00E76CEE"/>
    <w:rsid w:val="00E80F4E"/>
    <w:rsid w:val="00E81CDB"/>
    <w:rsid w:val="00E822D1"/>
    <w:rsid w:val="00E8712D"/>
    <w:rsid w:val="00E9223A"/>
    <w:rsid w:val="00E93136"/>
    <w:rsid w:val="00E946F6"/>
    <w:rsid w:val="00E95309"/>
    <w:rsid w:val="00E95536"/>
    <w:rsid w:val="00EA37A8"/>
    <w:rsid w:val="00EB1E15"/>
    <w:rsid w:val="00EB26E2"/>
    <w:rsid w:val="00EB4332"/>
    <w:rsid w:val="00EB6D8C"/>
    <w:rsid w:val="00EB75EE"/>
    <w:rsid w:val="00EC1404"/>
    <w:rsid w:val="00EC1871"/>
    <w:rsid w:val="00ED0EFC"/>
    <w:rsid w:val="00EE40EA"/>
    <w:rsid w:val="00EF56E9"/>
    <w:rsid w:val="00EF687C"/>
    <w:rsid w:val="00EF6BC8"/>
    <w:rsid w:val="00F1766D"/>
    <w:rsid w:val="00F20F65"/>
    <w:rsid w:val="00F246A5"/>
    <w:rsid w:val="00F2705A"/>
    <w:rsid w:val="00F33C49"/>
    <w:rsid w:val="00F36CE8"/>
    <w:rsid w:val="00F46B75"/>
    <w:rsid w:val="00F53630"/>
    <w:rsid w:val="00F54F86"/>
    <w:rsid w:val="00F61377"/>
    <w:rsid w:val="00F63428"/>
    <w:rsid w:val="00F638EA"/>
    <w:rsid w:val="00F64FE4"/>
    <w:rsid w:val="00F670B2"/>
    <w:rsid w:val="00F773AE"/>
    <w:rsid w:val="00F82DBD"/>
    <w:rsid w:val="00F82F63"/>
    <w:rsid w:val="00F860AA"/>
    <w:rsid w:val="00F86BE6"/>
    <w:rsid w:val="00F91767"/>
    <w:rsid w:val="00FA4EDE"/>
    <w:rsid w:val="00FA5AC6"/>
    <w:rsid w:val="00FA6BA2"/>
    <w:rsid w:val="00FB3915"/>
    <w:rsid w:val="00FB4E82"/>
    <w:rsid w:val="00FB5B29"/>
    <w:rsid w:val="00FB7500"/>
    <w:rsid w:val="00FC609B"/>
    <w:rsid w:val="00FD12FE"/>
    <w:rsid w:val="00FD1613"/>
    <w:rsid w:val="00FD64F0"/>
    <w:rsid w:val="00FE137C"/>
    <w:rsid w:val="00FE170F"/>
    <w:rsid w:val="00FE29B6"/>
    <w:rsid w:val="00FE553B"/>
    <w:rsid w:val="00FF1504"/>
    <w:rsid w:val="00FF3766"/>
    <w:rsid w:val="00FF5C5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97F3A9D"/>
  <w14:defaultImageDpi w14:val="32767"/>
  <w15:docId w15:val="{51AAF2F1-8A82-4745-82A6-0BB7B87DA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E2BE6"/>
    <w:pPr>
      <w:widowControl/>
      <w:autoSpaceDE/>
      <w:autoSpaceDN/>
      <w:spacing w:after="160" w:line="259" w:lineRule="auto"/>
    </w:pPr>
  </w:style>
  <w:style w:type="paragraph" w:styleId="1">
    <w:name w:val="heading 1"/>
    <w:basedOn w:val="a"/>
    <w:next w:val="a"/>
    <w:link w:val="1Char"/>
    <w:autoRedefine/>
    <w:uiPriority w:val="9"/>
    <w:qFormat/>
    <w:rsid w:val="00DA7FF0"/>
    <w:pPr>
      <w:keepNext/>
      <w:keepLines/>
      <w:spacing w:before="240" w:after="0" w:line="240" w:lineRule="auto"/>
      <w:outlineLvl w:val="0"/>
    </w:pPr>
    <w:rPr>
      <w:rFonts w:ascii="Arial" w:eastAsiaTheme="majorEastAsia" w:hAnsi="Arial" w:cs="Arial"/>
      <w:b/>
      <w:bCs/>
      <w:caps/>
      <w:color w:val="1901B7"/>
      <w:sz w:val="18"/>
      <w:szCs w:val="18"/>
    </w:rPr>
  </w:style>
  <w:style w:type="paragraph" w:styleId="2">
    <w:name w:val="heading 2"/>
    <w:basedOn w:val="a"/>
    <w:next w:val="a"/>
    <w:link w:val="2Char"/>
    <w:uiPriority w:val="9"/>
    <w:unhideWhenUsed/>
    <w:qFormat/>
    <w:rsid w:val="00AD6BE6"/>
    <w:pPr>
      <w:keepNext/>
      <w:keepLines/>
      <w:spacing w:before="500" w:after="0" w:line="264" w:lineRule="auto"/>
      <w:jc w:val="both"/>
      <w:outlineLvl w:val="1"/>
    </w:pPr>
    <w:rPr>
      <w:rFonts w:ascii="Arial" w:eastAsiaTheme="majorEastAsia" w:hAnsi="Arial" w:cstheme="majorBidi"/>
      <w:b/>
      <w:bCs/>
      <w:i/>
      <w:sz w:val="18"/>
      <w:szCs w:val="26"/>
    </w:rPr>
  </w:style>
  <w:style w:type="paragraph" w:styleId="3">
    <w:name w:val="heading 3"/>
    <w:basedOn w:val="a"/>
    <w:next w:val="a"/>
    <w:link w:val="3Char"/>
    <w:uiPriority w:val="9"/>
    <w:unhideWhenUsed/>
    <w:qFormat/>
    <w:rsid w:val="00955779"/>
    <w:pPr>
      <w:keepNext/>
      <w:keepLines/>
      <w:numPr>
        <w:numId w:val="7"/>
      </w:numPr>
      <w:spacing w:before="200" w:after="0" w:line="264" w:lineRule="auto"/>
      <w:jc w:val="both"/>
      <w:outlineLvl w:val="2"/>
    </w:pPr>
    <w:rPr>
      <w:rFonts w:asciiTheme="majorHAnsi" w:eastAsiaTheme="majorEastAsia" w:hAnsiTheme="majorHAnsi" w:cstheme="majorBidi"/>
      <w:bCs/>
      <w:sz w:val="20"/>
    </w:rPr>
  </w:style>
  <w:style w:type="paragraph" w:styleId="4">
    <w:name w:val="heading 4"/>
    <w:basedOn w:val="a"/>
    <w:next w:val="a"/>
    <w:link w:val="4Char"/>
    <w:uiPriority w:val="9"/>
    <w:unhideWhenUsed/>
    <w:qFormat/>
    <w:rsid w:val="00822669"/>
    <w:pPr>
      <w:keepNext/>
      <w:keepLines/>
      <w:numPr>
        <w:numId w:val="8"/>
      </w:numPr>
      <w:spacing w:before="200" w:after="0" w:line="264" w:lineRule="auto"/>
      <w:jc w:val="both"/>
      <w:outlineLvl w:val="3"/>
    </w:pPr>
    <w:rPr>
      <w:rFonts w:asciiTheme="majorHAnsi" w:eastAsiaTheme="majorEastAsia" w:hAnsiTheme="majorHAnsi" w:cstheme="majorBidi"/>
      <w:bCs/>
      <w:i/>
      <w:iCs/>
      <w:sz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rPr>
      <w:rFonts w:ascii="Times New Roman" w:eastAsia="Times New Roman" w:hAnsi="Times New Roman" w:cs="Times New Roman"/>
      <w:sz w:val="21"/>
      <w:szCs w:val="21"/>
    </w:rPr>
  </w:style>
  <w:style w:type="paragraph" w:styleId="a4">
    <w:name w:val="List Paragraph"/>
    <w:basedOn w:val="a"/>
    <w:uiPriority w:val="1"/>
    <w:qFormat/>
    <w:rsid w:val="00EC1404"/>
    <w:pPr>
      <w:spacing w:before="120"/>
      <w:ind w:left="351" w:right="92" w:hanging="233"/>
      <w:jc w:val="both"/>
    </w:pPr>
    <w:rPr>
      <w:rFonts w:ascii="Times New Roman" w:eastAsia="Arial" w:hAnsi="Times New Roman" w:cs="Arial"/>
      <w:sz w:val="19"/>
    </w:rPr>
  </w:style>
  <w:style w:type="paragraph" w:customStyle="1" w:styleId="TableParagraph">
    <w:name w:val="Table Paragraph"/>
    <w:basedOn w:val="a"/>
    <w:uiPriority w:val="1"/>
    <w:qFormat/>
    <w:pPr>
      <w:ind w:left="122"/>
    </w:pPr>
    <w:rPr>
      <w:rFonts w:ascii="Times New Roman" w:eastAsia="Times New Roman" w:hAnsi="Times New Roman" w:cs="Times New Roman"/>
    </w:rPr>
  </w:style>
  <w:style w:type="paragraph" w:styleId="a5">
    <w:name w:val="header"/>
    <w:basedOn w:val="a"/>
    <w:link w:val="Char"/>
    <w:uiPriority w:val="99"/>
    <w:unhideWhenUsed/>
    <w:rsid w:val="00580E3C"/>
    <w:pPr>
      <w:tabs>
        <w:tab w:val="center" w:pos="4680"/>
        <w:tab w:val="right" w:pos="9360"/>
      </w:tabs>
    </w:pPr>
  </w:style>
  <w:style w:type="character" w:customStyle="1" w:styleId="Char">
    <w:name w:val="머리글 Char"/>
    <w:basedOn w:val="a0"/>
    <w:link w:val="a5"/>
    <w:uiPriority w:val="99"/>
    <w:rsid w:val="00580E3C"/>
    <w:rPr>
      <w:rFonts w:ascii="Times New Roman" w:eastAsia="Times New Roman" w:hAnsi="Times New Roman" w:cs="Times New Roman"/>
    </w:rPr>
  </w:style>
  <w:style w:type="paragraph" w:styleId="a6">
    <w:name w:val="footer"/>
    <w:basedOn w:val="a"/>
    <w:link w:val="Char0"/>
    <w:unhideWhenUsed/>
    <w:rsid w:val="00580E3C"/>
    <w:pPr>
      <w:tabs>
        <w:tab w:val="center" w:pos="4680"/>
        <w:tab w:val="right" w:pos="9360"/>
      </w:tabs>
    </w:pPr>
  </w:style>
  <w:style w:type="character" w:customStyle="1" w:styleId="Char0">
    <w:name w:val="바닥글 Char"/>
    <w:basedOn w:val="a0"/>
    <w:link w:val="a6"/>
    <w:uiPriority w:val="99"/>
    <w:rsid w:val="00580E3C"/>
    <w:rPr>
      <w:rFonts w:ascii="Times New Roman" w:eastAsia="Times New Roman" w:hAnsi="Times New Roman" w:cs="Times New Roman"/>
    </w:rPr>
  </w:style>
  <w:style w:type="character" w:customStyle="1" w:styleId="4Char">
    <w:name w:val="제목 4 Char"/>
    <w:basedOn w:val="a0"/>
    <w:link w:val="4"/>
    <w:uiPriority w:val="9"/>
    <w:rsid w:val="00955779"/>
    <w:rPr>
      <w:rFonts w:asciiTheme="majorHAnsi" w:eastAsiaTheme="majorEastAsia" w:hAnsiTheme="majorHAnsi" w:cstheme="majorBidi"/>
      <w:bCs/>
      <w:i/>
      <w:iCs/>
      <w:sz w:val="20"/>
    </w:rPr>
  </w:style>
  <w:style w:type="paragraph" w:customStyle="1" w:styleId="AbsHead">
    <w:name w:val="AbsHead"/>
    <w:link w:val="AbsHeadChar"/>
    <w:autoRedefine/>
    <w:qFormat/>
    <w:rsid w:val="00BE2BE6"/>
    <w:pPr>
      <w:keepNext/>
      <w:widowControl/>
      <w:autoSpaceDE/>
      <w:autoSpaceDN/>
      <w:spacing w:before="120" w:after="80"/>
    </w:pPr>
    <w:rPr>
      <w:rFonts w:ascii="Helvetica-Light" w:hAnsi="Helvetica-Light" w:cs="Linux Biolinum"/>
      <w:b/>
      <w:sz w:val="18"/>
      <w:lang w:val="fr-FR"/>
    </w:rPr>
  </w:style>
  <w:style w:type="character" w:customStyle="1" w:styleId="AbsHeadChar">
    <w:name w:val="AbsHead Char"/>
    <w:basedOn w:val="a0"/>
    <w:link w:val="AbsHead"/>
    <w:rsid w:val="00BE2BE6"/>
    <w:rPr>
      <w:rFonts w:ascii="Helvetica-Light" w:hAnsi="Helvetica-Light" w:cs="Linux Biolinum"/>
      <w:b/>
      <w:sz w:val="18"/>
      <w:lang w:val="fr-FR"/>
    </w:rPr>
  </w:style>
  <w:style w:type="paragraph" w:customStyle="1" w:styleId="Abstract">
    <w:name w:val="Abstract"/>
    <w:qFormat/>
    <w:rsid w:val="00BE2BE6"/>
    <w:pPr>
      <w:widowControl/>
      <w:autoSpaceDE/>
      <w:autoSpaceDN/>
      <w:spacing w:before="800" w:after="120" w:line="264" w:lineRule="auto"/>
      <w:ind w:firstLine="240"/>
      <w:jc w:val="both"/>
    </w:pPr>
    <w:rPr>
      <w:rFonts w:ascii="Helvetica-Light" w:hAnsi="Helvetica-Light" w:cs="Linux Libertine"/>
      <w:sz w:val="18"/>
    </w:rPr>
  </w:style>
  <w:style w:type="paragraph" w:customStyle="1" w:styleId="Authors">
    <w:name w:val="Authors"/>
    <w:link w:val="AuthorsChar"/>
    <w:autoRedefine/>
    <w:qFormat/>
    <w:rsid w:val="003658F1"/>
    <w:pPr>
      <w:widowControl/>
      <w:autoSpaceDE/>
      <w:autoSpaceDN/>
      <w:spacing w:before="120" w:after="40"/>
    </w:pPr>
    <w:rPr>
      <w:rFonts w:ascii="Arial" w:hAnsi="Arial" w:cs="Arial"/>
      <w:b/>
      <w:sz w:val="20"/>
    </w:rPr>
  </w:style>
  <w:style w:type="character" w:customStyle="1" w:styleId="AuthorsChar">
    <w:name w:val="Authors Char"/>
    <w:basedOn w:val="a0"/>
    <w:link w:val="Authors"/>
    <w:rsid w:val="003658F1"/>
    <w:rPr>
      <w:rFonts w:ascii="Arial" w:hAnsi="Arial" w:cs="Arial"/>
      <w:b/>
      <w:sz w:val="20"/>
    </w:rPr>
  </w:style>
  <w:style w:type="paragraph" w:customStyle="1" w:styleId="Affiliation">
    <w:name w:val="Affiliation"/>
    <w:autoRedefine/>
    <w:qFormat/>
    <w:rsid w:val="00FB4E82"/>
    <w:pPr>
      <w:widowControl/>
      <w:autoSpaceDE/>
      <w:autoSpaceDN/>
    </w:pPr>
    <w:rPr>
      <w:rFonts w:ascii="Arial" w:hAnsi="Arial" w:cs="Arial"/>
      <w:sz w:val="14"/>
      <w:szCs w:val="14"/>
    </w:rPr>
  </w:style>
  <w:style w:type="paragraph" w:customStyle="1" w:styleId="Appendix">
    <w:name w:val="Appendix"/>
    <w:link w:val="AppendixChar"/>
    <w:qFormat/>
    <w:rsid w:val="00BE2BE6"/>
    <w:pPr>
      <w:widowControl/>
      <w:autoSpaceDE/>
      <w:autoSpaceDN/>
      <w:spacing w:before="480" w:after="200" w:line="276" w:lineRule="auto"/>
    </w:pPr>
    <w:rPr>
      <w:rFonts w:asciiTheme="majorHAnsi" w:hAnsiTheme="majorHAnsi"/>
      <w:color w:val="1F497D" w:themeColor="text2"/>
      <w:sz w:val="28"/>
    </w:rPr>
  </w:style>
  <w:style w:type="character" w:customStyle="1" w:styleId="AppendixChar">
    <w:name w:val="Appendix Char"/>
    <w:basedOn w:val="a0"/>
    <w:link w:val="Appendix"/>
    <w:rsid w:val="00BE2BE6"/>
    <w:rPr>
      <w:rFonts w:asciiTheme="majorHAnsi" w:hAnsiTheme="majorHAnsi"/>
      <w:color w:val="1F497D" w:themeColor="text2"/>
      <w:sz w:val="28"/>
    </w:rPr>
  </w:style>
  <w:style w:type="paragraph" w:customStyle="1" w:styleId="AppendixH1">
    <w:name w:val="AppendixH1"/>
    <w:qFormat/>
    <w:rsid w:val="00BE2BE6"/>
    <w:pPr>
      <w:widowControl/>
      <w:autoSpaceDE/>
      <w:autoSpaceDN/>
      <w:spacing w:before="140" w:after="40"/>
    </w:pPr>
    <w:rPr>
      <w:rFonts w:ascii="Calibri" w:eastAsia="Times New Roman" w:hAnsi="Calibri" w:cs="Linux Biolinum"/>
      <w:b/>
      <w:szCs w:val="20"/>
    </w:rPr>
  </w:style>
  <w:style w:type="paragraph" w:customStyle="1" w:styleId="AppendixH2">
    <w:name w:val="AppendixH2"/>
    <w:qFormat/>
    <w:rsid w:val="00BE2BE6"/>
    <w:pPr>
      <w:widowControl/>
      <w:adjustRightInd w:val="0"/>
      <w:spacing w:before="60" w:after="40"/>
    </w:pPr>
    <w:rPr>
      <w:rFonts w:ascii="Calibri" w:hAnsi="Calibri" w:cs="Linux Biolinum"/>
      <w:b/>
      <w:szCs w:val="24"/>
    </w:rPr>
  </w:style>
  <w:style w:type="paragraph" w:customStyle="1" w:styleId="Bibentry">
    <w:name w:val="Bib_entry"/>
    <w:autoRedefine/>
    <w:qFormat/>
    <w:rsid w:val="006F225D"/>
    <w:pPr>
      <w:widowControl/>
      <w:autoSpaceDE/>
      <w:autoSpaceDN/>
      <w:ind w:left="320" w:hanging="320"/>
      <w:jc w:val="both"/>
    </w:pPr>
    <w:rPr>
      <w:rFonts w:ascii="Arial" w:hAnsi="Arial" w:cs="Arial"/>
      <w:sz w:val="16"/>
    </w:rPr>
  </w:style>
  <w:style w:type="paragraph" w:customStyle="1" w:styleId="Extract">
    <w:name w:val="Extract"/>
    <w:basedOn w:val="a"/>
    <w:rsid w:val="00BE2BE6"/>
    <w:pPr>
      <w:spacing w:after="0" w:line="240" w:lineRule="auto"/>
      <w:ind w:left="360" w:right="360"/>
      <w:contextualSpacing/>
      <w:jc w:val="both"/>
    </w:pPr>
    <w:rPr>
      <w:rFonts w:ascii="Times New Roman" w:eastAsia="Times New Roman" w:hAnsi="Times New Roman" w:cs="Linux Libertine"/>
      <w:sz w:val="20"/>
      <w:szCs w:val="20"/>
    </w:rPr>
  </w:style>
  <w:style w:type="paragraph" w:customStyle="1" w:styleId="FigureCaption">
    <w:name w:val="FigureCaption"/>
    <w:link w:val="FigureCaptionChar"/>
    <w:autoRedefine/>
    <w:qFormat/>
    <w:rsid w:val="00C401E8"/>
    <w:pPr>
      <w:keepNext/>
      <w:widowControl/>
      <w:autoSpaceDE/>
      <w:autoSpaceDN/>
      <w:spacing w:before="240" w:after="240"/>
      <w:jc w:val="both"/>
    </w:pPr>
    <w:rPr>
      <w:rFonts w:ascii="Arial" w:hAnsi="Arial" w:cs="Arial"/>
      <w:b/>
      <w:sz w:val="16"/>
    </w:rPr>
  </w:style>
  <w:style w:type="character" w:customStyle="1" w:styleId="FigureCaptionChar">
    <w:name w:val="FigureCaption Char"/>
    <w:basedOn w:val="a0"/>
    <w:link w:val="FigureCaption"/>
    <w:rsid w:val="00C401E8"/>
    <w:rPr>
      <w:rFonts w:ascii="Arial" w:hAnsi="Arial" w:cs="Arial"/>
      <w:b/>
      <w:sz w:val="16"/>
    </w:rPr>
  </w:style>
  <w:style w:type="character" w:customStyle="1" w:styleId="1Char">
    <w:name w:val="제목 1 Char"/>
    <w:basedOn w:val="a0"/>
    <w:link w:val="1"/>
    <w:uiPriority w:val="9"/>
    <w:rsid w:val="00DA7FF0"/>
    <w:rPr>
      <w:rFonts w:ascii="Arial" w:eastAsiaTheme="majorEastAsia" w:hAnsi="Arial" w:cs="Arial"/>
      <w:b/>
      <w:bCs/>
      <w:caps/>
      <w:color w:val="1901B7"/>
      <w:sz w:val="18"/>
      <w:szCs w:val="18"/>
    </w:rPr>
  </w:style>
  <w:style w:type="character" w:customStyle="1" w:styleId="2Char">
    <w:name w:val="제목 2 Char"/>
    <w:basedOn w:val="a0"/>
    <w:link w:val="2"/>
    <w:uiPriority w:val="9"/>
    <w:rsid w:val="00805E5E"/>
    <w:rPr>
      <w:rFonts w:ascii="Arial" w:eastAsiaTheme="majorEastAsia" w:hAnsi="Arial" w:cstheme="majorBidi"/>
      <w:b/>
      <w:bCs/>
      <w:i/>
      <w:sz w:val="18"/>
      <w:szCs w:val="26"/>
    </w:rPr>
  </w:style>
  <w:style w:type="character" w:customStyle="1" w:styleId="3Char">
    <w:name w:val="제목 3 Char"/>
    <w:basedOn w:val="a0"/>
    <w:link w:val="3"/>
    <w:uiPriority w:val="9"/>
    <w:rsid w:val="00955779"/>
    <w:rPr>
      <w:rFonts w:asciiTheme="majorHAnsi" w:eastAsiaTheme="majorEastAsia" w:hAnsiTheme="majorHAnsi" w:cstheme="majorBidi"/>
      <w:bCs/>
      <w:sz w:val="20"/>
    </w:rPr>
  </w:style>
  <w:style w:type="paragraph" w:customStyle="1" w:styleId="Para">
    <w:name w:val="Para"/>
    <w:autoRedefine/>
    <w:qFormat/>
    <w:rsid w:val="006154D8"/>
    <w:pPr>
      <w:widowControl/>
      <w:autoSpaceDE/>
      <w:autoSpaceDN/>
      <w:ind w:firstLine="240"/>
      <w:jc w:val="both"/>
    </w:pPr>
    <w:rPr>
      <w:rFonts w:ascii="Times New Roman" w:hAnsi="Times New Roman" w:cs="Times New Roman"/>
      <w:sz w:val="20"/>
    </w:rPr>
  </w:style>
  <w:style w:type="paragraph" w:customStyle="1" w:styleId="TableCaption">
    <w:name w:val="TableCaption"/>
    <w:link w:val="TableCaptionChar"/>
    <w:autoRedefine/>
    <w:qFormat/>
    <w:rsid w:val="00C401E8"/>
    <w:pPr>
      <w:keepNext/>
      <w:widowControl/>
      <w:autoSpaceDE/>
      <w:autoSpaceDN/>
      <w:spacing w:before="120" w:after="60"/>
    </w:pPr>
    <w:rPr>
      <w:rFonts w:ascii="Arial" w:hAnsi="Arial" w:cs="Arial"/>
      <w:sz w:val="16"/>
      <w:szCs w:val="16"/>
    </w:rPr>
  </w:style>
  <w:style w:type="character" w:customStyle="1" w:styleId="TableCaptionChar">
    <w:name w:val="TableCaption Char"/>
    <w:basedOn w:val="a0"/>
    <w:link w:val="TableCaption"/>
    <w:rsid w:val="00C401E8"/>
    <w:rPr>
      <w:rFonts w:ascii="Arial" w:hAnsi="Arial" w:cs="Arial"/>
      <w:sz w:val="16"/>
      <w:szCs w:val="16"/>
    </w:rPr>
  </w:style>
  <w:style w:type="paragraph" w:customStyle="1" w:styleId="Titledocument">
    <w:name w:val="Title_document"/>
    <w:basedOn w:val="a7"/>
    <w:autoRedefine/>
    <w:qFormat/>
    <w:rsid w:val="00FB4E82"/>
    <w:pPr>
      <w:spacing w:after="360"/>
    </w:pPr>
    <w:rPr>
      <w:rFonts w:ascii="Arial" w:eastAsia="Times New Roman" w:hAnsi="Arial" w:cs="Arial"/>
      <w:b/>
      <w:sz w:val="40"/>
      <w:szCs w:val="40"/>
    </w:rPr>
  </w:style>
  <w:style w:type="paragraph" w:customStyle="1" w:styleId="AuthorBio">
    <w:name w:val="AuthorBio"/>
    <w:link w:val="AuthorBioChar"/>
    <w:rsid w:val="00BE2BE6"/>
    <w:pPr>
      <w:widowControl/>
      <w:autoSpaceDE/>
      <w:autoSpaceDN/>
      <w:spacing w:after="200" w:line="276" w:lineRule="auto"/>
      <w:jc w:val="both"/>
    </w:pPr>
    <w:rPr>
      <w:rFonts w:ascii="Helvetica-Light" w:hAnsi="Helvetica-Light"/>
      <w:sz w:val="18"/>
    </w:rPr>
  </w:style>
  <w:style w:type="character" w:customStyle="1" w:styleId="AuthorBioChar">
    <w:name w:val="AuthorBio Char"/>
    <w:basedOn w:val="a0"/>
    <w:link w:val="AuthorBio"/>
    <w:rsid w:val="00BE2BE6"/>
    <w:rPr>
      <w:rFonts w:ascii="Helvetica-Light" w:hAnsi="Helvetica-Light"/>
      <w:sz w:val="18"/>
    </w:rPr>
  </w:style>
  <w:style w:type="paragraph" w:customStyle="1" w:styleId="TitleBox">
    <w:name w:val="TitleBox"/>
    <w:basedOn w:val="a"/>
    <w:qFormat/>
    <w:rsid w:val="00BE2BE6"/>
    <w:rPr>
      <w:rFonts w:ascii="Times New Roman" w:hAnsi="Times New Roman"/>
    </w:rPr>
  </w:style>
  <w:style w:type="paragraph" w:customStyle="1" w:styleId="TitleBoxText">
    <w:name w:val="TitleBoxText"/>
    <w:basedOn w:val="a"/>
    <w:qFormat/>
    <w:rsid w:val="00BE2BE6"/>
    <w:rPr>
      <w:rFonts w:ascii="Times New Roman" w:hAnsi="Times New Roman"/>
    </w:rPr>
  </w:style>
  <w:style w:type="paragraph" w:customStyle="1" w:styleId="DisplayFormula">
    <w:name w:val="DisplayFormula"/>
    <w:link w:val="DisplayFormulaChar"/>
    <w:qFormat/>
    <w:rsid w:val="00BE2BE6"/>
    <w:pPr>
      <w:widowControl/>
      <w:autoSpaceDE/>
      <w:autoSpaceDN/>
      <w:spacing w:before="100" w:after="100"/>
    </w:pPr>
    <w:rPr>
      <w:rFonts w:ascii="Linux Libertine" w:hAnsi="Linux Libertine" w:cs="Linux Libertine"/>
      <w:sz w:val="18"/>
    </w:rPr>
  </w:style>
  <w:style w:type="character" w:customStyle="1" w:styleId="DisplayFormulaChar">
    <w:name w:val="DisplayFormula Char"/>
    <w:basedOn w:val="a0"/>
    <w:link w:val="DisplayFormula"/>
    <w:rsid w:val="00BE2BE6"/>
    <w:rPr>
      <w:rFonts w:ascii="Linux Libertine" w:hAnsi="Linux Libertine" w:cs="Linux Libertine"/>
      <w:sz w:val="18"/>
    </w:rPr>
  </w:style>
  <w:style w:type="paragraph" w:customStyle="1" w:styleId="DisplayFormulaUnnum">
    <w:name w:val="DisplayFormulaUnnum"/>
    <w:basedOn w:val="a"/>
    <w:link w:val="DisplayFormulaUnnumChar"/>
    <w:rsid w:val="00BE2BE6"/>
    <w:pPr>
      <w:spacing w:after="0" w:line="264" w:lineRule="auto"/>
      <w:jc w:val="both"/>
    </w:pPr>
    <w:rPr>
      <w:rFonts w:ascii="Linux Libertine" w:hAnsi="Linux Libertine" w:cs="Linux Libertine"/>
      <w:sz w:val="18"/>
    </w:rPr>
  </w:style>
  <w:style w:type="character" w:customStyle="1" w:styleId="DisplayFormulaUnnumChar">
    <w:name w:val="DisplayFormulaUnnum Char"/>
    <w:basedOn w:val="a0"/>
    <w:link w:val="DisplayFormulaUnnum"/>
    <w:rsid w:val="00BE2BE6"/>
    <w:rPr>
      <w:rFonts w:ascii="Linux Libertine" w:hAnsi="Linux Libertine" w:cs="Linux Libertine"/>
      <w:sz w:val="18"/>
    </w:rPr>
  </w:style>
  <w:style w:type="paragraph" w:customStyle="1" w:styleId="Image">
    <w:name w:val="Image"/>
    <w:basedOn w:val="a"/>
    <w:qFormat/>
    <w:rsid w:val="00BE2BE6"/>
    <w:pPr>
      <w:keepNext/>
      <w:spacing w:before="120" w:after="0" w:line="264" w:lineRule="auto"/>
      <w:jc w:val="both"/>
    </w:pPr>
    <w:rPr>
      <w:rFonts w:ascii="Linux Libertine" w:hAnsi="Linux Libertine" w:cs="Linux Libertine"/>
      <w:sz w:val="18"/>
    </w:rPr>
  </w:style>
  <w:style w:type="paragraph" w:customStyle="1" w:styleId="ReferenceHead">
    <w:name w:val="ReferenceHead"/>
    <w:autoRedefine/>
    <w:qFormat/>
    <w:rsid w:val="000E30D4"/>
    <w:pPr>
      <w:keepNext/>
      <w:widowControl/>
      <w:autoSpaceDE/>
      <w:autoSpaceDN/>
      <w:spacing w:before="320" w:after="40"/>
    </w:pPr>
    <w:rPr>
      <w:rFonts w:ascii="Arial" w:hAnsi="Arial" w:cs="Arial"/>
      <w:b/>
      <w:sz w:val="18"/>
      <w:szCs w:val="18"/>
    </w:rPr>
  </w:style>
  <w:style w:type="paragraph" w:customStyle="1" w:styleId="ParaContinue">
    <w:name w:val="ParaContinue"/>
    <w:basedOn w:val="Para"/>
    <w:link w:val="ParaContinueChar"/>
    <w:rsid w:val="00BE2BE6"/>
  </w:style>
  <w:style w:type="character" w:customStyle="1" w:styleId="ParaContinueChar">
    <w:name w:val="ParaContinue Char"/>
    <w:basedOn w:val="a0"/>
    <w:link w:val="ParaContinue"/>
    <w:rsid w:val="00BE2BE6"/>
    <w:rPr>
      <w:rFonts w:ascii="Times New Roman" w:hAnsi="Times New Roman" w:cs="Linux Libertine"/>
      <w:sz w:val="18"/>
    </w:rPr>
  </w:style>
  <w:style w:type="paragraph" w:customStyle="1" w:styleId="AckHead">
    <w:name w:val="AckHead"/>
    <w:link w:val="AckHeadChar"/>
    <w:autoRedefine/>
    <w:qFormat/>
    <w:rsid w:val="00C44C49"/>
    <w:pPr>
      <w:keepNext/>
      <w:widowControl/>
      <w:autoSpaceDE/>
      <w:autoSpaceDN/>
      <w:spacing w:before="240" w:after="40"/>
    </w:pPr>
    <w:rPr>
      <w:rFonts w:ascii="Arial" w:hAnsi="Arial" w:cs="Arial"/>
      <w:b/>
      <w:color w:val="1901B7"/>
      <w:sz w:val="18"/>
      <w:szCs w:val="18"/>
    </w:rPr>
  </w:style>
  <w:style w:type="character" w:customStyle="1" w:styleId="AckHeadChar">
    <w:name w:val="AckHead Char"/>
    <w:basedOn w:val="a0"/>
    <w:link w:val="AckHead"/>
    <w:rsid w:val="00C44C49"/>
    <w:rPr>
      <w:rFonts w:ascii="Arial" w:hAnsi="Arial" w:cs="Arial"/>
      <w:b/>
      <w:color w:val="1901B7"/>
      <w:sz w:val="18"/>
      <w:szCs w:val="18"/>
    </w:rPr>
  </w:style>
  <w:style w:type="paragraph" w:customStyle="1" w:styleId="AckPara">
    <w:name w:val="AckPara"/>
    <w:autoRedefine/>
    <w:qFormat/>
    <w:rsid w:val="00BA696F"/>
    <w:pPr>
      <w:widowControl/>
      <w:autoSpaceDE/>
      <w:autoSpaceDN/>
      <w:spacing w:before="240" w:line="264" w:lineRule="auto"/>
      <w:jc w:val="both"/>
    </w:pPr>
    <w:rPr>
      <w:rFonts w:ascii="Times New Roman" w:hAnsi="Times New Roman" w:cs="Linux Libertine"/>
      <w:sz w:val="18"/>
    </w:rPr>
  </w:style>
  <w:style w:type="paragraph" w:styleId="a7">
    <w:name w:val="Title"/>
    <w:basedOn w:val="a"/>
    <w:next w:val="a"/>
    <w:link w:val="Char1"/>
    <w:uiPriority w:val="10"/>
    <w:qFormat/>
    <w:rsid w:val="00BE2BE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Char1">
    <w:name w:val="제목 Char"/>
    <w:basedOn w:val="a0"/>
    <w:link w:val="a7"/>
    <w:uiPriority w:val="10"/>
    <w:rsid w:val="00BE2BE6"/>
    <w:rPr>
      <w:rFonts w:asciiTheme="majorHAnsi" w:eastAsiaTheme="majorEastAsia" w:hAnsiTheme="majorHAnsi" w:cstheme="majorBidi"/>
      <w:spacing w:val="-10"/>
      <w:kern w:val="28"/>
      <w:sz w:val="56"/>
      <w:szCs w:val="56"/>
    </w:rPr>
  </w:style>
  <w:style w:type="paragraph" w:customStyle="1" w:styleId="AuthorBioHead">
    <w:name w:val="AuthorBioHead"/>
    <w:qFormat/>
    <w:rsid w:val="00BE2BE6"/>
    <w:pPr>
      <w:widowControl/>
      <w:autoSpaceDE/>
      <w:autoSpaceDN/>
      <w:spacing w:before="120" w:after="200" w:line="276" w:lineRule="auto"/>
    </w:pPr>
    <w:rPr>
      <w:rFonts w:ascii="Helvetica-Light" w:eastAsia="Calibri" w:hAnsi="Helvetica-Light" w:cs="Arial"/>
      <w:sz w:val="24"/>
    </w:rPr>
  </w:style>
  <w:style w:type="paragraph" w:customStyle="1" w:styleId="VersoLRH">
    <w:name w:val="Verso_(LRH)"/>
    <w:autoRedefine/>
    <w:qFormat/>
    <w:rsid w:val="00BE2BE6"/>
    <w:pPr>
      <w:widowControl/>
      <w:autoSpaceDE/>
      <w:autoSpaceDN/>
      <w:spacing w:before="120" w:after="480"/>
    </w:pPr>
    <w:rPr>
      <w:rFonts w:ascii="Times New Roman" w:eastAsia="Times New Roman" w:hAnsi="Times New Roman" w:cs="Times New Roman"/>
      <w:sz w:val="20"/>
      <w:szCs w:val="20"/>
    </w:rPr>
  </w:style>
  <w:style w:type="paragraph" w:customStyle="1" w:styleId="programCodedisplay">
    <w:name w:val="programCode_display"/>
    <w:basedOn w:val="a"/>
    <w:rsid w:val="00BE2BE6"/>
    <w:pPr>
      <w:spacing w:after="0" w:line="240" w:lineRule="auto"/>
    </w:pPr>
    <w:rPr>
      <w:rFonts w:ascii="Courier New" w:eastAsia="Arial Unicode MS" w:hAnsi="Courier New" w:cs="Times New Roman"/>
      <w:sz w:val="20"/>
      <w:szCs w:val="20"/>
    </w:rPr>
  </w:style>
  <w:style w:type="paragraph" w:styleId="a8">
    <w:name w:val="Subtitle"/>
    <w:basedOn w:val="a"/>
    <w:next w:val="a"/>
    <w:link w:val="Char2"/>
    <w:uiPriority w:val="11"/>
    <w:qFormat/>
    <w:rsid w:val="00BE2BE6"/>
    <w:pPr>
      <w:numPr>
        <w:ilvl w:val="1"/>
      </w:numPr>
      <w:jc w:val="center"/>
    </w:pPr>
    <w:rPr>
      <w:color w:val="5A5A5A" w:themeColor="text1" w:themeTint="A5"/>
      <w:spacing w:val="15"/>
      <w:sz w:val="24"/>
    </w:rPr>
  </w:style>
  <w:style w:type="character" w:customStyle="1" w:styleId="Char2">
    <w:name w:val="부제 Char"/>
    <w:basedOn w:val="a0"/>
    <w:link w:val="a8"/>
    <w:uiPriority w:val="11"/>
    <w:rsid w:val="00BE2BE6"/>
    <w:rPr>
      <w:rFonts w:eastAsiaTheme="minorEastAsia"/>
      <w:color w:val="5A5A5A" w:themeColor="text1" w:themeTint="A5"/>
      <w:spacing w:val="15"/>
      <w:sz w:val="24"/>
    </w:rPr>
  </w:style>
  <w:style w:type="character" w:styleId="a9">
    <w:name w:val="page number"/>
    <w:basedOn w:val="a0"/>
    <w:semiHidden/>
    <w:unhideWhenUsed/>
    <w:rsid w:val="00BE2BE6"/>
  </w:style>
  <w:style w:type="paragraph" w:styleId="aa">
    <w:name w:val="footnote text"/>
    <w:basedOn w:val="a"/>
    <w:link w:val="Char3"/>
    <w:semiHidden/>
    <w:unhideWhenUsed/>
    <w:rsid w:val="00BE2BE6"/>
    <w:pPr>
      <w:spacing w:after="0" w:line="240" w:lineRule="auto"/>
    </w:pPr>
    <w:rPr>
      <w:sz w:val="20"/>
      <w:szCs w:val="20"/>
    </w:rPr>
  </w:style>
  <w:style w:type="character" w:customStyle="1" w:styleId="Char3">
    <w:name w:val="각주 텍스트 Char"/>
    <w:basedOn w:val="a0"/>
    <w:link w:val="aa"/>
    <w:semiHidden/>
    <w:rsid w:val="00BE2BE6"/>
    <w:rPr>
      <w:sz w:val="20"/>
      <w:szCs w:val="20"/>
    </w:rPr>
  </w:style>
  <w:style w:type="character" w:styleId="ab">
    <w:name w:val="footnote reference"/>
    <w:basedOn w:val="a0"/>
    <w:uiPriority w:val="99"/>
    <w:semiHidden/>
    <w:unhideWhenUsed/>
    <w:rsid w:val="00BE2BE6"/>
    <w:rPr>
      <w:vertAlign w:val="superscript"/>
    </w:rPr>
  </w:style>
  <w:style w:type="character" w:styleId="ac">
    <w:name w:val="Hyperlink"/>
    <w:basedOn w:val="a0"/>
    <w:unhideWhenUsed/>
    <w:rsid w:val="00356737"/>
    <w:rPr>
      <w:color w:val="0000FF" w:themeColor="hyperlink"/>
      <w:u w:val="single"/>
    </w:rPr>
  </w:style>
  <w:style w:type="table" w:styleId="ad">
    <w:name w:val="Table Grid"/>
    <w:basedOn w:val="a1"/>
    <w:uiPriority w:val="39"/>
    <w:rsid w:val="00E1460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istory">
    <w:name w:val="History"/>
    <w:basedOn w:val="a"/>
    <w:autoRedefine/>
    <w:qFormat/>
    <w:rsid w:val="00B20E4F"/>
    <w:pPr>
      <w:spacing w:before="120" w:after="0" w:line="264" w:lineRule="auto"/>
    </w:pPr>
    <w:rPr>
      <w:rFonts w:ascii="Arial" w:hAnsi="Arial" w:cs="Arial"/>
      <w:sz w:val="14"/>
      <w:szCs w:val="14"/>
    </w:rPr>
  </w:style>
  <w:style w:type="paragraph" w:customStyle="1" w:styleId="KeyWords">
    <w:name w:val="KeyWords"/>
    <w:basedOn w:val="a"/>
    <w:qFormat/>
    <w:rsid w:val="004078BC"/>
    <w:pPr>
      <w:spacing w:before="60" w:after="60" w:line="264" w:lineRule="auto"/>
      <w:jc w:val="both"/>
    </w:pPr>
    <w:rPr>
      <w:rFonts w:ascii="Times New Roman" w:hAnsi="Times New Roman"/>
      <w:sz w:val="18"/>
    </w:rPr>
  </w:style>
  <w:style w:type="character" w:customStyle="1" w:styleId="DOI">
    <w:name w:val="DOI"/>
    <w:basedOn w:val="a0"/>
    <w:uiPriority w:val="1"/>
    <w:qFormat/>
    <w:rsid w:val="004078BC"/>
    <w:rPr>
      <w:rFonts w:ascii="Times New Roman" w:hAnsi="Times New Roman" w:cs="Linux Libertine"/>
      <w:color w:val="auto"/>
      <w:bdr w:val="none" w:sz="0" w:space="0" w:color="auto"/>
      <w:shd w:val="clear" w:color="auto" w:fill="CFBFB1"/>
    </w:rPr>
  </w:style>
  <w:style w:type="paragraph" w:customStyle="1" w:styleId="AuthNotes">
    <w:name w:val="AuthNotes"/>
    <w:qFormat/>
    <w:rsid w:val="00594C18"/>
    <w:pPr>
      <w:widowControl/>
      <w:autoSpaceDE/>
      <w:autoSpaceDN/>
      <w:spacing w:line="276" w:lineRule="auto"/>
    </w:pPr>
    <w:rPr>
      <w:rFonts w:ascii="Times New Roman" w:hAnsi="Times New Roman" w:cs="Linux Libertine"/>
    </w:rPr>
  </w:style>
  <w:style w:type="paragraph" w:customStyle="1" w:styleId="Equation">
    <w:name w:val="Equation"/>
    <w:basedOn w:val="a"/>
    <w:rsid w:val="004835C0"/>
    <w:pPr>
      <w:tabs>
        <w:tab w:val="left" w:pos="4584"/>
      </w:tabs>
      <w:autoSpaceDE w:val="0"/>
      <w:autoSpaceDN w:val="0"/>
      <w:adjustRightInd w:val="0"/>
      <w:spacing w:before="120" w:after="120" w:line="240" w:lineRule="auto"/>
      <w:ind w:left="1600"/>
    </w:pPr>
    <w:rPr>
      <w:rFonts w:ascii="Times New Roman" w:eastAsia="Times New Roman" w:hAnsi="Times New Roman" w:cs="MTSYN"/>
      <w:i/>
      <w:sz w:val="20"/>
      <w:szCs w:val="20"/>
    </w:rPr>
  </w:style>
  <w:style w:type="character" w:customStyle="1" w:styleId="CaptionColor">
    <w:name w:val="Caption Color"/>
    <w:rsid w:val="00822901"/>
    <w:rPr>
      <w:rFonts w:ascii="Arial" w:hAnsi="Arial" w:cs="FormataOTF-Bold"/>
      <w:bCs/>
      <w:color w:val="1901B7"/>
      <w:sz w:val="14"/>
      <w:szCs w:val="14"/>
    </w:rPr>
  </w:style>
  <w:style w:type="paragraph" w:customStyle="1" w:styleId="TableTitle">
    <w:name w:val="Table Title"/>
    <w:basedOn w:val="a"/>
    <w:rsid w:val="00442992"/>
    <w:pPr>
      <w:spacing w:after="0" w:line="240" w:lineRule="auto"/>
      <w:jc w:val="center"/>
    </w:pPr>
    <w:rPr>
      <w:rFonts w:ascii="Times New Roman" w:eastAsia="Times New Roman" w:hAnsi="Times New Roman" w:cs="Times New Roman"/>
      <w:smallCaps/>
      <w:sz w:val="16"/>
      <w:szCs w:val="16"/>
    </w:rPr>
  </w:style>
  <w:style w:type="paragraph" w:customStyle="1" w:styleId="Text">
    <w:name w:val="Text"/>
    <w:basedOn w:val="Para"/>
    <w:rsid w:val="009D5C87"/>
    <w:pPr>
      <w:suppressAutoHyphens/>
      <w:autoSpaceDE w:val="0"/>
      <w:autoSpaceDN w:val="0"/>
      <w:adjustRightInd w:val="0"/>
      <w:spacing w:line="240" w:lineRule="exact"/>
    </w:pPr>
    <w:rPr>
      <w:rFonts w:eastAsia="Times New Roman" w:cs="TimesLTStd-Roman"/>
      <w:spacing w:val="-2"/>
      <w:szCs w:val="20"/>
    </w:rPr>
  </w:style>
  <w:style w:type="paragraph" w:styleId="ae">
    <w:name w:val="endnote text"/>
    <w:basedOn w:val="a"/>
    <w:link w:val="Char4"/>
    <w:uiPriority w:val="99"/>
    <w:semiHidden/>
    <w:unhideWhenUsed/>
    <w:rsid w:val="00812B98"/>
    <w:pPr>
      <w:spacing w:after="0" w:line="240" w:lineRule="auto"/>
    </w:pPr>
    <w:rPr>
      <w:sz w:val="20"/>
      <w:szCs w:val="20"/>
    </w:rPr>
  </w:style>
  <w:style w:type="character" w:customStyle="1" w:styleId="Char4">
    <w:name w:val="미주 텍스트 Char"/>
    <w:basedOn w:val="a0"/>
    <w:link w:val="ae"/>
    <w:uiPriority w:val="99"/>
    <w:semiHidden/>
    <w:rsid w:val="00812B98"/>
    <w:rPr>
      <w:sz w:val="20"/>
      <w:szCs w:val="20"/>
    </w:rPr>
  </w:style>
  <w:style w:type="character" w:styleId="af">
    <w:name w:val="endnote reference"/>
    <w:basedOn w:val="a0"/>
    <w:uiPriority w:val="99"/>
    <w:semiHidden/>
    <w:unhideWhenUsed/>
    <w:rsid w:val="00812B98"/>
    <w:rPr>
      <w:vertAlign w:val="superscript"/>
    </w:rPr>
  </w:style>
  <w:style w:type="character" w:styleId="af0">
    <w:name w:val="Placeholder Text"/>
    <w:basedOn w:val="a0"/>
    <w:uiPriority w:val="99"/>
    <w:semiHidden/>
    <w:rsid w:val="001F64FD"/>
    <w:rPr>
      <w:color w:val="808080"/>
    </w:rPr>
  </w:style>
  <w:style w:type="paragraph" w:customStyle="1" w:styleId="Algorithm">
    <w:name w:val="Algorithm"/>
    <w:basedOn w:val="a"/>
    <w:qFormat/>
    <w:rsid w:val="001E1699"/>
    <w:pPr>
      <w:spacing w:after="0" w:line="240" w:lineRule="auto"/>
      <w:jc w:val="both"/>
    </w:pPr>
    <w:rPr>
      <w:rFonts w:ascii="Linux Libertine" w:hAnsi="Linux Libertine"/>
      <w:sz w:val="18"/>
    </w:rPr>
  </w:style>
  <w:style w:type="paragraph" w:customStyle="1" w:styleId="AlgorithmCaption">
    <w:name w:val="AlgorithmCaption"/>
    <w:basedOn w:val="a"/>
    <w:rsid w:val="001E1699"/>
    <w:pPr>
      <w:pBdr>
        <w:top w:val="single" w:sz="4" w:space="2" w:color="auto"/>
        <w:bottom w:val="single" w:sz="4" w:space="2" w:color="auto"/>
      </w:pBdr>
      <w:spacing w:before="120" w:after="0" w:line="264" w:lineRule="auto"/>
      <w:jc w:val="both"/>
    </w:pPr>
    <w:rPr>
      <w:rFonts w:ascii="Linux Libertine" w:hAnsi="Linux Libertine"/>
      <w:sz w:val="18"/>
    </w:rPr>
  </w:style>
  <w:style w:type="paragraph" w:customStyle="1" w:styleId="TableFootnote">
    <w:name w:val="TableFootnote"/>
    <w:basedOn w:val="a"/>
    <w:link w:val="TableFootnoteChar"/>
    <w:qFormat/>
    <w:rsid w:val="000E30D4"/>
    <w:pPr>
      <w:spacing w:after="0" w:line="276" w:lineRule="auto"/>
    </w:pPr>
    <w:rPr>
      <w:rFonts w:ascii="Times New Roman" w:hAnsi="Times New Roman"/>
      <w:sz w:val="18"/>
    </w:rPr>
  </w:style>
  <w:style w:type="character" w:customStyle="1" w:styleId="TableFootnoteChar">
    <w:name w:val="TableFootnote Char"/>
    <w:basedOn w:val="a0"/>
    <w:link w:val="TableFootnote"/>
    <w:rsid w:val="000E30D4"/>
    <w:rPr>
      <w:rFonts w:ascii="Times New Roman" w:hAnsi="Times New Roman"/>
      <w:sz w:val="18"/>
    </w:rPr>
  </w:style>
  <w:style w:type="paragraph" w:customStyle="1" w:styleId="PermissionBlock">
    <w:name w:val="PermissionBlock"/>
    <w:basedOn w:val="aa"/>
    <w:qFormat/>
    <w:rsid w:val="00B20E4F"/>
    <w:pPr>
      <w:spacing w:line="264" w:lineRule="auto"/>
      <w:jc w:val="both"/>
    </w:pPr>
    <w:rPr>
      <w:rFonts w:ascii="Times New Roman" w:hAnsi="Times New Roman" w:cs="Linux Libertine"/>
      <w:sz w:val="1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sv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B2B36F-D6F6-4141-BB34-321C634269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3068</TotalTime>
  <Pages>3</Pages>
  <Words>1786</Words>
  <Characters>10183</Characters>
  <Application>Microsoft Office Word</Application>
  <DocSecurity>0</DocSecurity>
  <Lines>84</Lines>
  <Paragraphs>23</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Conservative fixed-point BER-aware bit-loading hardware for bidirectional DMT wireline transceivers</vt:lpstr>
      <vt:lpstr/>
    </vt:vector>
  </TitlesOfParts>
  <Company/>
  <LinksUpToDate>false</LinksUpToDate>
  <CharactersWithSpaces>11946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Low-Complexity Bit-Loading Engine with Conservative Bit-Error-Rate Estimation for Bidirectional Discrete Multitone Wireline Transceivers</dc:title>
  <dc:subject>Electronics Letters submission manuscript</dc:subject>
  <dc:creator/>
  <cp:lastModifiedBy/>
  <cp:revision>6</cp:revision>
  <cp:lastPrinted>2021-03-12T06:41:00Z</cp:lastPrinted>
  <dcterms:created xsi:type="dcterms:W3CDTF">2026-08-15T08:49:00Z</dcterms:created>
  <dcterms:modified xsi:type="dcterms:W3CDTF">2026-08-17T12:25:00Z</dcterms:modified>
  <cp:keywords>adaptive bit loading; bit-error-rate estimation; discrete multitone; fixed-point arithmetic; look-up table; wireline transceiver</cp:keywords>
</cp:coreProperties>
</file>