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A25" w:rsidRDefault="00636A25" w:rsidP="00636A2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Bariatric Surgery CT Scan Protocols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protocol for CT scanning patients after bariatric surgery falls into two basic groups: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Early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Late Postop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Early Postop:</w:t>
      </w:r>
      <w:r>
        <w:rPr>
          <w:sz w:val="24"/>
          <w:szCs w:val="24"/>
        </w:rPr>
        <w:t xml:space="preserve"> Within the first 30 days after surgery, when the patient cannot drink much and the suspicion for leak and PE are highest:</w:t>
      </w:r>
    </w:p>
    <w:p w:rsidR="00636A25" w:rsidRDefault="00636A25" w:rsidP="00636A2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Provide 100 mL oral contrast and have the patient consume it over one hour</w:t>
      </w:r>
    </w:p>
    <w:p w:rsidR="00636A25" w:rsidRDefault="00636A25" w:rsidP="00636A2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 to scanner; Provide another 30 mL oral contrast on the gantry</w:t>
      </w:r>
    </w:p>
    <w:p w:rsidR="00636A25" w:rsidRDefault="00636A25" w:rsidP="00636A2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CT Tech &gt; CT Scout Chest/Abdomen/Pelvis, with the chest portion being an actual PE protocol</w:t>
      </w:r>
    </w:p>
    <w:p w:rsidR="00636A25" w:rsidRDefault="00636A25" w:rsidP="00636A2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CT Tech &gt; Protocol set-up PE Protocol, then at 70 sec. post-iv injection, scan routine Abd/Pelvis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Main diagnosis of interest: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Extravasation of contrast – Leak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Obstruction at the gastrojejunostomy or jejunojejunostomy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Pulmonary Embolism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Internal Hernia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Pneumonia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Incisional Hernia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Acute Mesenteric Venous Thrombosis</w:t>
      </w:r>
    </w:p>
    <w:p w:rsidR="00636A25" w:rsidRDefault="00636A25" w:rsidP="00636A25">
      <w:pPr>
        <w:spacing w:after="0" w:line="240" w:lineRule="auto"/>
        <w:rPr>
          <w:sz w:val="24"/>
          <w:szCs w:val="24"/>
        </w:rPr>
      </w:pPr>
    </w:p>
    <w:p w:rsidR="00636A25" w:rsidRDefault="00636A25" w:rsidP="00636A25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Late Postop:</w:t>
      </w:r>
      <w:r>
        <w:rPr>
          <w:sz w:val="24"/>
          <w:szCs w:val="24"/>
        </w:rPr>
        <w:t xml:space="preserve"> More than 30 days after surgery:</w:t>
      </w:r>
    </w:p>
    <w:p w:rsidR="00636A25" w:rsidRDefault="00636A25" w:rsidP="00636A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Provide the usual volume of oral contrast, and allow a full 3 hours to consume it</w:t>
      </w:r>
    </w:p>
    <w:p w:rsidR="00636A25" w:rsidRDefault="00636A25" w:rsidP="00636A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 to scanner; Provide another 30 mL oral contrast on the gantry</w:t>
      </w:r>
    </w:p>
    <w:p w:rsidR="00636A25" w:rsidRDefault="00636A25" w:rsidP="00636A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CT Tech &gt; Scan Abdomen/Pelvis @ 70 sec. post-IV injection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Ordering Physician &gt; consider adding Chest PE protocol for patients with significant chest pain, shortness of breath, oxygen desaturation, unilateral leg swelling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Main diagnosis of interest: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  <w:t>Bowel Obstruction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  <w:t>Internal Hernia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  <w:t>Perforation (marginal ulcer, gastric sleeve ulcer)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  <w:t>Incisional Hernia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  <w:t>Intussusception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Please look under signs and symptoms for instructions.  Most of the Bariatric Protocol exams are ordered by the ER.</w:t>
      </w:r>
    </w:p>
    <w:p w:rsidR="00636A25" w:rsidRDefault="00636A25" w:rsidP="00636A25">
      <w:pPr>
        <w:spacing w:after="0" w:line="240" w:lineRule="auto"/>
        <w:ind w:left="360"/>
        <w:rPr>
          <w:sz w:val="24"/>
          <w:szCs w:val="24"/>
        </w:rPr>
      </w:pPr>
    </w:p>
    <w:p w:rsidR="00636A25" w:rsidRPr="00636A25" w:rsidRDefault="00636A25" w:rsidP="00636A25">
      <w:pPr>
        <w:spacing w:after="0" w:line="240" w:lineRule="auto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As always review your RIS sheet for special instructions</w:t>
      </w:r>
      <w:bookmarkStart w:id="0" w:name="_GoBack"/>
      <w:bookmarkEnd w:id="0"/>
    </w:p>
    <w:sectPr w:rsidR="00636A25" w:rsidRPr="00636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C1FDF"/>
    <w:multiLevelType w:val="hybridMultilevel"/>
    <w:tmpl w:val="6B9EF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8F1D48"/>
    <w:multiLevelType w:val="hybridMultilevel"/>
    <w:tmpl w:val="5324F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A25"/>
    <w:rsid w:val="00636A25"/>
    <w:rsid w:val="00786530"/>
    <w:rsid w:val="00F8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A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1352</Characters>
  <Application>Microsoft Office Word</Application>
  <DocSecurity>0</DocSecurity>
  <Lines>11</Lines>
  <Paragraphs>3</Paragraphs>
  <ScaleCrop>false</ScaleCrop>
  <Company>Kaiser Permanente</Company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J. SUN</dc:creator>
  <cp:lastModifiedBy>JACK J. SUN</cp:lastModifiedBy>
  <cp:revision>1</cp:revision>
  <dcterms:created xsi:type="dcterms:W3CDTF">2014-10-24T07:28:00Z</dcterms:created>
  <dcterms:modified xsi:type="dcterms:W3CDTF">2014-10-24T07:35:00Z</dcterms:modified>
</cp:coreProperties>
</file>