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강원도 계획과 RE100 정합성 비교</w:t>
      </w:r>
    </w:p>
    <w:p>
      <w:r>
        <w:t>작성일: 2025년 12월 30일</w:t>
      </w:r>
    </w:p>
    <w:p>
      <w:pPr>
        <w:pStyle w:val="Heading1"/>
      </w:pPr>
      <w:r>
        <w:t>1. 강원도 계획 수단 vs RE100 조달 경로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강원도 계획 수단</w:t>
            </w:r>
          </w:p>
        </w:tc>
        <w:tc>
          <w:tcPr>
            <w:tcW w:type="dxa" w:w="1728"/>
          </w:tcPr>
          <w:p>
            <w:r>
              <w:t>역할</w:t>
            </w:r>
          </w:p>
        </w:tc>
        <w:tc>
          <w:tcPr>
            <w:tcW w:type="dxa" w:w="1728"/>
          </w:tcPr>
          <w:p>
            <w:r>
              <w:t>연계 가능한 RE100 조달 경로</w:t>
            </w:r>
          </w:p>
        </w:tc>
        <w:tc>
          <w:tcPr>
            <w:tcW w:type="dxa" w:w="1728"/>
          </w:tcPr>
          <w:p>
            <w:r>
              <w:t>해결하는 장벽</w:t>
            </w:r>
          </w:p>
        </w:tc>
        <w:tc>
          <w:tcPr>
            <w:tcW w:type="dxa" w:w="1728"/>
          </w:tcPr>
          <w:p>
            <w:r>
              <w:t>지역 조치</w:t>
            </w:r>
          </w:p>
        </w:tc>
      </w:tr>
      <w:tr>
        <w:tc>
          <w:tcPr>
            <w:tcW w:type="dxa" w:w="1728"/>
          </w:tcPr>
          <w:p>
            <w:r>
              <w:t>건물·교통 효율화 로드맵</w:t>
            </w:r>
          </w:p>
        </w:tc>
        <w:tc>
          <w:tcPr>
            <w:tcW w:type="dxa" w:w="1728"/>
          </w:tcPr>
          <w:p>
            <w:r>
              <w:t>수요 감축·전력 전환 촉진</w:t>
            </w:r>
          </w:p>
        </w:tc>
        <w:tc>
          <w:tcPr>
            <w:tcW w:type="dxa" w:w="1728"/>
          </w:tcPr>
          <w:p>
            <w:r>
              <w:t>온사이트 발전; 수요감축으로 PPA 비용 절감</w:t>
            </w:r>
          </w:p>
        </w:tc>
        <w:tc>
          <w:tcPr>
            <w:tcW w:type="dxa" w:w="1728"/>
          </w:tcPr>
          <w:p>
            <w:r>
              <w:t>투자·인센티브 부족</w:t>
            </w:r>
          </w:p>
        </w:tc>
        <w:tc>
          <w:tcPr>
            <w:tcW w:type="dxa" w:w="1728"/>
          </w:tcPr>
          <w:p>
            <w:r>
              <w:t>리트로핏 번들링; 지역 EPC 금융 연계</w:t>
            </w:r>
          </w:p>
        </w:tc>
      </w:tr>
      <w:tr>
        <w:tc>
          <w:tcPr>
            <w:tcW w:type="dxa" w:w="1728"/>
          </w:tcPr>
          <w:p>
            <w:r>
              <w:t>재생에너지 확대·그리드 전환</w:t>
            </w:r>
          </w:p>
        </w:tc>
        <w:tc>
          <w:tcPr>
            <w:tcW w:type="dxa" w:w="1728"/>
          </w:tcPr>
          <w:p>
            <w:r>
              <w:t>신규 공급 확대·수요관리</w:t>
            </w:r>
          </w:p>
        </w:tc>
        <w:tc>
          <w:tcPr>
            <w:tcW w:type="dxa" w:w="1728"/>
          </w:tcPr>
          <w:p>
            <w:r>
              <w:t>물리적 PPA; 가상 PPA 가능성 확대</w:t>
            </w:r>
          </w:p>
        </w:tc>
        <w:tc>
          <w:tcPr>
            <w:tcW w:type="dxa" w:w="1728"/>
          </w:tcPr>
          <w:p>
            <w:r>
              <w:t>계통연계·입지 리스크</w:t>
            </w:r>
          </w:p>
        </w:tc>
        <w:tc>
          <w:tcPr>
            <w:tcW w:type="dxa" w:w="1728"/>
          </w:tcPr>
          <w:p>
            <w:r>
              <w:t>우선 허가·계통 개선; 표준 PPA 템플릿 공개</w:t>
            </w:r>
          </w:p>
        </w:tc>
      </w:tr>
      <w:tr>
        <w:tc>
          <w:tcPr>
            <w:tcW w:type="dxa" w:w="1728"/>
          </w:tcPr>
          <w:p>
            <w:r>
              <w:t>산업 연료전환·CCUS</w:t>
            </w:r>
          </w:p>
        </w:tc>
        <w:tc>
          <w:tcPr>
            <w:tcW w:type="dxa" w:w="1728"/>
          </w:tcPr>
          <w:p>
            <w:r>
              <w:t>공정배출 저감 보완</w:t>
            </w:r>
          </w:p>
        </w:tc>
        <w:tc>
          <w:tcPr>
            <w:tcW w:type="dxa" w:w="1728"/>
          </w:tcPr>
          <w:p>
            <w:r>
              <w:t>전력 조달 보완 수단</w:t>
            </w:r>
          </w:p>
        </w:tc>
        <w:tc>
          <w:tcPr>
            <w:tcW w:type="dxa" w:w="1728"/>
          </w:tcPr>
          <w:p>
            <w:r>
              <w:t>기술성·비용</w:t>
            </w:r>
          </w:p>
        </w:tc>
        <w:tc>
          <w:tcPr>
            <w:tcW w:type="dxa" w:w="1728"/>
          </w:tcPr>
          <w:p>
            <w:r>
              <w:t>CCUS·수소 파일럿 지원</w:t>
            </w:r>
          </w:p>
        </w:tc>
      </w:tr>
      <w:tr>
        <w:tc>
          <w:tcPr>
            <w:tcW w:type="dxa" w:w="1728"/>
          </w:tcPr>
          <w:p>
            <w:r>
              <w:t>지방 거버넌스·감사체계</w:t>
            </w:r>
          </w:p>
        </w:tc>
        <w:tc>
          <w:tcPr>
            <w:tcW w:type="dxa" w:w="1728"/>
          </w:tcPr>
          <w:p>
            <w:r>
              <w:t>계획·검증·보고 기반 제공</w:t>
            </w:r>
          </w:p>
        </w:tc>
        <w:tc>
          <w:tcPr>
            <w:tcW w:type="dxa" w:w="1728"/>
          </w:tcPr>
          <w:p>
            <w:r>
              <w:t>RE100 보고 신뢰성 확보</w:t>
            </w:r>
          </w:p>
        </w:tc>
        <w:tc>
          <w:tcPr>
            <w:tcW w:type="dxa" w:w="1728"/>
          </w:tcPr>
          <w:p>
            <w:r>
              <w:t>데이터 분절·투명성 부족</w:t>
            </w:r>
          </w:p>
        </w:tc>
        <w:tc>
          <w:tcPr>
            <w:tcW w:type="dxa" w:w="1728"/>
          </w:tcPr>
          <w:p>
            <w:r>
              <w:t>지방 레지스트리·원스톱 창구 구축</w:t>
            </w:r>
          </w:p>
        </w:tc>
      </w:tr>
      <w:tr>
        <w:tc>
          <w:tcPr>
            <w:tcW w:type="dxa" w:w="1728"/>
          </w:tcPr>
          <w:p>
            <w:r>
              <w:t>교육·커뮤니케이션</w:t>
            </w:r>
          </w:p>
        </w:tc>
        <w:tc>
          <w:tcPr>
            <w:tcW w:type="dxa" w:w="1728"/>
          </w:tcPr>
          <w:p>
            <w:r>
              <w:t>시장 이해도 제고</w:t>
            </w:r>
          </w:p>
        </w:tc>
        <w:tc>
          <w:tcPr>
            <w:tcW w:type="dxa" w:w="1728"/>
          </w:tcPr>
          <w:p>
            <w:r>
              <w:t>오프사이트 조달 성숙도 향상</w:t>
            </w:r>
          </w:p>
        </w:tc>
        <w:tc>
          <w:tcPr>
            <w:tcW w:type="dxa" w:w="1728"/>
          </w:tcPr>
          <w:p>
            <w:r>
              <w:t>내부 수용성 부족</w:t>
            </w:r>
          </w:p>
        </w:tc>
        <w:tc>
          <w:tcPr>
            <w:tcW w:type="dxa" w:w="1728"/>
          </w:tcPr>
          <w:p>
            <w:r>
              <w:t>RE100 온보딩 워크숍·공급망 교육</w:t>
            </w:r>
          </w:p>
        </w:tc>
      </w:tr>
    </w:tbl>
    <w:p>
      <w:pPr>
        <w:pStyle w:val="Heading1"/>
      </w:pPr>
      <w:r>
        <w:t>2. RE100 핵심 요약</w:t>
      </w:r>
    </w:p>
    <w:p>
      <w:r>
        <w:t>• 정의: 기업이 목표 시점까지 전력 소비를 100% 재생에너지로 전환하겠다고 약속하는 글로벌 이니셔티브입니다.</w:t>
      </w:r>
    </w:p>
    <w:p>
      <w:r>
        <w:t>• 주요 조달 수단: 온사이트 발전, 물리적 PPA, 가상 PPA, EAC/REC(인증서).</w:t>
      </w:r>
    </w:p>
    <w:p>
      <w:r>
        <w:t>• 성공요인: 은행성 있는 PPA, 계통 접근성, 투명한 EAC 레지스트리, 정책 안정성.</w:t>
      </w:r>
    </w:p>
    <w:p>
      <w:pPr>
        <w:pStyle w:val="Heading1"/>
      </w:pPr>
      <w:r>
        <w:t>3. 강원도 계획이 RE100 조달을 지원하는 부분</w:t>
      </w:r>
    </w:p>
    <w:p>
      <w:r>
        <w:t>• 전력·수요 예측 제공: 계획의 수요·공급 전망은 기업이 PPA 타이밍과 규모를 결정하는 데 유용합니다.</w:t>
      </w:r>
    </w:p>
    <w:p>
      <w:r>
        <w:t>• 행정·감사 주기: 10년 계획·5년 점검 구조는 레지스트리와 연계한 기업 보고 채널로 활용 가능합니다.</w:t>
      </w:r>
    </w:p>
    <w:p>
      <w:r>
        <w:t>• 수요저감(건물·교통): 전력 수요를 낮추면 PPA 경제성이 개선되어 기업 조달 문턱이 낮아집니다.</w:t>
      </w:r>
    </w:p>
    <w:p>
      <w:r>
        <w:t>• 흡수원(산림) 강점: 산림 흡수는 기업의 Scope 3·보완 전략과 결합 가능합니다.</w:t>
      </w:r>
    </w:p>
    <w:p>
      <w:r>
        <w:t>• 교육 프로그램: 지역 공급자·중소기업의 RE 조달 참여를 촉진할 수 있습니다.</w:t>
      </w:r>
    </w:p>
    <w:p>
      <w:pPr>
        <w:pStyle w:val="Heading1"/>
      </w:pPr>
      <w:r>
        <w:t>4. 보완해야 할 주요 갭</w:t>
      </w:r>
    </w:p>
    <w:p>
      <w:r>
        <w:t>• 계통·연계 투명성 부족: PPA의 은행성 확보를 위해 계통 대기열·연계 일정 공개 필요.</w:t>
      </w:r>
    </w:p>
    <w:p>
      <w:r>
        <w:t>• 표준화된 계약서 부재: 물리적 PPA·VPPA·그린 요금제 표준 템플릿 필요.</w:t>
      </w:r>
    </w:p>
    <w:p>
      <w:r>
        <w:t>• 고품질 EAC 체계 미비: 연도·지리·추가성 표기를 포함한 지역 인증 레지스트리 필요.</w:t>
      </w:r>
    </w:p>
    <w:p>
      <w:r>
        <w:t>• 중소기업 집합 조달 경로 부족: 수요를 묶는 집합화(aggregator) 메커니즘 필요.</w:t>
      </w:r>
    </w:p>
    <w:p>
      <w:r>
        <w:t>• 계량·데이터 정합성: 시설 단위 계량과 RE100 보고 주기 정렬 필요.</w:t>
      </w:r>
    </w:p>
    <w:p>
      <w:pPr>
        <w:pStyle w:val="Heading1"/>
      </w:pPr>
      <w:r>
        <w:t>5. 실행 가능한 투자·정책 패키지</w:t>
      </w:r>
    </w:p>
    <w:p>
      <w:r>
        <w:t>• 그린 요금제·PPA 전용 라인: 지방 보증·정산·커트리먼트 보험으로 장기계약 은행성 확보.</w:t>
      </w:r>
    </w:p>
    <w:p>
      <w:r>
        <w:t>• 우선 허가·계통 개선: 기업 오프테이크 프로젝트에 우선 인허가·계통 용량 배정.</w:t>
      </w:r>
    </w:p>
    <w:p>
      <w:r>
        <w:t>• 온사이트 태양광·ESS 가속화: 공공·산단 루프탑 존 지정, 표준 임대계약·CAPEX 보조.</w:t>
      </w:r>
    </w:p>
    <w:p>
      <w:r>
        <w:t>• EAC 품질 레지스트리: 추가성 태그·빈티지 관리·시간대 매칭(시범) 기능 포함.</w:t>
      </w:r>
    </w:p>
    <w:p>
      <w:r>
        <w:t>• SME 집합화 허브: 표준계약·신용지원으로 50–200MW 규모 PPA 풀 조성.</w:t>
      </w:r>
    </w:p>
    <w:p>
      <w:pPr>
        <w:pStyle w:val="Heading1"/>
      </w:pPr>
      <w:r>
        <w:t>6. 제안 자료에 포함할 항목</w:t>
      </w:r>
    </w:p>
    <w:p>
      <w:r>
        <w:t>• 계획-RE100 매핑 표</w:t>
      </w:r>
    </w:p>
    <w:p>
      <w:r>
        <w:t>• 파이프라인 뷰 (연도별 재생에너지·효율사업)</w:t>
      </w:r>
    </w:p>
    <w:p>
      <w:r>
        <w:t>• 기업용 조달 메뉴 (온사이트, 오프사이트, 브리지)</w:t>
      </w:r>
    </w:p>
    <w:p>
      <w:r>
        <w:t>• 정책 부록 (계통 투명성, 표준 계약, EAC 사양)</w:t>
      </w:r>
    </w:p>
    <w:p>
      <w:r>
        <w:t>• KPI 지표 (기업 오프테이크 MW 등)</w:t>
      </w:r>
    </w:p>
    <w:p>
      <w:pPr>
        <w:pStyle w:val="Heading1"/>
      </w:pPr>
      <w:r>
        <w:t>7. KPI 예시</w:t>
      </w:r>
    </w:p>
    <w:p>
      <w:r>
        <w:t>• 기업 오프테이크 MW</w:t>
      </w:r>
    </w:p>
    <w:p>
      <w:r>
        <w:t>• 계통 연계 리드타임</w:t>
      </w:r>
    </w:p>
    <w:p>
      <w:r>
        <w:t>• EAC 품질 비중 (추가성, 빈티지, 지역성)</w:t>
      </w:r>
    </w:p>
    <w:p>
      <w:r>
        <w:t>• 그린 요금제 가입률</w:t>
      </w:r>
    </w:p>
    <w:p>
      <w:r>
        <w:t>• RE100 기업 수 및 조달량</w:t>
      </w:r>
    </w:p>
    <w:p>
      <w:pPr>
        <w:pStyle w:val="Heading1"/>
      </w:pPr>
      <w:r>
        <w:t>8. 요약 및 권고사항</w:t>
      </w:r>
    </w:p>
    <w:p>
      <w:r>
        <w:t>요약:</w:t>
      </w:r>
    </w:p>
    <w:p>
      <w:r>
        <w:t>1. 강원도 탄소중립 계획은 RE100 기업의 조달 전략과 높은 정합성을 보입니다.</w:t>
      </w:r>
    </w:p>
    <w:p>
      <w:r>
        <w:t>2. 재생에너지 확대, 계통 개선, 행정 투명성은 기업 유치의 핵심 조건입니다.</w:t>
      </w:r>
    </w:p>
    <w:p>
      <w:r>
        <w:t>3. 중소기업 집합화, 고품질 EAC 체계 등은 향후 보완이 필요한 영역입니다.</w:t>
      </w:r>
    </w:p>
    <w:p>
      <w:r>
        <w:t>권고사항:</w:t>
      </w:r>
    </w:p>
    <w:p>
      <w:r>
        <w:t>1. 기업용 물리적 PPA·그린 요금제 표준 계약서 개발 및 공개</w:t>
      </w:r>
    </w:p>
    <w:p>
      <w:r>
        <w:t>2. 계통 연계 대기열·용량 정보의 실시간 공개 시스템 구축</w:t>
      </w:r>
    </w:p>
    <w:p>
      <w:r>
        <w:t>3. 지역 EAC 레지스트리 구축 및 RE100 품질 기준 반영</w:t>
      </w:r>
    </w:p>
    <w:p>
      <w:r>
        <w:t>4. 중소기업 대상 집합형 PPA 플랫폼(aggregator) 설계</w:t>
      </w:r>
    </w:p>
    <w:p>
      <w:r>
        <w:t>5. RE100 보고 주기와 연계된 감사·계량 체계 정비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