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spacing w:before="0" w:after="120"/>
        <w:jc w:val="center"/>
      </w:pPr>
      <w:r>
        <w:rFonts w:eastAsia="나눔고딕"/>
        <w:rPr>
          <w:rFonts w:ascii="나눔고딕" w:hAnsi="나눔고딕"/>
          <w:b/>
          <w:i w:val="0"/>
          <w:color w:val="1F2D3D"/>
          <w:sz w:val="52"/>
        </w:rPr>
        <w:t>뉴질랜드 진출 전략 보고서</w:t>
      </w:r>
    </w:p>
    <w:p>
      <w:pPr>
        <w:spacing w:before="80" w:after="80"/>
        <w:jc w:val="center"/>
      </w:pPr>
      <w:r>
        <w:rFonts w:eastAsia="나눔고딕"/>
        <w:rPr>
          <w:rFonts w:ascii="나눔고딕" w:hAnsi="나눔고딕"/>
          <w:b w:val="0"/>
          <w:i w:val="0"/>
          <w:color w:val="173F78"/>
          <w:sz w:val="28"/>
        </w:rPr>
        <w:t>한국유나이티드제약(주)</w:t>
      </w:r>
    </w:p>
    <w:p>
      <w:pPr>
        <w:spacing w:before="40" w:after="40"/>
        <w:jc w:val="center"/>
      </w:pPr>
      <w:r>
        <w:rFonts w:eastAsia="나눔고딕"/>
        <w:rPr>
          <w:rFonts w:ascii="나눔고딕" w:hAnsi="나눔고딕"/>
          <w:b w:val="0"/>
          <w:i w:val="0"/>
          <w:color w:val="888888"/>
          <w:sz w:val="24"/>
        </w:rPr>
        <w:t>2026-04-22</w:t>
      </w:r>
    </w:p>
    <w:p/>
    <w:p/>
    <w:p>
      <w:pPr>
        <w:pBdr>
          <w:bottom w:val="single" w:sz="4" w:space="1" w:color="C0C8D8"/>
        </w:pBdr>
        <w:spacing w:before="80" w:after="80"/>
      </w:pPr>
    </w:p>
    <w:p>
      <w:pPr>
        <w:spacing w:before="120" w:after="0"/>
        <w:jc w:val="center"/>
      </w:pPr>
      <w:r>
        <w:rFonts w:eastAsia="나눔고딕"/>
        <w:rPr>
          <w:rFonts w:ascii="나눔고딕" w:hAnsi="나눔고딕"/>
          <w:b w:val="0"/>
          <w:i w:val="0"/>
          <w:color w:val="173F78"/>
          <w:sz w:val="22"/>
        </w:rPr>
        <w:t>수출가격 전략 - 바이어 후보 리스트 - 시장분석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  <w:p>
      <w:r>
        <w:br w:type="page"/>
      </w:r>
    </w:p>
    <w:p>
      <w:pPr>
        <w:spacing w:before="0" w:after="80"/>
      </w:pPr>
      <w:r>
        <w:rFonts w:eastAsia="나눔고딕"/>
        <w:rPr>
          <w:rFonts w:ascii="나눔고딕" w:hAnsi="나눔고딕"/>
          <w:b/>
          <w:i w:val="0"/>
          <w:color w:val="1F2D3D"/>
          <w:sz w:val="32"/>
        </w:rPr>
        <w:t xml:space="preserve">뉴질랜드 수출 가격 전략 보고서 — </w:t>
      </w:r>
    </w:p>
    <w:p>
      <w:pPr>
        <w:spacing w:before="0" w:after="200"/>
      </w:pPr>
      <w:r>
        <w:rFonts w:eastAsia="나눔고딕"/>
        <w:rPr>
          <w:rFonts w:ascii="나눔고딕" w:hAnsi="나눔고딕"/>
          <w:b w:val="0"/>
          <w:i w:val="0"/>
          <w:color w:val="888888"/>
          <w:sz w:val="18"/>
        </w:rPr>
        <w:t xml:space="preserve"> ()  | 2026-04-22</w:t>
      </w:r>
    </w:p>
    <w:p>
      <w:pPr>
        <w:pBdr>
          <w:bottom w:val="single" w:sz="4" w:space="1" w:color="C0C8D8"/>
        </w:pBdr>
        <w:spacing w:before="80" w:after="80"/>
      </w:pPr>
    </w:p>
    <w:p>
      <w:pPr>
        <w:spacing w:before="240" w:after="80"/>
      </w:pPr>
      <w:r>
        <w:rFonts w:eastAsia="나눔고딕"/>
        <w:rPr>
          <w:rFonts w:ascii="나눔고딕" w:hAnsi="나눔고딕"/>
          <w:b/>
          <w:i w:val="0"/>
          <w:color w:val="173F78"/>
          <w:sz w:val="24"/>
        </w:rPr>
        <w:t>1. 뉴질랜드 거시 시장</w:t>
      </w:r>
    </w:p>
    <w:p>
      <w:pPr>
        <w:spacing w:before="40" w:after="40"/>
        <w:jc w:val="both"/>
      </w:pPr>
      <w:r>
        <w:rFonts w:eastAsia="나눔고딕"/>
        <w:rPr>
          <w:rFonts w:ascii="나눔고딕" w:hAnsi="나눔고딕"/>
          <w:b w:val="0"/>
          <w:i w:val="0"/>
          <w:color w:val="333333"/>
          <w:sz w:val="19"/>
        </w:rPr>
        <w:t>—</w:t>
      </w:r>
    </w:p>
    <w:p>
      <w:pPr>
        <w:pBdr>
          <w:bottom w:val="single" w:sz="4" w:space="1" w:color="C0C8D8"/>
        </w:pBdr>
        <w:spacing w:before="80" w:after="80"/>
      </w:pPr>
    </w:p>
    <w:p>
      <w:pPr>
        <w:spacing w:before="240" w:after="80"/>
      </w:pPr>
      <w:r>
        <w:rFonts w:eastAsia="나눔고딕"/>
        <w:rPr>
          <w:rFonts w:ascii="나눔고딕" w:hAnsi="나눔고딕"/>
          <w:b/>
          <w:i w:val="0"/>
          <w:color w:val="173F78"/>
          <w:sz w:val="24"/>
        </w:rPr>
        <w:t>2.  단가 (시장 기준가)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shd w:val="clear" w:color="auto" w:fill="EBF0FA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/>
                <w:i w:val="0"/>
                <w:color w:val="173F78"/>
                <w:sz w:val="18"/>
              </w:rPr>
              <w:t>기준 가격</w:t>
            </w:r>
          </w:p>
        </w:tc>
        <w:tc>
          <w:tcPr>
            <w:tcW w:type="dxa" w:w="6803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 w:val="0"/>
                <w:i w:val="0"/>
                <w:color w:val="333333"/>
                <w:sz w:val="18"/>
              </w:rPr>
              <w:t>—</w:t>
            </w:r>
          </w:p>
        </w:tc>
      </w:tr>
      <w:tr>
        <w:tc>
          <w:tcPr>
            <w:tcW w:type="dxa" w:w="2551"/>
            <w:shd w:val="clear" w:color="auto" w:fill="EBF0FA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/>
                <w:i w:val="0"/>
                <w:color w:val="173F78"/>
                <w:sz w:val="18"/>
              </w:rPr>
              <w:t>산정 방식</w:t>
            </w:r>
          </w:p>
        </w:tc>
        <w:tc>
          <w:tcPr>
            <w:tcW w:type="dxa" w:w="6803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 w:val="0"/>
                <w:i w:val="0"/>
                <w:color w:val="333333"/>
                <w:sz w:val="18"/>
              </w:rPr>
              <w:t>AI 분석 (Claude Haiku)</w:t>
            </w:r>
          </w:p>
        </w:tc>
      </w:tr>
      <w:tr>
        <w:tc>
          <w:tcPr>
            <w:tcW w:type="dxa" w:w="2551"/>
            <w:shd w:val="clear" w:color="auto" w:fill="EBF0FA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/>
                <w:i w:val="0"/>
                <w:color w:val="173F78"/>
                <w:sz w:val="18"/>
              </w:rPr>
              <w:t>시장 구분</w:t>
            </w:r>
          </w:p>
        </w:tc>
        <w:tc>
          <w:tcPr>
            <w:tcW w:type="dxa" w:w="6803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 w:val="0"/>
                <w:i w:val="0"/>
                <w:color w:val="333333"/>
                <w:sz w:val="18"/>
              </w:rPr>
              <w:t>공공 / 민간</w:t>
            </w:r>
          </w:p>
        </w:tc>
      </w:tr>
    </w:tbl>
    <w:p>
      <w:pPr>
        <w:spacing w:before="60" w:after="60"/>
      </w:pPr>
    </w:p>
    <w:p>
      <w:pPr>
        <w:pBdr>
          <w:bottom w:val="single" w:sz="4" w:space="1" w:color="C0C8D8"/>
        </w:pBdr>
        <w:spacing w:before="80" w:after="80"/>
      </w:pPr>
    </w:p>
    <w:p>
      <w:pPr>
        <w:spacing w:before="240" w:after="80"/>
      </w:pPr>
      <w:r>
        <w:rFonts w:eastAsia="나눔고딕"/>
        <w:rPr>
          <w:rFonts w:ascii="나눔고딕" w:hAnsi="나눔고딕"/>
          <w:b/>
          <w:i w:val="0"/>
          <w:color w:val="173F78"/>
          <w:sz w:val="24"/>
        </w:rPr>
        <w:t>3. 거래처 참고 가격</w:t>
      </w:r>
    </w:p>
    <w:p>
      <w:pPr>
        <w:spacing w:before="40" w:after="40"/>
        <w:jc w:val="both"/>
      </w:pPr>
      <w:r>
        <w:rFonts w:eastAsia="나눔고딕"/>
        <w:rPr>
          <w:rFonts w:ascii="나눔고딕" w:hAnsi="나눔고딕"/>
          <w:b w:val="0"/>
          <w:i w:val="0"/>
          <w:color w:val="333333"/>
          <w:sz w:val="19"/>
        </w:rPr>
        <w:t>— 경쟁사 데이터 없음</w:t>
      </w:r>
    </w:p>
    <w:p>
      <w:pPr>
        <w:pBdr>
          <w:bottom w:val="single" w:sz="4" w:space="1" w:color="C0C8D8"/>
        </w:pBdr>
        <w:spacing w:before="80" w:after="80"/>
      </w:pPr>
    </w:p>
    <w:p>
      <w:pPr>
        <w:spacing w:before="240" w:after="80"/>
      </w:pPr>
      <w:r>
        <w:rFonts w:eastAsia="나눔고딕"/>
        <w:rPr>
          <w:rFonts w:ascii="나눔고딕" w:hAnsi="나눔고딕"/>
          <w:b/>
          <w:i w:val="0"/>
          <w:color w:val="173F78"/>
          <w:sz w:val="24"/>
        </w:rPr>
        <w:t>4. 가격 시나리오</w:t>
      </w:r>
    </w:p>
    <w:p>
      <w:pPr>
        <w:spacing w:before="120" w:after="80"/>
      </w:pPr>
      <w:r>
        <w:rFonts w:eastAsia="나눔고딕"/>
        <w:rPr>
          <w:rFonts w:ascii="나눔고딕" w:hAnsi="나눔고딕"/>
          <w:b/>
          <w:i w:val="0"/>
          <w:color w:val="173F78"/>
          <w:sz w:val="20"/>
        </w:rPr>
        <w:t>▸ 4-1. 공공 시장  (데이터 소스: PHARMAC 급여가, GETS 조달가 참고)</w:t>
      </w:r>
    </w:p>
    <w:p>
      <w:pPr>
        <w:spacing w:before="40" w:after="40"/>
        <w:jc w:val="both"/>
      </w:pPr>
      <w:r>
        <w:rFonts w:eastAsia="나눔고딕"/>
        <w:rPr>
          <w:rFonts w:ascii="나눔고딕" w:hAnsi="나눔고딕"/>
          <w:b w:val="0"/>
          <w:i w:val="0"/>
          <w:color w:val="333333"/>
          <w:sz w:val="19"/>
        </w:rPr>
        <w:t>—</w:t>
      </w:r>
    </w:p>
    <w:p>
      <w:pPr>
        <w:spacing w:before="120" w:after="80"/>
      </w:pPr>
      <w:r>
        <w:rFonts w:eastAsia="나눔고딕"/>
        <w:rPr>
          <w:rFonts w:ascii="나눔고딕" w:hAnsi="나눔고딕"/>
          <w:b/>
          <w:i w:val="0"/>
          <w:color w:val="173F78"/>
          <w:sz w:val="20"/>
        </w:rPr>
        <w:t>▸ 4-2. 민간 시장  (데이터 소스: 민간 병원·약국 공급가 참고)</w:t>
      </w:r>
    </w:p>
    <w:p>
      <w:pPr>
        <w:spacing w:before="40" w:after="40"/>
        <w:jc w:val="both"/>
      </w:pPr>
      <w:r>
        <w:rFonts w:eastAsia="나눔고딕"/>
        <w:rPr>
          <w:rFonts w:ascii="나눔고딕" w:hAnsi="나눔고딕"/>
          <w:b w:val="0"/>
          <w:i w:val="0"/>
          <w:color w:val="333333"/>
          <w:sz w:val="19"/>
        </w:rPr>
        <w:t>—</w:t>
      </w:r>
    </w:p>
    <w:p>
      <w:pPr>
        <w:pBdr>
          <w:bottom w:val="single" w:sz="4" w:space="1" w:color="C0C8D8"/>
        </w:pBdr>
        <w:spacing w:before="80" w:after="80"/>
      </w:pPr>
    </w:p>
    <w:p>
      <w:pPr>
        <w:spacing w:before="120" w:after="0"/>
      </w:pPr>
      <w:r>
        <w:rFonts w:eastAsia="나눔고딕"/>
        <w:rPr>
          <w:rFonts w:ascii="나눔고딕" w:hAnsi="나눔고딕"/>
          <w:b w:val="0"/>
          <w:i/>
          <w:color w:val="888888"/>
          <w:sz w:val="17"/>
        </w:rPr>
        <w:t>※ 본 산출 결과는 AI 분석에 기반한 추정치이므로, 최종 의사결정 전 반드시 담당자의 검토 및 확인이 필요합니다.</w:t>
      </w:r>
    </w:p>
    <w:p>
      <w:r>
        <w:br w:type="page"/>
      </w:r>
    </w:p>
    <w:p>
      <w:pPr>
        <w:spacing w:before="0" w:after="80"/>
      </w:pPr>
      <w:r>
        <w:rFonts w:eastAsia="나눔고딕"/>
        <w:rPr>
          <w:rFonts w:ascii="나눔고딕" w:hAnsi="나눔고딕"/>
          <w:b/>
          <w:i w:val="0"/>
          <w:color w:val="1F2D3D"/>
          <w:sz w:val="32"/>
        </w:rPr>
        <w:t xml:space="preserve">뉴질랜드 바이어 후보 리스트 — </w:t>
      </w:r>
    </w:p>
    <w:p>
      <w:pPr>
        <w:spacing w:before="0" w:after="120"/>
      </w:pPr>
      <w:r>
        <w:rFonts w:eastAsia="나눔고딕"/>
        <w:rPr>
          <w:rFonts w:ascii="나눔고딕" w:hAnsi="나눔고딕"/>
          <w:b w:val="0"/>
          <w:i w:val="0"/>
          <w:color w:val="888888"/>
          <w:sz w:val="18"/>
        </w:rPr>
        <w:t>뉴질랜드  |  2026-04-22</w:t>
      </w:r>
    </w:p>
    <w:p>
      <w:pPr>
        <w:spacing w:before="0" w:after="160"/>
      </w:pPr>
      <w:r>
        <w:rFonts w:eastAsia="나눔고딕"/>
        <w:rPr>
          <w:rFonts w:ascii="나눔고딕" w:hAnsi="나눔고딕"/>
          <w:b w:val="0"/>
          <w:i/>
          <w:color w:val="888888"/>
          <w:sz w:val="17"/>
        </w:rPr>
        <w:t>※ 아래 바이어 후보는 CPHI 등록 및 Perplexity 웹 분석을 통해 도출되었으며, 개별 기업의 뉴질랜드 진출 현황 및 제품 연관성은 추가 실사가 필요합니다.</w:t>
      </w:r>
    </w:p>
    <w:p>
      <w:pPr>
        <w:pBdr>
          <w:bottom w:val="single" w:sz="4" w:space="1" w:color="C0C8D8"/>
        </w:pBdr>
        <w:spacing w:before="80" w:after="80"/>
      </w:pPr>
    </w:p>
    <w:p>
      <w:pPr>
        <w:spacing w:before="240" w:after="80"/>
      </w:pPr>
      <w:r>
        <w:rFonts w:eastAsia="나눔고딕"/>
        <w:rPr>
          <w:rFonts w:ascii="나눔고딕" w:hAnsi="나눔고딕"/>
          <w:b/>
          <w:i w:val="0"/>
          <w:color w:val="173F78"/>
          <w:sz w:val="24"/>
        </w:rPr>
        <w:t>1. 바이어 후보 리스트 (전체 0개사)</w:t>
      </w:r>
    </w:p>
    <w:p/>
    <w:p>
      <w:pPr>
        <w:pBdr>
          <w:bottom w:val="single" w:sz="4" w:space="1" w:color="C0C8D8"/>
        </w:pBdr>
        <w:spacing w:before="80" w:after="80"/>
      </w:pPr>
    </w:p>
    <w:p>
      <w:pPr>
        <w:spacing w:before="240" w:after="80"/>
      </w:pPr>
      <w:r>
        <w:rFonts w:eastAsia="나눔고딕"/>
        <w:rPr>
          <w:rFonts w:ascii="나눔고딕" w:hAnsi="나눔고딕"/>
          <w:b/>
          <w:i w:val="0"/>
          <w:color w:val="173F78"/>
          <w:sz w:val="24"/>
        </w:rPr>
        <w:t>2. 우선 접촉 바이어 상세 정보 (상위 10개사)</w:t>
      </w:r>
    </w:p>
    <w:p>
      <w:pPr>
        <w:spacing w:before="0" w:after="160"/>
      </w:pPr>
      <w:r>
        <w:rFonts w:eastAsia="나눔고딕"/>
        <w:rPr>
          <w:rFonts w:ascii="나눔고딕" w:hAnsi="나눔고딕"/>
          <w:b w:val="0"/>
          <w:i/>
          <w:color w:val="888888"/>
          <w:sz w:val="17"/>
        </w:rPr>
        <w:t>※ 하기 기업은 의 성분 연관성, NZ 지역 네트워크, 진출 가능성을 종합 평가하여 선정하였습니다.</w:t>
      </w:r>
    </w:p>
    <w:p>
      <w:r>
        <w:br w:type="page"/>
      </w:r>
    </w:p>
    <w:p>
      <w:pPr>
        <w:spacing w:before="0" w:after="80"/>
      </w:pPr>
      <w:r>
        <w:rFonts w:eastAsia="나눔고딕"/>
        <w:rPr>
          <w:rFonts w:ascii="나눔고딕" w:hAnsi="나눔고딕"/>
          <w:b/>
          <w:i w:val="0"/>
          <w:color w:val="1F2D3D"/>
          <w:sz w:val="32"/>
        </w:rPr>
        <w:t xml:space="preserve">뉴질랜드 시장보고서 — </w:t>
      </w:r>
    </w:p>
    <w:p>
      <w:pPr>
        <w:spacing w:before="0" w:after="200"/>
      </w:pPr>
      <w:r>
        <w:rFonts w:eastAsia="나눔고딕"/>
        <w:rPr>
          <w:rFonts w:ascii="나눔고딕" w:hAnsi="나눔고딕"/>
          <w:b w:val="0"/>
          <w:i w:val="0"/>
          <w:color w:val="888888"/>
          <w:sz w:val="18"/>
        </w:rPr>
        <w:t xml:space="preserve"> ()  |  HS CODE: 3004.90  |  뉴질랜드  |  2026-04-22</w:t>
      </w:r>
    </w:p>
    <w:p>
      <w:pPr>
        <w:pBdr>
          <w:bottom w:val="single" w:sz="4" w:space="1" w:color="C0C8D8"/>
        </w:pBdr>
        <w:spacing w:before="80" w:after="80"/>
      </w:pPr>
    </w:p>
    <w:p>
      <w:pPr>
        <w:spacing w:before="240" w:after="80"/>
      </w:pPr>
      <w:r>
        <w:rFonts w:eastAsia="나눔고딕"/>
        <w:rPr>
          <w:rFonts w:ascii="나눔고딕" w:hAnsi="나눔고딕"/>
          <w:b/>
          <w:i w:val="0"/>
          <w:color w:val="173F78"/>
          <w:sz w:val="24"/>
        </w:rPr>
        <w:t>1. 의료 거시환경 파악</w:t>
      </w:r>
    </w:p>
    <w:p>
      <w:pPr>
        <w:spacing w:before="40" w:after="40"/>
        <w:jc w:val="both"/>
      </w:pPr>
      <w:r>
        <w:rFonts w:eastAsia="나눔고딕"/>
        <w:rPr>
          <w:rFonts w:ascii="나눔고딕" w:hAnsi="나눔고딕"/>
          <w:b w:val="0"/>
          <w:i w:val="0"/>
          <w:color w:val="333333"/>
          <w:sz w:val="19"/>
        </w:rPr>
        <w:t>—</w:t>
      </w:r>
    </w:p>
    <w:p>
      <w:pPr>
        <w:pBdr>
          <w:bottom w:val="single" w:sz="4" w:space="1" w:color="C0C8D8"/>
        </w:pBdr>
        <w:spacing w:before="80" w:after="80"/>
      </w:pPr>
    </w:p>
    <w:p>
      <w:pPr>
        <w:spacing w:before="240" w:after="80"/>
      </w:pPr>
      <w:r>
        <w:rFonts w:eastAsia="나눔고딕"/>
        <w:rPr>
          <w:rFonts w:ascii="나눔고딕" w:hAnsi="나눔고딕"/>
          <w:b/>
          <w:i w:val="0"/>
          <w:color w:val="173F78"/>
          <w:sz w:val="24"/>
        </w:rPr>
        <w:t>2. 무역/규제 환경</w:t>
      </w:r>
    </w:p>
    <w:p>
      <w:pPr>
        <w:spacing w:before="120" w:after="40"/>
      </w:pPr>
      <w:r>
        <w:rFonts w:eastAsia="나눔고딕"/>
        <w:rPr>
          <w:rFonts w:ascii="나눔고딕" w:hAnsi="나눔고딕"/>
          <w:b/>
          <w:i w:val="0"/>
          <w:color w:val="173F78"/>
          <w:sz w:val="20"/>
        </w:rPr>
        <w:t>▸ 등록 현황</w:t>
      </w:r>
    </w:p>
    <w:p>
      <w:pPr>
        <w:spacing w:before="40" w:after="40"/>
        <w:jc w:val="both"/>
      </w:pPr>
      <w:r>
        <w:rFonts w:eastAsia="나눔고딕"/>
        <w:rPr>
          <w:rFonts w:ascii="나눔고딕" w:hAnsi="나눔고딕"/>
          <w:b w:val="0"/>
          <w:i w:val="0"/>
          <w:color w:val="333333"/>
          <w:sz w:val="19"/>
        </w:rPr>
        <w:t>—</w:t>
      </w:r>
    </w:p>
    <w:p>
      <w:pPr>
        <w:spacing w:before="120" w:after="40"/>
      </w:pPr>
      <w:r>
        <w:rFonts w:eastAsia="나눔고딕"/>
        <w:rPr>
          <w:rFonts w:ascii="나눔고딕" w:hAnsi="나눔고딕"/>
          <w:b/>
          <w:i w:val="0"/>
          <w:color w:val="173F78"/>
          <w:sz w:val="20"/>
        </w:rPr>
        <w:t>▸ 진입 채널 권고</w:t>
      </w:r>
    </w:p>
    <w:p>
      <w:pPr>
        <w:spacing w:before="40" w:after="40"/>
        <w:jc w:val="both"/>
      </w:pPr>
      <w:r>
        <w:rFonts w:eastAsia="나눔고딕"/>
        <w:rPr>
          <w:rFonts w:ascii="나눔고딕" w:hAnsi="나눔고딕"/>
          <w:b w:val="0"/>
          <w:i w:val="0"/>
          <w:color w:val="333333"/>
          <w:sz w:val="19"/>
        </w:rPr>
        <w:t>—</w:t>
      </w:r>
    </w:p>
    <w:p>
      <w:pPr>
        <w:spacing w:before="120" w:after="40"/>
      </w:pPr>
      <w:r>
        <w:rFonts w:eastAsia="나눔고딕"/>
        <w:rPr>
          <w:rFonts w:ascii="나눔고딕" w:hAnsi="나눔고딕"/>
          <w:b/>
          <w:i w:val="0"/>
          <w:color w:val="173F78"/>
          <w:sz w:val="20"/>
        </w:rPr>
        <w:t>▸ 관세 및 무역</w:t>
      </w:r>
    </w:p>
    <w:p>
      <w:pPr>
        <w:spacing w:before="40" w:after="40"/>
        <w:jc w:val="both"/>
      </w:pPr>
      <w:r>
        <w:rFonts w:eastAsia="나눔고딕"/>
        <w:rPr>
          <w:rFonts w:ascii="나눔고딕" w:hAnsi="나눔고딕"/>
          <w:b w:val="0"/>
          <w:i w:val="0"/>
          <w:color w:val="333333"/>
          <w:sz w:val="19"/>
        </w:rPr>
        <w:t>—</w:t>
      </w:r>
    </w:p>
    <w:p>
      <w:pPr>
        <w:pBdr>
          <w:bottom w:val="single" w:sz="4" w:space="1" w:color="C0C8D8"/>
        </w:pBdr>
        <w:spacing w:before="80" w:after="80"/>
      </w:pPr>
    </w:p>
    <w:p>
      <w:pPr>
        <w:spacing w:before="240" w:after="80"/>
      </w:pPr>
      <w:r>
        <w:rFonts w:eastAsia="나눔고딕"/>
        <w:rPr>
          <w:rFonts w:ascii="나눔고딕" w:hAnsi="나눔고딕"/>
          <w:b/>
          <w:i w:val="0"/>
          <w:color w:val="173F78"/>
          <w:sz w:val="24"/>
        </w:rPr>
        <w:t>3. 참고 가격</w:t>
      </w:r>
    </w:p>
    <w:p>
      <w:pPr>
        <w:pBdr>
          <w:bottom w:val="single" w:sz="4" w:space="1" w:color="C0C8D8"/>
        </w:pBdr>
        <w:spacing w:before="80" w:after="80"/>
      </w:pPr>
    </w:p>
    <w:p>
      <w:pPr>
        <w:spacing w:before="240" w:after="80"/>
      </w:pPr>
      <w:r>
        <w:rFonts w:eastAsia="나눔고딕"/>
        <w:rPr>
          <w:rFonts w:ascii="나눔고딕" w:hAnsi="나눔고딕"/>
          <w:b/>
          <w:i w:val="0"/>
          <w:color w:val="173F78"/>
          <w:sz w:val="24"/>
        </w:rPr>
        <w:t>4. 리스크 / 조건</w:t>
      </w:r>
    </w:p>
    <w:p>
      <w:pPr>
        <w:spacing w:before="120" w:after="40"/>
      </w:pPr>
      <w:r>
        <w:rFonts w:eastAsia="나눔고딕"/>
        <w:rPr>
          <w:rFonts w:ascii="나눔고딕" w:hAnsi="나눔고딕"/>
          <w:b/>
          <w:i w:val="0"/>
          <w:color w:val="173F78"/>
          <w:sz w:val="20"/>
        </w:rPr>
        <w:t>▸ 규제 심사 소요 기간</w:t>
      </w:r>
    </w:p>
    <w:p>
      <w:pPr>
        <w:spacing w:before="40" w:after="40"/>
        <w:jc w:val="both"/>
      </w:pPr>
      <w:r>
        <w:rFonts w:eastAsia="나눔고딕"/>
        <w:rPr>
          <w:rFonts w:ascii="나눔고딕" w:hAnsi="나눔고딕"/>
          <w:b w:val="0"/>
          <w:i w:val="0"/>
          <w:color w:val="333333"/>
          <w:sz w:val="19"/>
        </w:rPr>
        <w:t>—</w:t>
      </w:r>
    </w:p>
    <w:p>
      <w:pPr>
        <w:spacing w:before="120" w:after="40"/>
      </w:pPr>
      <w:r>
        <w:rFonts w:eastAsia="나눔고딕"/>
        <w:rPr>
          <w:rFonts w:ascii="나눔고딕" w:hAnsi="나눔고딕"/>
          <w:b/>
          <w:i w:val="0"/>
          <w:color w:val="173F78"/>
          <w:sz w:val="20"/>
        </w:rPr>
        <w:t>▸ 경쟁 강도</w:t>
      </w:r>
    </w:p>
    <w:p>
      <w:pPr>
        <w:spacing w:before="40" w:after="40"/>
        <w:jc w:val="both"/>
      </w:pPr>
      <w:r>
        <w:rFonts w:eastAsia="나눔고딕"/>
        <w:rPr>
          <w:rFonts w:ascii="나눔고딕" w:hAnsi="나눔고딕"/>
          <w:b w:val="0"/>
          <w:i w:val="0"/>
          <w:color w:val="333333"/>
          <w:sz w:val="19"/>
        </w:rPr>
        <w:t>—</w:t>
      </w:r>
    </w:p>
    <w:p>
      <w:pPr>
        <w:spacing w:before="120" w:after="40"/>
      </w:pPr>
      <w:r>
        <w:rFonts w:eastAsia="나눔고딕"/>
        <w:rPr>
          <w:rFonts w:ascii="나눔고딕" w:hAnsi="나눔고딕"/>
          <w:b/>
          <w:i w:val="0"/>
          <w:color w:val="173F78"/>
          <w:sz w:val="20"/>
        </w:rPr>
        <w:t>▸ 포뮬러리 등재</w:t>
      </w:r>
    </w:p>
    <w:p>
      <w:pPr>
        <w:spacing w:before="40" w:after="40"/>
        <w:jc w:val="both"/>
      </w:pPr>
      <w:r>
        <w:rFonts w:eastAsia="나눔고딕"/>
        <w:rPr>
          <w:rFonts w:ascii="나눔고딕" w:hAnsi="나눔고딕"/>
          <w:b w:val="0"/>
          <w:i w:val="0"/>
          <w:color w:val="333333"/>
          <w:sz w:val="19"/>
        </w:rPr>
        <w:t>—</w:t>
      </w:r>
    </w:p>
    <w:p>
      <w:pPr>
        <w:pBdr>
          <w:bottom w:val="single" w:sz="4" w:space="1" w:color="C0C8D8"/>
        </w:pBdr>
        <w:spacing w:before="80" w:after="80"/>
      </w:pPr>
    </w:p>
    <w:p>
      <w:pPr>
        <w:spacing w:before="240" w:after="80"/>
      </w:pPr>
      <w:r>
        <w:rFonts w:eastAsia="나눔고딕"/>
        <w:rPr>
          <w:rFonts w:ascii="나눔고딕" w:hAnsi="나눔고딕"/>
          <w:b/>
          <w:i w:val="0"/>
          <w:color w:val="173F78"/>
          <w:sz w:val="24"/>
        </w:rPr>
        <w:t>5. 근거 및 출처</w:t>
      </w:r>
    </w:p>
    <w:p>
      <w:pPr>
        <w:spacing w:before="120" w:after="40"/>
      </w:pPr>
      <w:r>
        <w:rFonts w:eastAsia="나눔고딕"/>
        <w:rPr>
          <w:rFonts w:ascii="나눔고딕" w:hAnsi="나눔고딕"/>
          <w:b/>
          <w:i w:val="0"/>
          <w:color w:val="173F78"/>
          <w:sz w:val="20"/>
        </w:rPr>
        <w:t>▸ 5-1. Perplexity 추천 논문</w:t>
      </w:r>
    </w:p>
    <w:p>
      <w:pPr>
        <w:spacing w:before="40" w:after="40"/>
        <w:jc w:val="both"/>
      </w:pPr>
      <w:r>
        <w:rFonts w:eastAsia="나눔고딕"/>
        <w:rPr>
          <w:rFonts w:ascii="나눔고딕" w:hAnsi="나눔고딕"/>
          <w:b w:val="0"/>
          <w:i w:val="0"/>
          <w:color w:val="333333"/>
          <w:sz w:val="19"/>
        </w:rPr>
        <w:t>—</w:t>
      </w:r>
    </w:p>
    <w:p>
      <w:pPr>
        <w:spacing w:before="200" w:after="40"/>
      </w:pPr>
      <w:r>
        <w:rFonts w:eastAsia="나눔고딕"/>
        <w:rPr>
          <w:rFonts w:ascii="나눔고딕" w:hAnsi="나눔고딕"/>
          <w:b/>
          <w:i w:val="0"/>
          <w:color w:val="173F78"/>
          <w:sz w:val="20"/>
        </w:rPr>
        <w:t>▸ 5-2. 사용된 DB/기관</w:t>
      </w:r>
    </w:p>
    <w:p>
      <w:pPr>
        <w:spacing w:before="40" w:after="40"/>
        <w:jc w:val="both"/>
      </w:pPr>
      <w:r>
        <w:rFonts w:eastAsia="나눔고딕"/>
        <w:rPr>
          <w:rFonts w:ascii="나눔고딕" w:hAnsi="나눔고딕"/>
          <w:b w:val="0"/>
          <w:i w:val="0"/>
          <w:color w:val="333333"/>
          <w:sz w:val="19"/>
        </w:rPr>
        <w:t>—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